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0"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80" w:type="dxa"/>
            <w:vAlign w:val="bottom"/>
          </w:tcPr>
          <w:p>
            <w:pPr>
              <w:jc w:val="center"/>
              <w:ind w:right="1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80" w:type="dxa"/>
            <w:vAlign w:val="bottom"/>
            <w:vMerge w:val="restart"/>
          </w:tcPr>
          <w:p>
            <w:pPr>
              <w:jc w:val="center"/>
              <w:ind w:right="17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7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-654050</wp:posOffset>
            </wp:positionV>
            <wp:extent cx="59690" cy="667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7385"/>
                    </a:xfrm>
                    <a:prstGeom prst="rect">
                      <a:avLst/>
                    </a:prstGeom>
                    <a:noFill/>
                  </pic:spPr>
                </pic:pic>
              </a:graphicData>
            </a:graphic>
          </wp:anchor>
        </w:drawing>
        <w:drawing>
          <wp:anchor simplePos="0" relativeHeight="251657728" behindDoc="1" locked="0" layoutInCell="0" allowOverlap="1">
            <wp:simplePos x="0" y="0"/>
            <wp:positionH relativeFrom="column">
              <wp:posOffset>4159250</wp:posOffset>
            </wp:positionH>
            <wp:positionV relativeFrom="paragraph">
              <wp:posOffset>-654050</wp:posOffset>
            </wp:positionV>
            <wp:extent cx="59690" cy="667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738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20955</wp:posOffset>
            </wp:positionV>
            <wp:extent cx="7322820" cy="5364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6448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KYEES JOHN E</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VERA BRADLEY,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2208 PRODUCTION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8"/>
              </w:rPr>
              <w:t>FORT WAYNE</w:t>
            </w:r>
          </w:p>
        </w:tc>
        <w:tc>
          <w:tcPr>
            <w:tcW w:w="920" w:type="dxa"/>
            <w:vAlign w:val="bottom"/>
          </w:tcPr>
          <w:p>
            <w:pPr>
              <w:ind w:left="80"/>
              <w:spacing w:after="0"/>
              <w:rPr>
                <w:sz w:val="20"/>
                <w:szCs w:val="20"/>
                <w:color w:val="auto"/>
              </w:rPr>
            </w:pPr>
            <w:r>
              <w:rPr>
                <w:rFonts w:ascii="Arial" w:cs="Arial" w:eastAsia="Arial" w:hAnsi="Arial"/>
                <w:sz w:val="18"/>
                <w:szCs w:val="18"/>
                <w:color w:val="0000FF"/>
              </w:rPr>
              <w:t>IN</w:t>
            </w:r>
          </w:p>
        </w:tc>
        <w:tc>
          <w:tcPr>
            <w:tcW w:w="1660" w:type="dxa"/>
            <w:vAlign w:val="bottom"/>
          </w:tcPr>
          <w:p>
            <w:pPr>
              <w:ind w:left="420"/>
              <w:spacing w:after="0"/>
              <w:rPr>
                <w:sz w:val="20"/>
                <w:szCs w:val="20"/>
                <w:color w:val="auto"/>
              </w:rPr>
            </w:pPr>
            <w:r>
              <w:rPr>
                <w:rFonts w:ascii="Arial" w:cs="Arial" w:eastAsia="Arial" w:hAnsi="Arial"/>
                <w:sz w:val="18"/>
                <w:szCs w:val="18"/>
                <w:color w:val="0000FF"/>
              </w:rPr>
              <w:t>46808</w:t>
            </w:r>
          </w:p>
        </w:tc>
      </w:tr>
      <w:tr>
        <w:trPr>
          <w:trHeight w:val="157"/>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24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7"/>
        </w:trPr>
        <w:tc>
          <w:tcPr>
            <w:tcW w:w="3980" w:type="dxa"/>
            <w:vAlign w:val="bottom"/>
            <w:gridSpan w:val="4"/>
          </w:tcPr>
          <w:p>
            <w:pPr>
              <w:ind w:left="60"/>
              <w:spacing w:after="0" w:line="210" w:lineRule="exact"/>
              <w:rPr>
                <w:rFonts w:ascii="Arial" w:cs="Arial" w:eastAsia="Arial" w:hAnsi="Arial"/>
                <w:sz w:val="22"/>
                <w:szCs w:val="22"/>
                <w:color w:val="0000EE"/>
                <w:w w:val="97"/>
              </w:rPr>
            </w:pPr>
            <w:hyperlink r:id="rId13">
              <w:r>
                <w:rPr>
                  <w:rFonts w:ascii="Arial" w:cs="Arial" w:eastAsia="Arial" w:hAnsi="Arial"/>
                  <w:sz w:val="22"/>
                  <w:szCs w:val="22"/>
                  <w:color w:val="0000EE"/>
                  <w:w w:val="97"/>
                </w:rPr>
                <w:t xml:space="preserve">DESTINATION XL GROUP, INC. </w:t>
              </w:r>
            </w:hyperlink>
            <w:r>
              <w:rPr>
                <w:rFonts w:ascii="Arial" w:cs="Arial" w:eastAsia="Arial" w:hAnsi="Arial"/>
                <w:sz w:val="22"/>
                <w:szCs w:val="22"/>
                <w:color w:val="000000"/>
                <w:w w:val="97"/>
              </w:rPr>
              <w:t>[</w:t>
            </w:r>
            <w:r>
              <w:rPr>
                <w:rFonts w:ascii="Arial" w:cs="Arial" w:eastAsia="Arial" w:hAnsi="Arial"/>
                <w:sz w:val="22"/>
                <w:szCs w:val="22"/>
                <w:color w:val="0000EE"/>
                <w:w w:val="97"/>
              </w:rPr>
              <w:t xml:space="preserve"> </w:t>
            </w:r>
            <w:r>
              <w:rPr>
                <w:rFonts w:ascii="Arial" w:cs="Arial" w:eastAsia="Arial" w:hAnsi="Arial"/>
                <w:sz w:val="17"/>
                <w:szCs w:val="17"/>
                <w:color w:val="0000FF"/>
                <w:w w:val="97"/>
              </w:rPr>
              <w:t>DXLG</w:t>
            </w:r>
            <w:r>
              <w:rPr>
                <w:rFonts w:ascii="Arial" w:cs="Arial" w:eastAsia="Arial" w:hAnsi="Arial"/>
                <w:sz w:val="22"/>
                <w:szCs w:val="22"/>
                <w:color w:val="0000EE"/>
                <w:w w:val="97"/>
              </w:rPr>
              <w:t xml:space="preserve"> </w:t>
            </w:r>
            <w:r>
              <w:rPr>
                <w:rFonts w:ascii="Arial" w:cs="Arial" w:eastAsia="Arial" w:hAnsi="Arial"/>
                <w:sz w:val="22"/>
                <w:szCs w:val="22"/>
                <w:color w:val="000000"/>
                <w:w w:val="97"/>
              </w:rPr>
              <w:t>]</w:t>
            </w:r>
          </w:p>
        </w:tc>
        <w:tc>
          <w:tcPr>
            <w:tcW w:w="19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740" w:type="dxa"/>
            <w:vAlign w:val="bottom"/>
            <w:vMerge w:val="restart"/>
          </w:tcPr>
          <w:p>
            <w:pPr>
              <w:ind w:left="44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ind w:left="440"/>
              <w:spacing w:after="0" w:line="127"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60"/>
              <w:spacing w:after="0"/>
              <w:rPr>
                <w:sz w:val="20"/>
                <w:szCs w:val="20"/>
                <w:color w:val="auto"/>
              </w:rPr>
            </w:pPr>
            <w:r>
              <w:rPr>
                <w:rFonts w:ascii="Arial" w:cs="Arial" w:eastAsia="Arial" w:hAnsi="Arial"/>
                <w:sz w:val="18"/>
                <w:szCs w:val="18"/>
                <w:color w:val="0000FF"/>
              </w:rPr>
              <w:t>07/31/2017</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24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24" w:lineRule="auto"/>
        <w:tabs>
          <w:tab w:leader="none" w:pos="458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92" w:lineRule="exact"/>
        <w:rPr>
          <w:sz w:val="24"/>
          <w:szCs w:val="24"/>
          <w:color w:val="auto"/>
        </w:rPr>
      </w:pPr>
    </w:p>
    <w:p>
      <w:pPr>
        <w:sectPr>
          <w:pgSz w:w="11900" w:h="16838" w:orient="portrait"/>
          <w:cols w:equalWidth="0" w:num="2">
            <w:col w:w="3900" w:space="10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8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60" w:type="dxa"/>
            <w:vAlign w:val="bottom"/>
            <w:gridSpan w:val="2"/>
          </w:tcPr>
          <w:p>
            <w:pPr>
              <w:ind w:left="8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 $0.01 par value</w:t>
            </w:r>
          </w:p>
        </w:tc>
        <w:tc>
          <w:tcPr>
            <w:tcW w:w="1960" w:type="dxa"/>
            <w:vAlign w:val="bottom"/>
            <w:gridSpan w:val="2"/>
          </w:tcPr>
          <w:p>
            <w:pPr>
              <w:ind w:left="940"/>
              <w:spacing w:after="0"/>
              <w:rPr>
                <w:sz w:val="20"/>
                <w:szCs w:val="20"/>
                <w:color w:val="auto"/>
              </w:rPr>
            </w:pPr>
            <w:r>
              <w:rPr>
                <w:rFonts w:ascii="Arial" w:cs="Arial" w:eastAsia="Arial" w:hAnsi="Arial"/>
                <w:sz w:val="18"/>
                <w:szCs w:val="18"/>
                <w:color w:val="0000FF"/>
              </w:rPr>
              <w:t>07/31/2017</w:t>
            </w: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3"/>
                <w:szCs w:val="23"/>
                <w:color w:val="auto"/>
              </w:rPr>
            </w:pPr>
          </w:p>
        </w:tc>
        <w:tc>
          <w:tcPr>
            <w:tcW w:w="540" w:type="dxa"/>
            <w:vAlign w:val="bottom"/>
          </w:tcPr>
          <w:p>
            <w:pPr>
              <w:ind w:left="240"/>
              <w:spacing w:after="0"/>
              <w:rPr>
                <w:sz w:val="20"/>
                <w:szCs w:val="20"/>
                <w:color w:val="auto"/>
              </w:rPr>
            </w:pPr>
            <w:r>
              <w:rPr>
                <w:rFonts w:ascii="Arial" w:cs="Arial" w:eastAsia="Arial" w:hAnsi="Arial"/>
                <w:sz w:val="18"/>
                <w:szCs w:val="18"/>
                <w:color w:val="0000FF"/>
                <w:w w:val="93"/>
              </w:rPr>
              <w:t>140</w:t>
            </w:r>
          </w:p>
        </w:tc>
        <w:tc>
          <w:tcPr>
            <w:tcW w:w="680" w:type="dxa"/>
            <w:vAlign w:val="bottom"/>
          </w:tcPr>
          <w:p>
            <w:pPr>
              <w:ind w:left="44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Pr>
          <w:p>
            <w:pPr>
              <w:spacing w:after="0"/>
              <w:rPr>
                <w:sz w:val="23"/>
                <w:szCs w:val="23"/>
                <w:color w:val="auto"/>
              </w:rPr>
            </w:pPr>
          </w:p>
        </w:tc>
        <w:tc>
          <w:tcPr>
            <w:tcW w:w="1360" w:type="dxa"/>
            <w:vAlign w:val="bottom"/>
            <w:gridSpan w:val="3"/>
          </w:tcPr>
          <w:p>
            <w:pPr>
              <w:ind w:left="540"/>
              <w:spacing w:after="0"/>
              <w:rPr>
                <w:sz w:val="20"/>
                <w:szCs w:val="20"/>
                <w:color w:val="auto"/>
              </w:rPr>
            </w:pPr>
            <w:r>
              <w:rPr>
                <w:rFonts w:ascii="Arial" w:cs="Arial" w:eastAsia="Arial" w:hAnsi="Arial"/>
                <w:sz w:val="18"/>
                <w:szCs w:val="18"/>
                <w:color w:val="0000FF"/>
              </w:rPr>
              <w:t>7,172</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0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Transaction</w:t>
            </w:r>
          </w:p>
        </w:tc>
        <w:tc>
          <w:tcPr>
            <w:tcW w:w="5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20" w:type="dxa"/>
            <w:vAlign w:val="bottom"/>
            <w:vMerge w:val="restart"/>
          </w:tcPr>
          <w:p>
            <w:pPr>
              <w:jc w:val="center"/>
              <w:ind w:righ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1.95</w:t>
            </w:r>
          </w:p>
        </w:tc>
        <w:tc>
          <w:tcPr>
            <w:tcW w:w="1060" w:type="dxa"/>
            <w:vAlign w:val="bottom"/>
            <w:vMerge w:val="restart"/>
          </w:tcPr>
          <w:p>
            <w:pPr>
              <w:jc w:val="right"/>
              <w:ind w:right="117"/>
              <w:spacing w:after="0"/>
              <w:rPr>
                <w:sz w:val="20"/>
                <w:szCs w:val="20"/>
                <w:color w:val="auto"/>
              </w:rPr>
            </w:pPr>
            <w:r>
              <w:rPr>
                <w:rFonts w:ascii="Arial" w:cs="Arial" w:eastAsia="Arial" w:hAnsi="Arial"/>
                <w:sz w:val="13"/>
                <w:szCs w:val="13"/>
                <w:color w:val="0000FF"/>
              </w:rPr>
              <w:t>07/31/2017</w:t>
            </w:r>
          </w:p>
        </w:tc>
        <w:tc>
          <w:tcPr>
            <w:tcW w:w="1200" w:type="dxa"/>
            <w:vAlign w:val="bottom"/>
            <w:vMerge w:val="restart"/>
          </w:tcPr>
          <w:p>
            <w:pPr>
              <w:ind w:left="320"/>
              <w:spacing w:after="0"/>
              <w:rPr>
                <w:sz w:val="20"/>
                <w:szCs w:val="20"/>
                <w:color w:val="auto"/>
              </w:rPr>
            </w:pPr>
            <w:r>
              <w:rPr>
                <w:rFonts w:ascii="Arial" w:cs="Arial" w:eastAsia="Arial" w:hAnsi="Arial"/>
                <w:sz w:val="13"/>
                <w:szCs w:val="13"/>
                <w:color w:val="0000FF"/>
              </w:rPr>
              <w:t>07/31/2017</w:t>
            </w: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7,066</w:t>
            </w:r>
          </w:p>
        </w:tc>
        <w:tc>
          <w:tcPr>
            <w:tcW w:w="360" w:type="dxa"/>
            <w:vAlign w:val="bottom"/>
          </w:tcPr>
          <w:p>
            <w:pPr>
              <w:spacing w:after="0"/>
              <w:rPr>
                <w:sz w:val="16"/>
                <w:szCs w:val="16"/>
                <w:color w:val="auto"/>
              </w:rPr>
            </w:pPr>
          </w:p>
        </w:tc>
        <w:tc>
          <w:tcPr>
            <w:tcW w:w="800" w:type="dxa"/>
            <w:vAlign w:val="bottom"/>
            <w:gridSpan w:val="2"/>
            <w:vMerge w:val="restart"/>
          </w:tcPr>
          <w:p>
            <w:pPr>
              <w:jc w:val="right"/>
              <w:ind w:right="318"/>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40" w:type="dxa"/>
            <w:vAlign w:val="bottom"/>
            <w:vMerge w:val="restart"/>
          </w:tcPr>
          <w:p>
            <w:pPr>
              <w:jc w:val="right"/>
              <w:ind w:right="276"/>
              <w:spacing w:after="0"/>
              <w:rPr>
                <w:sz w:val="20"/>
                <w:szCs w:val="20"/>
                <w:color w:val="auto"/>
              </w:rPr>
            </w:pPr>
            <w:r>
              <w:rPr>
                <w:rFonts w:ascii="Arial" w:cs="Arial" w:eastAsia="Arial" w:hAnsi="Arial"/>
                <w:sz w:val="11"/>
                <w:szCs w:val="11"/>
                <w:color w:val="008000"/>
              </w:rPr>
              <w:t>(3)</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0000FF"/>
                <w:w w:val="93"/>
              </w:rPr>
              <w:t>7,066</w:t>
            </w:r>
          </w:p>
        </w:tc>
        <w:tc>
          <w:tcPr>
            <w:tcW w:w="40" w:type="dxa"/>
            <w:vAlign w:val="bottom"/>
          </w:tcPr>
          <w:p>
            <w:pPr>
              <w:spacing w:after="0"/>
              <w:rPr>
                <w:sz w:val="16"/>
                <w:szCs w:val="16"/>
                <w:color w:val="auto"/>
              </w:rPr>
            </w:pPr>
          </w:p>
        </w:tc>
        <w:tc>
          <w:tcPr>
            <w:tcW w:w="740" w:type="dxa"/>
            <w:vAlign w:val="bottom"/>
            <w:gridSpan w:val="2"/>
            <w:vMerge w:val="restart"/>
          </w:tcPr>
          <w:p>
            <w:pPr>
              <w:jc w:val="center"/>
              <w:ind w:right="17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1.95</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0000FF"/>
              </w:rPr>
              <w:t>7,066</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ind w:left="60"/>
              <w:spacing w:after="0" w:line="68" w:lineRule="exact"/>
              <w:rPr>
                <w:sz w:val="20"/>
                <w:szCs w:val="20"/>
                <w:color w:val="auto"/>
              </w:rPr>
            </w:pPr>
            <w:r>
              <w:rPr>
                <w:rFonts w:ascii="Arial" w:cs="Arial" w:eastAsia="Arial" w:hAnsi="Arial"/>
                <w:sz w:val="6"/>
                <w:szCs w:val="6"/>
                <w:color w:val="0000FF"/>
              </w:rPr>
              <w:t>Stock</w:t>
            </w:r>
            <w:r>
              <w:rPr>
                <w:rFonts w:ascii="Arial" w:cs="Arial" w:eastAsia="Arial" w:hAnsi="Arial"/>
                <w:sz w:val="7"/>
                <w:szCs w:val="7"/>
                <w:color w:val="008000"/>
                <w:vertAlign w:val="superscript"/>
              </w:rPr>
              <w:t>(1)</w:t>
            </w:r>
          </w:p>
        </w:tc>
        <w:tc>
          <w:tcPr>
            <w:tcW w:w="8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ind w:left="140"/>
              <w:spacing w:after="0" w:line="68" w:lineRule="exact"/>
              <w:rPr>
                <w:sz w:val="20"/>
                <w:szCs w:val="20"/>
                <w:color w:val="auto"/>
              </w:rPr>
            </w:pPr>
            <w:r>
              <w:rPr>
                <w:rFonts w:ascii="Arial" w:cs="Arial" w:eastAsia="Arial" w:hAnsi="Arial"/>
                <w:sz w:val="7"/>
                <w:szCs w:val="7"/>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gridSpan w:val="2"/>
          </w:tcPr>
          <w:p>
            <w:pPr>
              <w:spacing w:after="0"/>
              <w:rPr>
                <w:sz w:val="12"/>
                <w:szCs w:val="12"/>
                <w:color w:val="auto"/>
              </w:rPr>
            </w:pPr>
          </w:p>
        </w:tc>
        <w:tc>
          <w:tcPr>
            <w:tcW w:w="760" w:type="dxa"/>
            <w:vAlign w:val="bottom"/>
            <w:tcBorders>
              <w:bottom w:val="single" w:sz="8" w:color="2C2C2C"/>
            </w:tcBorders>
            <w:gridSpan w:val="2"/>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gridSpan w:val="2"/>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20" w:type="dxa"/>
            <w:vAlign w:val="bottom"/>
          </w:tcPr>
          <w:p>
            <w:pPr>
              <w:jc w:val="center"/>
              <w:ind w:right="20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(4)</w:t>
            </w:r>
          </w:p>
        </w:tc>
        <w:tc>
          <w:tcPr>
            <w:tcW w:w="1060" w:type="dxa"/>
            <w:vAlign w:val="bottom"/>
          </w:tcPr>
          <w:p>
            <w:pPr>
              <w:jc w:val="right"/>
              <w:ind w:right="117"/>
              <w:spacing w:after="0"/>
              <w:rPr>
                <w:sz w:val="20"/>
                <w:szCs w:val="20"/>
                <w:color w:val="auto"/>
              </w:rPr>
            </w:pPr>
            <w:r>
              <w:rPr>
                <w:rFonts w:ascii="Arial" w:cs="Arial" w:eastAsia="Arial" w:hAnsi="Arial"/>
                <w:sz w:val="13"/>
                <w:szCs w:val="13"/>
                <w:color w:val="0000FF"/>
              </w:rPr>
              <w:t>07/31/2017</w:t>
            </w:r>
          </w:p>
        </w:tc>
        <w:tc>
          <w:tcPr>
            <w:tcW w:w="120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5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0000FF"/>
              </w:rPr>
              <w:t>140</w:t>
            </w:r>
          </w:p>
        </w:tc>
        <w:tc>
          <w:tcPr>
            <w:tcW w:w="800" w:type="dxa"/>
            <w:vAlign w:val="bottom"/>
            <w:gridSpan w:val="2"/>
          </w:tcPr>
          <w:p>
            <w:pPr>
              <w:jc w:val="right"/>
              <w:ind w:right="78"/>
              <w:spacing w:after="0"/>
              <w:rPr>
                <w:sz w:val="20"/>
                <w:szCs w:val="20"/>
                <w:color w:val="auto"/>
              </w:rPr>
            </w:pPr>
            <w:r>
              <w:rPr>
                <w:rFonts w:ascii="Arial" w:cs="Arial" w:eastAsia="Arial" w:hAnsi="Arial"/>
                <w:sz w:val="13"/>
                <w:szCs w:val="13"/>
                <w:color w:val="0000FF"/>
                <w:w w:val="98"/>
              </w:rPr>
              <w:t>07/31/2017</w:t>
            </w:r>
          </w:p>
        </w:tc>
        <w:tc>
          <w:tcPr>
            <w:tcW w:w="760" w:type="dxa"/>
            <w:vAlign w:val="bottom"/>
            <w:gridSpan w:val="2"/>
          </w:tcPr>
          <w:p>
            <w:pPr>
              <w:jc w:val="right"/>
              <w:ind w:right="36"/>
              <w:spacing w:after="0"/>
              <w:rPr>
                <w:sz w:val="20"/>
                <w:szCs w:val="20"/>
                <w:color w:val="auto"/>
              </w:rPr>
            </w:pPr>
            <w:r>
              <w:rPr>
                <w:rFonts w:ascii="Arial" w:cs="Arial" w:eastAsia="Arial" w:hAnsi="Arial"/>
                <w:sz w:val="13"/>
                <w:szCs w:val="13"/>
                <w:color w:val="0000FF"/>
                <w:w w:val="98"/>
              </w:rPr>
              <w:t>07/31/2017</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110"/>
              <w:spacing w:after="0"/>
              <w:rPr>
                <w:sz w:val="20"/>
                <w:szCs w:val="20"/>
                <w:color w:val="auto"/>
              </w:rPr>
            </w:pPr>
            <w:r>
              <w:rPr>
                <w:rFonts w:ascii="Arial" w:cs="Arial" w:eastAsia="Arial" w:hAnsi="Arial"/>
                <w:sz w:val="18"/>
                <w:szCs w:val="18"/>
                <w:color w:val="0000FF"/>
              </w:rPr>
              <w:t>140</w:t>
            </w:r>
          </w:p>
        </w:tc>
        <w:tc>
          <w:tcPr>
            <w:tcW w:w="40" w:type="dxa"/>
            <w:vAlign w:val="bottom"/>
          </w:tcPr>
          <w:p>
            <w:pPr>
              <w:spacing w:after="0"/>
              <w:rPr>
                <w:sz w:val="21"/>
                <w:szCs w:val="21"/>
                <w:color w:val="auto"/>
              </w:rPr>
            </w:pPr>
          </w:p>
        </w:tc>
        <w:tc>
          <w:tcPr>
            <w:tcW w:w="740" w:type="dxa"/>
            <w:vAlign w:val="bottom"/>
            <w:gridSpan w:val="2"/>
          </w:tcPr>
          <w:p>
            <w:pPr>
              <w:jc w:val="center"/>
              <w:ind w:right="2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right"/>
              <w:ind w:right="98"/>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4"/>
          <w:szCs w:val="24"/>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Deferred stock issued pursuant to the Director's elected form of compensation for: (i) participation in meetings of the Board of Directors and/or its committees; and (ii) quarterly annual retainer.</w:t>
      </w:r>
    </w:p>
    <w:p>
      <w:pPr>
        <w:spacing w:after="0" w:line="52" w:lineRule="exact"/>
        <w:rPr>
          <w:rFonts w:ascii="Arial" w:cs="Arial" w:eastAsia="Arial" w:hAnsi="Arial"/>
          <w:sz w:val="13"/>
          <w:szCs w:val="13"/>
          <w:color w:val="008000"/>
        </w:rPr>
      </w:pPr>
    </w:p>
    <w:p>
      <w:pPr>
        <w:ind w:left="40" w:right="180" w:firstLine="8"/>
        <w:spacing w:after="0" w:line="274" w:lineRule="auto"/>
        <w:tabs>
          <w:tab w:leader="none" w:pos="17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deferred stock is the economic equivalent of one share of common stock. The shares of deferred stock become payable in common stock at the expiration of the 3-year deferral period as elected by the Reporting Person under the terms of the Second Amended and Restated Non-Employee Director Compensation Plan (as amended).</w:t>
      </w:r>
    </w:p>
    <w:p>
      <w:pPr>
        <w:spacing w:after="0" w:line="8"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There is no set expiration date. Deferred Stock termination events are set forth in the Second Amended and Restated Non-Employee Director Compensation Plan (as amended).</w:t>
      </w:r>
    </w:p>
    <w:p>
      <w:pPr>
        <w:spacing w:after="0" w:line="52" w:lineRule="exact"/>
        <w:rPr>
          <w:rFonts w:ascii="Arial" w:cs="Arial" w:eastAsia="Arial" w:hAnsi="Arial"/>
          <w:sz w:val="13"/>
          <w:szCs w:val="13"/>
          <w:color w:val="008000"/>
        </w:rPr>
      </w:pPr>
    </w:p>
    <w:p>
      <w:pPr>
        <w:ind w:left="40" w:right="200" w:firstLine="8"/>
        <w:spacing w:after="0" w:line="274" w:lineRule="auto"/>
        <w:tabs>
          <w:tab w:leader="none" w:pos="17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deferred stock converted into one share of common stock on July 31, 2017, when the deferred stock vested. Upon vesting, the corresponding shares of common stock were distributed under the terms of the Second Amended and Restated Non-Employee Director Compensation Plan (as amended) and is reflected in Table 1.</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0"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08/02/2017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-27940</wp:posOffset>
            </wp:positionV>
            <wp:extent cx="13798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John E. Kyees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-22860</wp:posOffset>
            </wp:positionV>
            <wp:extent cx="1016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6000"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-91440</wp:posOffset>
            </wp:positionV>
            <wp:extent cx="5067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3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700" w:firstLine="8"/>
        <w:spacing w:after="0" w:line="322"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943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2019-12-23T15:09:45Z</dcterms:created>
  <dcterms:modified xsi:type="dcterms:W3CDTF">2019-12-23T15:09:45Z</dcterms:modified>
</cp:coreProperties>
</file>