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17,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603"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603"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November 17, 2005, Casual Male Retail Group, Inc. (the "Company") issued a press release announcing the Company's results of operations for the third quarter and first nine months ended October 29, 2005. A copy of this press release is attached hereto as Exhibit 99.1.</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press release contains certain non-GAAP measures which the Company believes is important for investors to help gain a better understanding of the Company. The release includes a reconciliation of such non-GAAP measures.</w:t>
      </w: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ind w:left="1280"/>
        <w:spacing w:after="0" w:line="238" w:lineRule="auto"/>
        <w:rPr>
          <w:sz w:val="20"/>
          <w:szCs w:val="20"/>
          <w:color w:val="auto"/>
        </w:rPr>
      </w:pPr>
      <w:r>
        <w:rPr>
          <w:rFonts w:ascii="Courier New" w:cs="Courier New" w:eastAsia="Courier New" w:hAnsi="Courier New"/>
          <w:sz w:val="18"/>
          <w:szCs w:val="18"/>
          <w:color w:val="auto"/>
        </w:rPr>
        <w:t>Exhibit No. Description</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4"/>
          <w:szCs w:val="24"/>
          <w:color w:val="auto"/>
        </w:rPr>
      </w:pPr>
    </w:p>
    <w:p>
      <w:pPr>
        <w:ind w:left="2440" w:right="2419" w:hanging="1052"/>
        <w:spacing w:after="0" w:line="279" w:lineRule="auto"/>
        <w:tabs>
          <w:tab w:leader="none" w:pos="24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results of operations for the third quarter and first nine months ended October 29, 2005 for Casual Male Retail Group, Inc.</w:t>
      </w:r>
    </w:p>
    <w:p>
      <w:pPr>
        <w:sectPr>
          <w:pgSz w:w="11900" w:h="16838" w:orient="portrait"/>
          <w:cols w:equalWidth="0" w:num="1">
            <w:col w:w="10219"/>
          </w:cols>
          <w:pgMar w:left="240" w:top="447" w:right="1440" w:bottom="603"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17, 2005</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 Worldwide</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10" w:lineRule="exact"/>
        <w:rPr>
          <w:sz w:val="20"/>
          <w:szCs w:val="20"/>
          <w:color w:val="auto"/>
        </w:rPr>
      </w:pPr>
    </w:p>
    <w:p>
      <w:pPr>
        <w:ind w:left="2220" w:right="2739" w:hanging="1474"/>
        <w:spacing w:after="0" w:line="235" w:lineRule="auto"/>
        <w:rPr>
          <w:sz w:val="20"/>
          <w:szCs w:val="20"/>
          <w:color w:val="auto"/>
        </w:rPr>
      </w:pPr>
      <w:r>
        <w:rPr>
          <w:rFonts w:ascii="Courier New" w:cs="Courier New" w:eastAsia="Courier New" w:hAnsi="Courier New"/>
          <w:sz w:val="18"/>
          <w:szCs w:val="18"/>
          <w:color w:val="auto"/>
        </w:rPr>
        <w:t>Casual Male Retail Group, Inc. Reports Operating Results for the Third Quarter of Fiscal 2005</w:t>
      </w:r>
    </w:p>
    <w:p>
      <w:pPr>
        <w:spacing w:after="0" w:line="200" w:lineRule="exact"/>
        <w:rPr>
          <w:sz w:val="20"/>
          <w:szCs w:val="20"/>
          <w:color w:val="auto"/>
        </w:rPr>
      </w:pPr>
    </w:p>
    <w:p>
      <w:pPr>
        <w:spacing w:after="0" w:line="21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CANTON, MA, November 17, 2005 -- Casual Male Retail Group, Inc. (NASDAQ/NMS: "CMRG"), retail brand operator of Casual Male Big &amp; Tall and Rochester Big &amp; Tall, today reported its operating results for the third quarter and first nine months of fiscal 2005.</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For the 13 week period ended October 29, 2005, the Company reported a loss from continuing operations of $2.8 million, or $0.08 per diluted share, compared to a loss of $3.4 million, or $0.10 per diluted share, which excludes the results of discontinued operations, for the corresponding 13 week period ended October 30, 2004. This year's third quarter results include a $0.7 million gain or $0.02 per diluted share related to the Visa/MasterCard class action settlement. Last year's third quarter results benefited from a $1.7 million or $0.05 per diluted share adjustment associated with certain accrued liabilities which were revised based upon more recent experience.</w:t>
      </w:r>
    </w:p>
    <w:p>
      <w:pPr>
        <w:spacing w:after="0" w:line="215"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Previously, the Company reported comparable store sales for the third quarter of 2005 increased by 3.7% when compared to the third quarter of fiscal 2004 and comparable store sales for the nine months ended October 29, 2005 increased by 3.1% when compared to the nine months of the prior year.</w:t>
      </w:r>
    </w:p>
    <w:p>
      <w:pPr>
        <w:spacing w:after="0" w:line="209" w:lineRule="exact"/>
        <w:rPr>
          <w:sz w:val="20"/>
          <w:szCs w:val="20"/>
          <w:color w:val="auto"/>
        </w:rPr>
      </w:pPr>
    </w:p>
    <w:p>
      <w:pPr>
        <w:ind w:right="2739"/>
        <w:spacing w:after="0" w:line="238" w:lineRule="auto"/>
        <w:rPr>
          <w:sz w:val="20"/>
          <w:szCs w:val="20"/>
          <w:color w:val="auto"/>
        </w:rPr>
      </w:pPr>
      <w:r>
        <w:rPr>
          <w:rFonts w:ascii="Courier New" w:cs="Courier New" w:eastAsia="Courier New" w:hAnsi="Courier New"/>
          <w:sz w:val="18"/>
          <w:szCs w:val="18"/>
          <w:color w:val="auto"/>
        </w:rPr>
        <w:t>On an overall basis, for the 13 week period ended October 29, 2005, the Company reported a net loss of $2.8 million, or $0.08 per diluted share, compared to a net loss of $1.4 million, or $0.04 per diluted share, for the corresponding 13 week period ended October 30, 2004. Results for the third quarter of fiscal 2004 included income from discontinued operations of $2.0 million, or $0.06 per diluted share related to the divested Levi's(r)/Dockers(r) outlet stores. Notwithstanding the Company's $100 million tax loss carry forward, assuming a normalized tax rate of 37%, the net loss per share for the third quarter of fiscal 2005 was $0.05 per diluted share compared to a net loss of $0.03 per diluted share for the third quarter of fiscal 2004.</w:t>
      </w:r>
    </w:p>
    <w:p>
      <w:pPr>
        <w:spacing w:after="0" w:line="207"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For the nine months ended October 29, 2005, the net loss from continuing operations was $2.7 million, or $0.08 per diluted share, compared to a net loss from continuing operations of $7.3 million or $0.21 per diluted share for the prior year's nine months ended October 30, 2004. Included in the prior year's results are sales of $12.6 million and an operating loss of $0.7 million, or $0.02 per diluted share, related to the Ecko Unltd.(r) outlet stores, which were divested in July 2004. Additionally, for the prior year's nine months ended October 30, 2004, the Company recorded income from discontinued operations of $0.9 million, or $0.03 per diluted share related to the divested Levi's(r)/Dockers(r) outlet stores, which reduced the prior year's nine months net loss from $0.21 to $0.18 per diluted share.</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Results for the third quarter and nine months of fiscal 2005 include the operating results of the Company's Rochester Big &amp; Tall stores, which were acquired by the Company on October 29, 2004. Accordingly, the third quarter and nine months of fiscal 2004 only include the operating results of the Rochester stores for the last two days of the prior year's third quarter.</w:t>
      </w:r>
    </w:p>
    <w:p>
      <w:pPr>
        <w:spacing w:after="0" w:line="210"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In addition to the financial measures prepared in accordance with generally accepted accounting principles (GAAP), our above discussion refers to a normalized tax rate, which is a non-GAAP measurement. Normalized tax basis reflects a 37% effective tax rate on pre-tax incomes. The Company believes that the inclusion of this non-GAAP measure helps investors to gain a better understanding of the Company's performance, especially when comparing such results to previous periods or forecasts. However, this non-GAAP financial measure included in this press release is not meant to be considered superior to or as a substitute for results of operations prepared in accordance with GAAP.</w:t>
      </w:r>
    </w:p>
    <w:p>
      <w:pPr>
        <w:sectPr>
          <w:pgSz w:w="11900" w:h="16838" w:orient="portrait"/>
          <w:cols w:equalWidth="0" w:num="1">
            <w:col w:w="10219"/>
          </w:cols>
          <w:pgMar w:left="240" w:top="339" w:right="1440" w:bottom="0" w:gutter="0" w:footer="0" w:header="0"/>
        </w:sectPr>
      </w:pPr>
    </w:p>
    <w:bookmarkStart w:id="3" w:name="page4"/>
    <w:bookmarkEnd w:id="3"/>
    <w:p>
      <w:pPr>
        <w:ind w:right="2739"/>
        <w:spacing w:after="0" w:line="275" w:lineRule="auto"/>
        <w:rPr>
          <w:sz w:val="20"/>
          <w:szCs w:val="20"/>
          <w:color w:val="auto"/>
        </w:rPr>
      </w:pPr>
      <w:r>
        <w:rPr>
          <w:rFonts w:ascii="Courier New" w:cs="Courier New" w:eastAsia="Courier New" w:hAnsi="Courier New"/>
          <w:sz w:val="16"/>
          <w:szCs w:val="16"/>
          <w:color w:val="auto"/>
        </w:rPr>
        <w:t>The following table shows the reconciliation of the net loss of $0.05 per diluted share for the third quarter of fiscal 2005 as compared to the net loss of $0.03 per diluted share for the third quarter of fiscal 2004 on a GAAP basis affected for the adjustment for normalized taxes: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gridSpan w:val="2"/>
          </w:tcPr>
          <w:p>
            <w:pPr>
              <w:spacing w:after="0"/>
              <w:rPr>
                <w:sz w:val="20"/>
                <w:szCs w:val="20"/>
                <w:color w:val="auto"/>
              </w:rPr>
            </w:pPr>
            <w:r>
              <w:rPr>
                <w:rFonts w:ascii="Courier New" w:cs="Courier New" w:eastAsia="Courier New" w:hAnsi="Courier New"/>
                <w:sz w:val="18"/>
                <w:szCs w:val="18"/>
                <w:color w:val="auto"/>
              </w:rPr>
              <w:t>For the 13 weeks ended:</w:t>
            </w:r>
          </w:p>
        </w:tc>
        <w:tc>
          <w:tcPr>
            <w:tcW w:w="26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October 29, 2005</w:t>
            </w:r>
          </w:p>
        </w:tc>
        <w:tc>
          <w:tcPr>
            <w:tcW w:w="21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October 30, 2004</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(dollars and shares</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millions, except</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 share amounts)</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Loss</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 Share</w:t>
            </w:r>
          </w:p>
        </w:tc>
        <w:tc>
          <w:tcPr>
            <w:tcW w:w="21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Net Loss Per Share</w:t>
            </w:r>
          </w:p>
        </w:tc>
      </w:tr>
      <w:tr>
        <w:trPr>
          <w:trHeight w:val="203"/>
        </w:trPr>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Loss from continuing</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17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discontinued</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operations</w:t>
            </w:r>
          </w:p>
        </w:tc>
        <w:tc>
          <w:tcPr>
            <w:tcW w:w="174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$0.06</w:t>
            </w:r>
          </w:p>
        </w:tc>
      </w:tr>
      <w:tr>
        <w:trPr>
          <w:trHeight w:val="203"/>
        </w:trPr>
        <w:tc>
          <w:tcPr>
            <w:tcW w:w="1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loss, as reported</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$(0.04)</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assuming</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normalized</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tax rate of 37%</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0.03</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0.01</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Adjusted net loss, after</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normalized</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tax benefit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$(0.05)</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Weighted average shares</w:t>
            </w:r>
          </w:p>
        </w:tc>
        <w:tc>
          <w:tcPr>
            <w:tcW w:w="1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Outstanding - diluted</w:t>
            </w:r>
          </w:p>
        </w:tc>
        <w:tc>
          <w:tcPr>
            <w:tcW w:w="12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34.3</w:t>
            </w:r>
          </w:p>
        </w:tc>
        <w:tc>
          <w:tcPr>
            <w:tcW w:w="12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34.2</w:t>
            </w:r>
          </w:p>
        </w:tc>
      </w:tr>
    </w:tbl>
    <w:p>
      <w:pPr>
        <w:spacing w:after="0" w:line="207" w:lineRule="exact"/>
        <w:rPr>
          <w:sz w:val="20"/>
          <w:szCs w:val="20"/>
          <w:color w:val="auto"/>
        </w:rPr>
      </w:pPr>
    </w:p>
    <w:p>
      <w:pPr>
        <w:ind w:right="2739"/>
        <w:spacing w:after="0" w:line="271" w:lineRule="auto"/>
        <w:rPr>
          <w:sz w:val="20"/>
          <w:szCs w:val="20"/>
          <w:color w:val="auto"/>
        </w:rPr>
      </w:pPr>
      <w:r>
        <w:rPr>
          <w:rFonts w:ascii="Courier New" w:cs="Courier New" w:eastAsia="Courier New" w:hAnsi="Courier New"/>
          <w:sz w:val="16"/>
          <w:szCs w:val="16"/>
          <w:color w:val="auto"/>
        </w:rPr>
        <w:t>CMRG will host a conference call with security analysts beginning at 11:00 a.m. ET today, Thursday, November 17, 2005, to review the operating results for the third quarter ended October 29, 2005. The call is being web cast by CCBN and can be accessed at www.casualmale.com/investor. 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388"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Casual Male Retail Group, Inc., the largest retailer of big and tall men's apparel with retail operations throughout the United States, Canada and London, England, operates 491 Casual Male Big &amp; Tall stores, the Casual Male e-commerce site, Casual Male catalog business, 13 Casual Male at Sears-Canada stores and 24 Rochester Big &amp; Tall stores and a direct-to-consumer business. The Company is headquartered in Canton, Massachusetts and its common stock is listed on the NASDAQ National Market under the symbol "CMRG."</w:t>
      </w:r>
    </w:p>
    <w:p>
      <w:pPr>
        <w:spacing w:after="0" w:line="10"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including without limitation , its Current Report Form 8-K filed on April 8, 2005, that set forth certain risks and uncertainties that may have an impact on future results and direction of the Company.</w:t>
      </w: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ind w:left="2220"/>
        <w:spacing w:after="0" w:line="238" w:lineRule="auto"/>
        <w:rPr>
          <w:sz w:val="20"/>
          <w:szCs w:val="20"/>
          <w:color w:val="auto"/>
        </w:rPr>
      </w:pPr>
      <w:r>
        <w:rPr>
          <w:rFonts w:ascii="Courier New" w:cs="Courier New" w:eastAsia="Courier New" w:hAnsi="Courier New"/>
          <w:sz w:val="18"/>
          <w:szCs w:val="18"/>
          <w:color w:val="auto"/>
        </w:rPr>
        <w:t>CASUAL MALE RETAIL GROUP, INC.</w:t>
      </w:r>
    </w:p>
    <w:p>
      <w:pPr>
        <w:ind w:left="1900"/>
        <w:spacing w:after="0"/>
        <w:rPr>
          <w:sz w:val="20"/>
          <w:szCs w:val="20"/>
          <w:color w:val="auto"/>
        </w:rPr>
      </w:pPr>
      <w:r>
        <w:rPr>
          <w:rFonts w:ascii="Courier New" w:cs="Courier New" w:eastAsia="Courier New" w:hAnsi="Courier New"/>
          <w:sz w:val="18"/>
          <w:szCs w:val="18"/>
          <w:color w:val="auto"/>
        </w:rPr>
        <w:t>CONSOLIDATED STATEMENTS OF OPERATIONS</w:t>
      </w:r>
    </w:p>
    <w:p>
      <w:pPr>
        <w:ind w:left="2000"/>
        <w:spacing w:after="0" w:line="237" w:lineRule="auto"/>
        <w:rPr>
          <w:sz w:val="20"/>
          <w:szCs w:val="20"/>
          <w:color w:val="auto"/>
        </w:rPr>
      </w:pPr>
      <w:r>
        <w:rPr>
          <w:rFonts w:ascii="Courier New" w:cs="Courier New" w:eastAsia="Courier New" w:hAnsi="Courier New"/>
          <w:sz w:val="18"/>
          <w:szCs w:val="18"/>
          <w:color w:val="auto"/>
        </w:rPr>
        <w:t>(In thousands, except per share data)</w:t>
      </w:r>
    </w:p>
    <w:p>
      <w:pPr>
        <w:ind w:left="316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940" w:type="dxa"/>
            <w:vAlign w:val="bottom"/>
          </w:tcPr>
          <w:p>
            <w:pPr>
              <w:ind w:left="220"/>
              <w:spacing w:after="0"/>
              <w:rPr>
                <w:sz w:val="20"/>
                <w:szCs w:val="20"/>
                <w:color w:val="auto"/>
              </w:rPr>
            </w:pPr>
            <w:r>
              <w:rPr>
                <w:rFonts w:ascii="Courier New" w:cs="Courier New" w:eastAsia="Courier New" w:hAnsi="Courier New"/>
                <w:sz w:val="18"/>
                <w:szCs w:val="18"/>
                <w:color w:val="auto"/>
                <w:w w:val="92"/>
              </w:rPr>
              <w:t>For the</w:t>
            </w:r>
          </w:p>
        </w:tc>
        <w:tc>
          <w:tcPr>
            <w:tcW w:w="22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26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For the nine months ended</w:t>
            </w:r>
          </w:p>
        </w:tc>
      </w:tr>
      <w:tr>
        <w:trPr>
          <w:trHeight w:val="203"/>
        </w:trPr>
        <w:tc>
          <w:tcPr>
            <w:tcW w:w="2640" w:type="dxa"/>
            <w:vAlign w:val="bottom"/>
          </w:tcPr>
          <w:p>
            <w:pPr>
              <w:spacing w:after="0"/>
              <w:rPr>
                <w:sz w:val="17"/>
                <w:szCs w:val="17"/>
                <w:color w:val="auto"/>
              </w:rPr>
            </w:pPr>
          </w:p>
        </w:tc>
        <w:tc>
          <w:tcPr>
            <w:tcW w:w="1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10/29/2005</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10/30/2005</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10/29/2005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10/30/2005</w:t>
            </w:r>
          </w:p>
        </w:tc>
      </w:tr>
      <w:tr>
        <w:trPr>
          <w:trHeight w:val="203"/>
        </w:trPr>
        <w:tc>
          <w:tcPr>
            <w:tcW w:w="2640" w:type="dxa"/>
            <w:vAlign w:val="bottom"/>
          </w:tcPr>
          <w:p>
            <w:pPr>
              <w:spacing w:after="0"/>
              <w:rPr>
                <w:sz w:val="17"/>
                <w:szCs w:val="17"/>
                <w:color w:val="auto"/>
              </w:rPr>
            </w:pPr>
          </w:p>
        </w:tc>
        <w:tc>
          <w:tcPr>
            <w:tcW w:w="31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9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93,770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74,646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$ 291,688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$ 246,897</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Cost of goods sold</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 occupancy</w:t>
            </w:r>
          </w:p>
        </w:tc>
        <w:tc>
          <w:tcPr>
            <w:tcW w:w="9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55,185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44,414</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169,191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146,780</w:t>
            </w:r>
          </w:p>
        </w:tc>
      </w:tr>
      <w:tr>
        <w:trPr>
          <w:trHeight w:val="203"/>
        </w:trPr>
        <w:tc>
          <w:tcPr>
            <w:tcW w:w="2640" w:type="dxa"/>
            <w:vAlign w:val="bottom"/>
          </w:tcPr>
          <w:p>
            <w:pPr>
              <w:spacing w:after="0"/>
              <w:rPr>
                <w:sz w:val="17"/>
                <w:szCs w:val="17"/>
                <w:color w:val="auto"/>
              </w:rPr>
            </w:pP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w:t>
            </w:r>
          </w:p>
        </w:tc>
        <w:tc>
          <w:tcPr>
            <w:tcW w:w="9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38,585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30,232</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122,497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100,117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9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36,175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29,276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109,942</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95,175</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2,480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9,106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7,215</w:t>
            </w:r>
          </w:p>
        </w:tc>
      </w:tr>
      <w:tr>
        <w:trPr>
          <w:trHeight w:val="203"/>
        </w:trPr>
        <w:tc>
          <w:tcPr>
            <w:tcW w:w="2640" w:type="dxa"/>
            <w:vAlign w:val="bottom"/>
          </w:tcPr>
          <w:p>
            <w:pPr>
              <w:spacing w:after="0"/>
              <w:rPr>
                <w:sz w:val="17"/>
                <w:szCs w:val="17"/>
                <w:color w:val="auto"/>
              </w:rPr>
            </w:pP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9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39,306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31,756</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119,048</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102,390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94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(721)</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(1,524)</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3,449</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(2,273)</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940" w:type="dxa"/>
            <w:vAlign w:val="bottom"/>
          </w:tcPr>
          <w:p>
            <w:pPr>
              <w:spacing w:after="0"/>
              <w:rPr>
                <w:sz w:val="24"/>
                <w:szCs w:val="24"/>
                <w:color w:val="auto"/>
              </w:rPr>
            </w:pP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net</w:t>
            </w:r>
          </w:p>
        </w:tc>
        <w:tc>
          <w:tcPr>
            <w:tcW w:w="9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(6,145)</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(6,034)</w:t>
            </w:r>
          </w:p>
        </w:tc>
      </w:tr>
      <w:tr>
        <w:trPr>
          <w:trHeight w:val="203"/>
        </w:trPr>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Loss from continuing operations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minority interest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(2,696)</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(7,999)</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Minority interest</w:t>
            </w:r>
          </w:p>
        </w:tc>
        <w:tc>
          <w:tcPr>
            <w:tcW w:w="160" w:type="dxa"/>
            <w:vAlign w:val="bottom"/>
          </w:tcPr>
          <w:p>
            <w:pPr>
              <w:spacing w:after="0"/>
              <w:rPr>
                <w:sz w:val="24"/>
                <w:szCs w:val="24"/>
                <w:color w:val="auto"/>
              </w:rPr>
            </w:pPr>
          </w:p>
        </w:tc>
        <w:tc>
          <w:tcPr>
            <w:tcW w:w="11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(701)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1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Loss from continuing operations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(3,402)</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(2,696)</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(7,298)</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Income from discontinued</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1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2,036</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937</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(2,835)</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9"/>
              </w:rPr>
              <w:t>$  (1,366)</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(2,696)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(6,361)</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600" w:type="dxa"/>
            <w:vAlign w:val="bottom"/>
            <w:gridSpan w:val="3"/>
          </w:tcPr>
          <w:p>
            <w:pPr>
              <w:spacing w:after="0"/>
              <w:rPr>
                <w:sz w:val="20"/>
                <w:szCs w:val="20"/>
                <w:color w:val="auto"/>
              </w:rPr>
            </w:pPr>
            <w:r>
              <w:rPr>
                <w:rFonts w:ascii="Courier New" w:cs="Courier New" w:eastAsia="Courier New" w:hAnsi="Courier New"/>
                <w:sz w:val="18"/>
                <w:szCs w:val="18"/>
                <w:color w:val="auto"/>
              </w:rPr>
              <w:t>Net loss per share - basic and diluted</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Loss from continuing operations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($0.10)</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discontinued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1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$0.00</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$0.06</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$0.00</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($0.08)</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($0.04)</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($0.08)</w:t>
            </w: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($0.18)</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Weighted-average number</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common shares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and Diluted</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34,345</w:t>
            </w:r>
          </w:p>
        </w:tc>
        <w:tc>
          <w:tcPr>
            <w:tcW w:w="13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34,209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34,288</w:t>
            </w:r>
          </w:p>
        </w:tc>
        <w:tc>
          <w:tcPr>
            <w:tcW w:w="1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34,607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CASUAL MALE RETAIL GROUP, INC.</w:t>
      </w:r>
    </w:p>
    <w:p>
      <w:pPr>
        <w:ind w:left="254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120"/>
        <w:spacing w:after="0"/>
        <w:rPr>
          <w:sz w:val="20"/>
          <w:szCs w:val="20"/>
          <w:color w:val="auto"/>
        </w:rPr>
      </w:pPr>
      <w:r>
        <w:rPr>
          <w:rFonts w:ascii="Courier New" w:cs="Courier New" w:eastAsia="Courier New" w:hAnsi="Courier New"/>
          <w:sz w:val="18"/>
          <w:szCs w:val="18"/>
          <w:color w:val="auto"/>
        </w:rPr>
        <w:t>October 30, 2004 and January 31, 2004</w:t>
      </w:r>
    </w:p>
    <w:tbl>
      <w:tblPr>
        <w:tblLayout w:type="fixed"/>
        <w:tblInd w:w="0" w:type="dxa"/>
        <w:tblCellMar>
          <w:top w:w="0" w:type="dxa"/>
          <w:left w:w="0" w:type="dxa"/>
          <w:bottom w:w="0" w:type="dxa"/>
          <w:right w:w="0" w:type="dxa"/>
        </w:tblCellMar>
      </w:tblPr>
      <w:tr>
        <w:trPr>
          <w:trHeight w:val="202"/>
        </w:trPr>
        <w:tc>
          <w:tcPr>
            <w:tcW w:w="5480" w:type="dxa"/>
            <w:vAlign w:val="bottom"/>
            <w:gridSpan w:val="3"/>
          </w:tcPr>
          <w:p>
            <w:pPr>
              <w:jc w:val="right"/>
              <w:ind w:right="752"/>
              <w:spacing w:after="0" w:line="202" w:lineRule="exact"/>
              <w:rPr>
                <w:sz w:val="20"/>
                <w:szCs w:val="20"/>
                <w:color w:val="auto"/>
              </w:rPr>
            </w:pPr>
            <w:r>
              <w:rPr>
                <w:rFonts w:ascii="Courier New" w:cs="Courier New" w:eastAsia="Courier New" w:hAnsi="Courier New"/>
                <w:sz w:val="18"/>
                <w:szCs w:val="18"/>
                <w:color w:val="auto"/>
              </w:rPr>
              <w:t>(In thousands)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08"/>
        </w:trPr>
        <w:tc>
          <w:tcPr>
            <w:tcW w:w="3800" w:type="dxa"/>
            <w:vAlign w:val="bottom"/>
          </w:tcPr>
          <w:p>
            <w:pPr>
              <w:spacing w:after="0"/>
              <w:rPr>
                <w:sz w:val="24"/>
                <w:szCs w:val="24"/>
                <w:color w:val="auto"/>
              </w:rPr>
            </w:pPr>
          </w:p>
        </w:tc>
        <w:tc>
          <w:tcPr>
            <w:tcW w:w="168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w w:val="96"/>
              </w:rPr>
              <w:t>October 29</w:t>
            </w:r>
          </w:p>
        </w:tc>
        <w:tc>
          <w:tcPr>
            <w:tcW w:w="1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January 29,</w:t>
            </w:r>
          </w:p>
        </w:tc>
      </w:tr>
      <w:tr>
        <w:trPr>
          <w:trHeight w:val="203"/>
        </w:trPr>
        <w:tc>
          <w:tcPr>
            <w:tcW w:w="3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2"/>
              </w:rPr>
              <w:t>2005</w:t>
            </w:r>
          </w:p>
        </w:tc>
        <w:tc>
          <w:tcPr>
            <w:tcW w:w="84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3800" w:type="dxa"/>
            <w:vAlign w:val="bottom"/>
          </w:tcPr>
          <w:p>
            <w:pPr>
              <w:spacing w:after="0"/>
              <w:rPr>
                <w:sz w:val="17"/>
                <w:szCs w:val="17"/>
                <w:color w:val="auto"/>
              </w:rPr>
            </w:pPr>
          </w:p>
        </w:tc>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8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Cash and investments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6,483</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5,731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107,108</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79,858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8,598</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9,178</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76,797</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74,651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89,700</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89,349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8,742</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9,021</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$ 297,428</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$ 267,788</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w w:val="97"/>
              </w:rPr>
              <w:t>LIABILITIES AND STOCKHOLDERS' EQUITY</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Accounts payable, accrued expenses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66,034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53,729</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41,659</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19,311</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net of current</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portion</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114,870</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117,784</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17"/>
                <w:szCs w:val="17"/>
                <w:color w:val="auto"/>
              </w:rPr>
            </w:pP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74,865</w:t>
            </w:r>
          </w:p>
        </w:tc>
        <w:tc>
          <w:tcPr>
            <w:tcW w:w="8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76,964</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5"/>
              </w:rPr>
              <w:t>297,428</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$ 267,788</w:t>
            </w:r>
          </w:p>
        </w:tc>
      </w:tr>
      <w:tr>
        <w:trPr>
          <w:trHeight w:val="203"/>
        </w:trPr>
        <w:tc>
          <w:tcPr>
            <w:tcW w:w="3800" w:type="dxa"/>
            <w:vAlign w:val="bottom"/>
          </w:tcPr>
          <w:p>
            <w:pPr>
              <w:spacing w:after="0"/>
              <w:rPr>
                <w:sz w:val="17"/>
                <w:szCs w:val="17"/>
                <w:color w:val="auto"/>
              </w:rPr>
            </w:pPr>
          </w:p>
        </w:tc>
        <w:tc>
          <w:tcPr>
            <w:tcW w:w="168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2019-12-19T22:00:36Z</dcterms:created>
  <dcterms:modified xsi:type="dcterms:W3CDTF">2019-12-19T22:00:36Z</dcterms:modified>
</cp:coreProperties>
</file>