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UNITED STATES</w:t>
      </w:r>
    </w:p>
    <w:p>
      <w:pPr>
        <w:ind w:left="2220"/>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ind w:left="2860"/>
        <w:spacing w:after="0"/>
        <w:tabs>
          <w:tab w:leader="none" w:pos="4720" w:val="left"/>
        </w:tabs>
        <w:rPr>
          <w:sz w:val="20"/>
          <w:szCs w:val="20"/>
          <w:color w:val="auto"/>
        </w:rPr>
      </w:pPr>
      <w:r>
        <w:rPr>
          <w:rFonts w:ascii="Courier New" w:cs="Courier New" w:eastAsia="Courier New" w:hAnsi="Courier New"/>
          <w:sz w:val="18"/>
          <w:szCs w:val="18"/>
          <w:color w:val="auto"/>
        </w:rPr>
        <w:t>Washington, D.C.</w:t>
        <w:tab/>
        <w:t>20549</w:t>
      </w:r>
    </w:p>
    <w:p>
      <w:pPr>
        <w:ind w:left="2540"/>
        <w:spacing w:after="0" w:line="237" w:lineRule="auto"/>
        <w:rPr>
          <w:sz w:val="20"/>
          <w:szCs w:val="20"/>
          <w:color w:val="auto"/>
        </w:rPr>
      </w:pPr>
      <w:r>
        <w:rPr>
          <w:rFonts w:ascii="Courier New" w:cs="Courier New" w:eastAsia="Courier New" w:hAnsi="Courier New"/>
          <w:sz w:val="18"/>
          <w:szCs w:val="18"/>
          <w:color w:val="auto"/>
        </w:rPr>
        <w:t>______________________________</w:t>
      </w:r>
    </w:p>
    <w:p>
      <w:pPr>
        <w:spacing w:after="0" w:line="202"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FORM 8-K/A</w:t>
      </w:r>
    </w:p>
    <w:p>
      <w:pPr>
        <w:ind w:left="3280"/>
        <w:spacing w:after="0" w:line="238" w:lineRule="auto"/>
        <w:rPr>
          <w:sz w:val="20"/>
          <w:szCs w:val="20"/>
          <w:color w:val="auto"/>
        </w:rPr>
      </w:pPr>
      <w:r>
        <w:rPr>
          <w:rFonts w:ascii="Courier New" w:cs="Courier New" w:eastAsia="Courier New" w:hAnsi="Courier New"/>
          <w:sz w:val="18"/>
          <w:szCs w:val="18"/>
          <w:color w:val="auto"/>
        </w:rPr>
        <w:t>CURRENT REPORT</w:t>
      </w:r>
    </w:p>
    <w:p>
      <w:pPr>
        <w:spacing w:after="0" w:line="200" w:lineRule="exact"/>
        <w:rPr>
          <w:sz w:val="24"/>
          <w:szCs w:val="24"/>
          <w:color w:val="auto"/>
        </w:rPr>
      </w:pPr>
    </w:p>
    <w:p>
      <w:pPr>
        <w:spacing w:after="0" w:line="204" w:lineRule="exact"/>
        <w:rPr>
          <w:sz w:val="24"/>
          <w:szCs w:val="24"/>
          <w:color w:val="auto"/>
        </w:rPr>
      </w:pPr>
    </w:p>
    <w:p>
      <w:pPr>
        <w:ind w:left="2000"/>
        <w:spacing w:after="0"/>
        <w:rPr>
          <w:sz w:val="20"/>
          <w:szCs w:val="20"/>
          <w:color w:val="auto"/>
        </w:rPr>
      </w:pPr>
      <w:r>
        <w:rPr>
          <w:rFonts w:ascii="Courier New" w:cs="Courier New" w:eastAsia="Courier New" w:hAnsi="Courier New"/>
          <w:sz w:val="18"/>
          <w:szCs w:val="18"/>
          <w:color w:val="auto"/>
        </w:rPr>
        <w:t>PURSUANT TO SECTION 13 OR 15(d) OF THE</w:t>
      </w:r>
    </w:p>
    <w:p>
      <w:pPr>
        <w:ind w:left="2320"/>
        <w:spacing w:after="0" w:line="238" w:lineRule="auto"/>
        <w:rPr>
          <w:sz w:val="20"/>
          <w:szCs w:val="20"/>
          <w:color w:val="auto"/>
        </w:rPr>
      </w:pPr>
      <w:r>
        <w:rPr>
          <w:rFonts w:ascii="Courier New" w:cs="Courier New" w:eastAsia="Courier New" w:hAnsi="Courier New"/>
          <w:sz w:val="18"/>
          <w:szCs w:val="18"/>
          <w:color w:val="auto"/>
        </w:rPr>
        <w:t>SECURITIES EXCHANGE ACT OF 1934</w:t>
      </w:r>
    </w:p>
    <w:p>
      <w:pPr>
        <w:spacing w:after="0" w:line="200" w:lineRule="exact"/>
        <w:rPr>
          <w:sz w:val="24"/>
          <w:szCs w:val="24"/>
          <w:color w:val="auto"/>
        </w:rPr>
      </w:pPr>
    </w:p>
    <w:p>
      <w:pPr>
        <w:spacing w:after="0" w:line="204" w:lineRule="exact"/>
        <w:rPr>
          <w:sz w:val="24"/>
          <w:szCs w:val="24"/>
          <w:color w:val="auto"/>
        </w:rPr>
      </w:pPr>
    </w:p>
    <w:p>
      <w:pPr>
        <w:ind w:left="640"/>
        <w:spacing w:after="0"/>
        <w:tabs>
          <w:tab w:leader="none" w:pos="6000" w:val="left"/>
        </w:tabs>
        <w:rPr>
          <w:sz w:val="20"/>
          <w:szCs w:val="20"/>
          <w:color w:val="auto"/>
        </w:rPr>
      </w:pPr>
      <w:r>
        <w:rPr>
          <w:rFonts w:ascii="Courier New" w:cs="Courier New" w:eastAsia="Courier New" w:hAnsi="Courier New"/>
          <w:sz w:val="18"/>
          <w:szCs w:val="18"/>
          <w:color w:val="auto"/>
        </w:rPr>
        <w:t>Date of Report (Date of earliest event reported):</w:t>
      </w:r>
      <w:r>
        <w:rPr>
          <w:sz w:val="20"/>
          <w:szCs w:val="20"/>
          <w:color w:val="auto"/>
        </w:rPr>
        <w:tab/>
      </w:r>
      <w:r>
        <w:rPr>
          <w:rFonts w:ascii="Courier New" w:cs="Courier New" w:eastAsia="Courier New" w:hAnsi="Courier New"/>
          <w:sz w:val="16"/>
          <w:szCs w:val="16"/>
          <w:color w:val="auto"/>
        </w:rPr>
        <w:t>November 17, 2005</w:t>
      </w:r>
    </w:p>
    <w:p>
      <w:pPr>
        <w:spacing w:after="0" w:line="200" w:lineRule="exact"/>
        <w:rPr>
          <w:sz w:val="24"/>
          <w:szCs w:val="24"/>
          <w:color w:val="auto"/>
        </w:rPr>
      </w:pPr>
    </w:p>
    <w:p>
      <w:pPr>
        <w:spacing w:after="0" w:line="204"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0-15898</w:t>
      </w:r>
    </w:p>
    <w:p>
      <w:pPr>
        <w:ind w:left="2740"/>
        <w:spacing w:after="0" w:line="238" w:lineRule="auto"/>
        <w:rPr>
          <w:sz w:val="20"/>
          <w:szCs w:val="20"/>
          <w:color w:val="auto"/>
        </w:rPr>
      </w:pPr>
      <w:r>
        <w:rPr>
          <w:rFonts w:ascii="Courier New" w:cs="Courier New" w:eastAsia="Courier New" w:hAnsi="Courier New"/>
          <w:sz w:val="18"/>
          <w:szCs w:val="18"/>
          <w:color w:val="auto"/>
        </w:rPr>
        <w:t>(Commission File Number)</w:t>
      </w:r>
    </w:p>
    <w:p>
      <w:pPr>
        <w:spacing w:after="0" w:line="202" w:lineRule="exact"/>
        <w:rPr>
          <w:sz w:val="24"/>
          <w:szCs w:val="24"/>
          <w:color w:val="auto"/>
        </w:rPr>
      </w:pPr>
    </w:p>
    <w:p>
      <w:pPr>
        <w:ind w:left="2440"/>
        <w:spacing w:after="0"/>
        <w:rPr>
          <w:sz w:val="20"/>
          <w:szCs w:val="20"/>
          <w:color w:val="auto"/>
        </w:rPr>
      </w:pPr>
      <w:r>
        <w:rPr>
          <w:rFonts w:ascii="Courier New" w:cs="Courier New" w:eastAsia="Courier New" w:hAnsi="Courier New"/>
          <w:sz w:val="18"/>
          <w:szCs w:val="18"/>
          <w:color w:val="auto"/>
        </w:rPr>
        <w:t>______________________________</w:t>
      </w:r>
    </w:p>
    <w:p>
      <w:pPr>
        <w:spacing w:after="0" w:line="201" w:lineRule="exact"/>
        <w:rPr>
          <w:sz w:val="24"/>
          <w:szCs w:val="24"/>
          <w:color w:val="auto"/>
        </w:rPr>
      </w:pPr>
    </w:p>
    <w:p>
      <w:pPr>
        <w:ind w:left="2220"/>
        <w:spacing w:after="0"/>
        <w:rPr>
          <w:sz w:val="20"/>
          <w:szCs w:val="20"/>
          <w:color w:val="auto"/>
        </w:rPr>
      </w:pPr>
      <w:r>
        <w:rPr>
          <w:rFonts w:ascii="Courier New" w:cs="Courier New" w:eastAsia="Courier New" w:hAnsi="Courier New"/>
          <w:sz w:val="18"/>
          <w:szCs w:val="18"/>
          <w:color w:val="auto"/>
        </w:rPr>
        <w:t>CASUAL MALE RETAIL GROUP, INC.</w:t>
      </w:r>
    </w:p>
    <w:p>
      <w:pPr>
        <w:ind w:left="860"/>
        <w:spacing w:after="0" w:line="238" w:lineRule="auto"/>
        <w:rPr>
          <w:sz w:val="20"/>
          <w:szCs w:val="20"/>
          <w:color w:val="auto"/>
        </w:rPr>
      </w:pPr>
      <w:r>
        <w:rPr>
          <w:rFonts w:ascii="Courier New" w:cs="Courier New" w:eastAsia="Courier New" w:hAnsi="Courier New"/>
          <w:sz w:val="18"/>
          <w:szCs w:val="18"/>
          <w:color w:val="auto"/>
        </w:rPr>
        <w:t>(Exact name of registrant as specified in its charter)</w:t>
      </w:r>
    </w:p>
    <w:p>
      <w:pPr>
        <w:sectPr>
          <w:pgSz w:w="11900" w:h="16855" w:orient="portrait"/>
          <w:cols w:equalWidth="0" w:num="1">
            <w:col w:w="10219"/>
          </w:cols>
          <w:pgMar w:left="240" w:top="447" w:right="1440" w:bottom="0" w:gutter="0" w:footer="0" w:header="0"/>
        </w:sectPr>
      </w:pPr>
    </w:p>
    <w:p>
      <w:pPr>
        <w:spacing w:after="0" w:line="202" w:lineRule="exact"/>
        <w:rPr>
          <w:sz w:val="24"/>
          <w:szCs w:val="24"/>
          <w:color w:val="auto"/>
        </w:rPr>
      </w:pPr>
    </w:p>
    <w:p>
      <w:pPr>
        <w:ind w:left="640"/>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(State of Incorporation)</w:t>
      </w:r>
    </w:p>
    <w:p>
      <w:pPr>
        <w:spacing w:after="0" w:line="20" w:lineRule="exact"/>
        <w:rPr>
          <w:sz w:val="24"/>
          <w:szCs w:val="24"/>
          <w:color w:val="auto"/>
        </w:rPr>
      </w:pPr>
      <w:r>
        <w:rPr>
          <w:sz w:val="24"/>
          <w:szCs w:val="24"/>
          <w:color w:val="auto"/>
        </w:rPr>
        <w:br w:type="column"/>
      </w:r>
    </w:p>
    <w:p>
      <w:pPr>
        <w:spacing w:after="0" w:line="182" w:lineRule="exact"/>
        <w:rPr>
          <w:sz w:val="24"/>
          <w:szCs w:val="24"/>
          <w:color w:val="auto"/>
        </w:rPr>
      </w:pPr>
    </w:p>
    <w:p>
      <w:pPr>
        <w:ind w:left="200"/>
        <w:spacing w:after="0"/>
        <w:rPr>
          <w:sz w:val="20"/>
          <w:szCs w:val="20"/>
          <w:color w:val="auto"/>
        </w:rPr>
      </w:pPr>
      <w:r>
        <w:rPr>
          <w:rFonts w:ascii="Courier New" w:cs="Courier New" w:eastAsia="Courier New" w:hAnsi="Courier New"/>
          <w:sz w:val="18"/>
          <w:szCs w:val="18"/>
          <w:color w:val="auto"/>
        </w:rPr>
        <w:t>04-2623104</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(IRS Employer</w:t>
      </w:r>
    </w:p>
    <w:p>
      <w:pPr>
        <w:spacing w:after="0" w:line="16" w:lineRule="exact"/>
        <w:rPr>
          <w:sz w:val="24"/>
          <w:szCs w:val="24"/>
          <w:color w:val="auto"/>
        </w:rPr>
      </w:pPr>
    </w:p>
    <w:p>
      <w:pPr>
        <w:sectPr>
          <w:pgSz w:w="11900" w:h="16855" w:orient="portrait"/>
          <w:cols w:equalWidth="0" w:num="2">
            <w:col w:w="5300" w:space="720"/>
            <w:col w:w="4199"/>
          </w:cols>
          <w:pgMar w:left="240" w:top="447" w:right="1440" w:bottom="0" w:gutter="0" w:footer="0" w:header="0"/>
          <w:type w:val="continuous"/>
        </w:sectPr>
      </w:pPr>
    </w:p>
    <w:p>
      <w:pPr>
        <w:ind w:left="5700"/>
        <w:spacing w:after="0"/>
        <w:rPr>
          <w:sz w:val="20"/>
          <w:szCs w:val="20"/>
          <w:color w:val="auto"/>
        </w:rPr>
      </w:pPr>
      <w:r>
        <w:rPr>
          <w:rFonts w:ascii="Courier New" w:cs="Courier New" w:eastAsia="Courier New" w:hAnsi="Courier New"/>
          <w:sz w:val="18"/>
          <w:szCs w:val="18"/>
          <w:color w:val="auto"/>
        </w:rPr>
        <w:t>Identification Number)</w:t>
      </w:r>
    </w:p>
    <w:p>
      <w:pPr>
        <w:spacing w:after="0" w:line="200" w:lineRule="exact"/>
        <w:rPr>
          <w:sz w:val="24"/>
          <w:szCs w:val="24"/>
          <w:color w:val="auto"/>
        </w:rPr>
      </w:pPr>
    </w:p>
    <w:p>
      <w:pPr>
        <w:spacing w:after="0" w:line="204" w:lineRule="exact"/>
        <w:rPr>
          <w:sz w:val="24"/>
          <w:szCs w:val="24"/>
          <w:color w:val="auto"/>
        </w:rPr>
      </w:pPr>
    </w:p>
    <w:p>
      <w:pPr>
        <w:jc w:val="center"/>
        <w:ind w:right="2199"/>
        <w:spacing w:after="0"/>
        <w:rPr>
          <w:sz w:val="20"/>
          <w:szCs w:val="20"/>
          <w:color w:val="auto"/>
        </w:rPr>
      </w:pPr>
      <w:r>
        <w:rPr>
          <w:rFonts w:ascii="Courier New" w:cs="Courier New" w:eastAsia="Courier New" w:hAnsi="Courier New"/>
          <w:sz w:val="18"/>
          <w:szCs w:val="18"/>
          <w:color w:val="auto"/>
        </w:rPr>
        <w:t>555 Turnpike Street, Canton, Massachusetts 02021</w:t>
      </w:r>
    </w:p>
    <w:p>
      <w:pPr>
        <w:jc w:val="center"/>
        <w:ind w:right="2199"/>
        <w:spacing w:after="0" w:line="238" w:lineRule="auto"/>
        <w:rPr>
          <w:sz w:val="20"/>
          <w:szCs w:val="20"/>
          <w:color w:val="auto"/>
        </w:rPr>
      </w:pPr>
      <w:r>
        <w:rPr>
          <w:rFonts w:ascii="Courier New" w:cs="Courier New" w:eastAsia="Courier New" w:hAnsi="Courier New"/>
          <w:sz w:val="18"/>
          <w:szCs w:val="18"/>
          <w:color w:val="auto"/>
        </w:rPr>
        <w:t>(Address of registrant's principal executive office)</w:t>
      </w:r>
    </w:p>
    <w:p>
      <w:pPr>
        <w:spacing w:after="0" w:line="200" w:lineRule="exact"/>
        <w:rPr>
          <w:sz w:val="24"/>
          <w:szCs w:val="24"/>
          <w:color w:val="auto"/>
        </w:rPr>
      </w:pPr>
    </w:p>
    <w:p>
      <w:pPr>
        <w:spacing w:after="0" w:line="204" w:lineRule="exact"/>
        <w:rPr>
          <w:sz w:val="24"/>
          <w:szCs w:val="24"/>
          <w:color w:val="auto"/>
        </w:rPr>
      </w:pPr>
    </w:p>
    <w:p>
      <w:pPr>
        <w:ind w:left="3800" w:hanging="632"/>
        <w:spacing w:after="0"/>
        <w:tabs>
          <w:tab w:leader="none" w:pos="380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828-9300</w:t>
      </w:r>
    </w:p>
    <w:p>
      <w:pPr>
        <w:ind w:left="2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(Registrant's telephone number)</w:t>
      </w:r>
    </w:p>
    <w:p>
      <w:pPr>
        <w:ind w:left="2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______________________________</w:t>
      </w:r>
    </w:p>
    <w:p>
      <w:pPr>
        <w:spacing w:after="0" w:line="200" w:lineRule="exact"/>
        <w:rPr>
          <w:sz w:val="24"/>
          <w:szCs w:val="24"/>
          <w:color w:val="auto"/>
        </w:rPr>
      </w:pPr>
    </w:p>
    <w:p>
      <w:pPr>
        <w:spacing w:after="0" w:line="210" w:lineRule="exact"/>
        <w:rPr>
          <w:sz w:val="24"/>
          <w:szCs w:val="24"/>
          <w:color w:val="auto"/>
        </w:rPr>
      </w:pPr>
    </w:p>
    <w:p>
      <w:pPr>
        <w:ind w:right="2619"/>
        <w:spacing w:after="0" w:line="236" w:lineRule="auto"/>
        <w:rPr>
          <w:sz w:val="20"/>
          <w:szCs w:val="20"/>
          <w:color w:val="auto"/>
        </w:rPr>
      </w:pPr>
      <w:r>
        <w:rPr>
          <w:rFonts w:ascii="Courier New" w:cs="Courier New" w:eastAsia="Courier New" w:hAnsi="Courier New"/>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209" w:lineRule="exact"/>
        <w:rPr>
          <w:sz w:val="24"/>
          <w:szCs w:val="24"/>
          <w:color w:val="auto"/>
        </w:rPr>
      </w:pPr>
    </w:p>
    <w:p>
      <w:pPr>
        <w:ind w:left="420" w:right="2619" w:hanging="412"/>
        <w:spacing w:after="0" w:line="235" w:lineRule="auto"/>
        <w:tabs>
          <w:tab w:leader="none" w:pos="209"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Written communications pursuant to Rule 425 under the Securities Act (17 CFR 230.425)</w:t>
      </w:r>
    </w:p>
    <w:p>
      <w:pPr>
        <w:spacing w:after="0" w:line="208" w:lineRule="exact"/>
        <w:rPr>
          <w:sz w:val="24"/>
          <w:szCs w:val="24"/>
          <w:color w:val="auto"/>
        </w:rPr>
      </w:pPr>
    </w:p>
    <w:p>
      <w:pPr>
        <w:ind w:left="420" w:right="2839" w:hanging="412"/>
        <w:spacing w:after="0" w:line="235" w:lineRule="auto"/>
        <w:tabs>
          <w:tab w:leader="none" w:pos="209"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Soliciting material pursuant to Rule 14a-12 under the Exchange Act (17 CFR 240.14a-12)</w:t>
      </w:r>
    </w:p>
    <w:p>
      <w:pPr>
        <w:spacing w:after="0" w:line="208" w:lineRule="exact"/>
        <w:rPr>
          <w:sz w:val="24"/>
          <w:szCs w:val="24"/>
          <w:color w:val="auto"/>
        </w:rPr>
      </w:pPr>
    </w:p>
    <w:p>
      <w:pPr>
        <w:ind w:left="420" w:right="2739" w:hanging="412"/>
        <w:spacing w:after="0" w:line="235" w:lineRule="auto"/>
        <w:tabs>
          <w:tab w:leader="none" w:pos="209"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Pre-commencement communications pursuant to Rule 14d-2(b) under the Exchange Act(17 CFR 240.14d-2(b))</w:t>
      </w:r>
    </w:p>
    <w:p>
      <w:pPr>
        <w:spacing w:after="0" w:line="208" w:lineRule="exact"/>
        <w:rPr>
          <w:sz w:val="24"/>
          <w:szCs w:val="24"/>
          <w:color w:val="auto"/>
        </w:rPr>
      </w:pPr>
    </w:p>
    <w:p>
      <w:pPr>
        <w:ind w:left="420" w:right="2739" w:hanging="412"/>
        <w:spacing w:after="0" w:line="235" w:lineRule="auto"/>
        <w:tabs>
          <w:tab w:leader="none" w:pos="209"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Pre-commencement communications pursuant to Rule 13e-4(c) under the Exchange Act(17 CFR 240.13e-4(c))</w:t>
      </w:r>
    </w:p>
    <w:p>
      <w:pPr>
        <w:spacing w:after="0" w:line="200" w:lineRule="exact"/>
        <w:rPr>
          <w:sz w:val="24"/>
          <w:szCs w:val="24"/>
          <w:color w:val="auto"/>
        </w:rPr>
      </w:pPr>
    </w:p>
    <w:p>
      <w:pPr>
        <w:spacing w:after="0" w:line="205" w:lineRule="exact"/>
        <w:rPr>
          <w:sz w:val="24"/>
          <w:szCs w:val="24"/>
          <w:color w:val="auto"/>
        </w:rPr>
      </w:pPr>
    </w:p>
    <w:p>
      <w:pPr>
        <w:jc w:val="center"/>
        <w:ind w:right="1999"/>
        <w:spacing w:after="0"/>
        <w:rPr>
          <w:sz w:val="20"/>
          <w:szCs w:val="20"/>
          <w:color w:val="auto"/>
        </w:rPr>
      </w:pPr>
      <w:r>
        <w:rPr>
          <w:rFonts w:ascii="Courier New" w:cs="Courier New" w:eastAsia="Courier New" w:hAnsi="Courier New"/>
          <w:sz w:val="18"/>
          <w:szCs w:val="18"/>
          <w:color w:val="auto"/>
        </w:rPr>
        <w:t>Explanatory Note</w:t>
      </w:r>
    </w:p>
    <w:p>
      <w:pPr>
        <w:spacing w:after="0" w:line="4"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Company is filing this Form 8-K/A to amend its Current Report on Form 8-K filed with the Securities and Exchange Commission on November 17, 2005, to correct a typographical error contained in Exhibit 99.1 "Press Release announcing results of operations for the third quarter and first nine months ended October 29, 2005". The reporting dates in the header of the consolidated balance sheet were erroneously labeled October 30, 2004 and January 30, 2004 and should have been correctly labeled October 29, 2005 and January 29, 2005, respectively. A corrected version of Exhibit 99.1 is attached hereto. The remaining Items of the original report are not amended hereby and are repeated herein only for the reader's convenience.</w:t>
      </w:r>
    </w:p>
    <w:p>
      <w:pPr>
        <w:spacing w:after="0" w:line="200" w:lineRule="exact"/>
        <w:rPr>
          <w:sz w:val="24"/>
          <w:szCs w:val="24"/>
          <w:color w:val="auto"/>
        </w:rPr>
      </w:pPr>
    </w:p>
    <w:p>
      <w:pPr>
        <w:spacing w:after="0" w:line="212"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2.02</w:t>
      </w:r>
      <w:r>
        <w:rPr>
          <w:sz w:val="20"/>
          <w:szCs w:val="20"/>
          <w:color w:val="auto"/>
        </w:rPr>
        <w:tab/>
      </w:r>
      <w:r>
        <w:rPr>
          <w:rFonts w:ascii="Courier New" w:cs="Courier New" w:eastAsia="Courier New" w:hAnsi="Courier New"/>
          <w:sz w:val="16"/>
          <w:szCs w:val="16"/>
          <w:color w:val="auto"/>
        </w:rPr>
        <w:t>Results of Operations and Financial Condition</w:t>
      </w:r>
    </w:p>
    <w:p>
      <w:pPr>
        <w:spacing w:after="0" w:line="207" w:lineRule="exact"/>
        <w:rPr>
          <w:sz w:val="24"/>
          <w:szCs w:val="24"/>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On November 17, 2005, Casual Male Retail Group, Inc. (the "Company") issued a press release announcing the Company's results of operations for the third quarter and first nine months ended October 29, 2005. A copy of this press release is attached hereto as Exhibit 99.1.</w:t>
      </w:r>
    </w:p>
    <w:p>
      <w:pPr>
        <w:spacing w:after="0" w:line="207" w:lineRule="exact"/>
        <w:rPr>
          <w:sz w:val="24"/>
          <w:szCs w:val="24"/>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The press release contains certain non-GAAP measures which the Company believes is important for investors to help gain a better understanding of the Company. The release includes a reconciliation of such non-GAAP measures.</w:t>
      </w:r>
    </w:p>
    <w:p>
      <w:pPr>
        <w:spacing w:after="0" w:line="203"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9.01</w:t>
      </w:r>
      <w:r>
        <w:rPr>
          <w:sz w:val="20"/>
          <w:szCs w:val="20"/>
          <w:color w:val="auto"/>
        </w:rPr>
        <w:tab/>
      </w:r>
      <w:r>
        <w:rPr>
          <w:rFonts w:ascii="Courier New" w:cs="Courier New" w:eastAsia="Courier New" w:hAnsi="Courier New"/>
          <w:sz w:val="16"/>
          <w:szCs w:val="16"/>
          <w:color w:val="auto"/>
        </w:rPr>
        <w:t>Financial Statements and Exhibits</w:t>
      </w:r>
    </w:p>
    <w:p>
      <w:pPr>
        <w:sectPr>
          <w:pgSz w:w="11900" w:h="16855" w:orient="portrait"/>
          <w:cols w:equalWidth="0" w:num="1">
            <w:col w:w="10219"/>
          </w:cols>
          <w:pgMar w:left="240" w:top="447" w:right="1440" w:bottom="0" w:gutter="0" w:footer="0" w:header="0"/>
          <w:type w:val="continuous"/>
        </w:sectPr>
      </w:pPr>
    </w:p>
    <w:bookmarkStart w:id="1" w:name="page2"/>
    <w:bookmarkEnd w:id="1"/>
    <w:p>
      <w:pPr>
        <w:ind w:left="1280" w:hanging="429"/>
        <w:spacing w:after="0"/>
        <w:tabs>
          <w:tab w:leader="none" w:pos="128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Exhibits</w:t>
      </w:r>
    </w:p>
    <w:p>
      <w:pPr>
        <w:ind w:left="12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Exhibit No. Description</w:t>
      </w:r>
    </w:p>
    <w:p>
      <w:pPr>
        <w:ind w:left="1060"/>
        <w:spacing w:after="0"/>
        <w:tabs>
          <w:tab w:leader="none" w:pos="252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p>
    <w:p>
      <w:pPr>
        <w:ind w:left="1380"/>
        <w:spacing w:after="0"/>
        <w:tabs>
          <w:tab w:leader="none" w:pos="2420" w:val="left"/>
        </w:tabs>
        <w:rPr>
          <w:sz w:val="20"/>
          <w:szCs w:val="20"/>
          <w:color w:val="auto"/>
        </w:rPr>
      </w:pPr>
      <w:r>
        <w:rPr>
          <w:rFonts w:ascii="Courier New" w:cs="Courier New" w:eastAsia="Courier New" w:hAnsi="Courier New"/>
          <w:sz w:val="18"/>
          <w:szCs w:val="18"/>
          <w:color w:val="auto"/>
        </w:rPr>
        <w:t>99.1</w:t>
      </w:r>
      <w:r>
        <w:rPr>
          <w:sz w:val="20"/>
          <w:szCs w:val="20"/>
          <w:color w:val="auto"/>
        </w:rPr>
        <w:tab/>
      </w:r>
      <w:r>
        <w:rPr>
          <w:rFonts w:ascii="Courier New" w:cs="Courier New" w:eastAsia="Courier New" w:hAnsi="Courier New"/>
          <w:sz w:val="16"/>
          <w:szCs w:val="16"/>
          <w:color w:val="auto"/>
        </w:rPr>
        <w:t>Press Release announcing results of operations for</w:t>
      </w:r>
    </w:p>
    <w:p>
      <w:pPr>
        <w:ind w:left="2440"/>
        <w:spacing w:after="0" w:line="238" w:lineRule="auto"/>
        <w:rPr>
          <w:sz w:val="20"/>
          <w:szCs w:val="20"/>
          <w:color w:val="auto"/>
        </w:rPr>
      </w:pPr>
      <w:r>
        <w:rPr>
          <w:rFonts w:ascii="Courier New" w:cs="Courier New" w:eastAsia="Courier New" w:hAnsi="Courier New"/>
          <w:sz w:val="18"/>
          <w:szCs w:val="18"/>
          <w:color w:val="auto"/>
        </w:rPr>
        <w:t>the third quarter and first nine months ended</w:t>
      </w:r>
    </w:p>
    <w:p>
      <w:pPr>
        <w:ind w:left="2440"/>
        <w:spacing w:after="0"/>
        <w:rPr>
          <w:sz w:val="20"/>
          <w:szCs w:val="20"/>
          <w:color w:val="auto"/>
        </w:rPr>
      </w:pPr>
      <w:r>
        <w:rPr>
          <w:rFonts w:ascii="Courier New" w:cs="Courier New" w:eastAsia="Courier New" w:hAnsi="Courier New"/>
          <w:sz w:val="18"/>
          <w:szCs w:val="18"/>
          <w:color w:val="auto"/>
        </w:rPr>
        <w:t>October 29, 2005 for Casual Male Retail Group,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SIGNATURES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Pursuant to the requirements of the Securities Exchange Act of 1934,</w:t>
      </w:r>
    </w:p>
    <w:p>
      <w:pPr>
        <w:spacing w:after="0" w:line="4"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the registrant has duly caused this report to be signed on its behalf by the undersigned, thereunto duly authorized.</w:t>
      </w:r>
    </w:p>
    <w:p>
      <w:pPr>
        <w:spacing w:after="0" w:line="203" w:lineRule="exact"/>
        <w:rPr>
          <w:sz w:val="20"/>
          <w:szCs w:val="20"/>
          <w:color w:val="auto"/>
        </w:rPr>
      </w:pPr>
    </w:p>
    <w:p>
      <w:pPr>
        <w:ind w:left="4860"/>
        <w:spacing w:after="0"/>
        <w:rPr>
          <w:sz w:val="20"/>
          <w:szCs w:val="20"/>
          <w:color w:val="auto"/>
        </w:rPr>
      </w:pPr>
      <w:r>
        <w:rPr>
          <w:rFonts w:ascii="Courier New" w:cs="Courier New" w:eastAsia="Courier New" w:hAnsi="Courier New"/>
          <w:sz w:val="18"/>
          <w:szCs w:val="18"/>
          <w:color w:val="auto"/>
        </w:rPr>
        <w:t>CASUAL MALE RETAIL GROUP, INC.</w:t>
      </w:r>
    </w:p>
    <w:p>
      <w:pPr>
        <w:spacing w:after="0" w:line="201" w:lineRule="exact"/>
        <w:rPr>
          <w:sz w:val="20"/>
          <w:szCs w:val="20"/>
          <w:color w:val="auto"/>
        </w:rPr>
      </w:pPr>
    </w:p>
    <w:p>
      <w:pPr>
        <w:ind w:left="4860"/>
        <w:spacing w:after="0"/>
        <w:rPr>
          <w:sz w:val="20"/>
          <w:szCs w:val="20"/>
          <w:color w:val="auto"/>
        </w:rPr>
      </w:pPr>
      <w:r>
        <w:rPr>
          <w:rFonts w:ascii="Courier New" w:cs="Courier New" w:eastAsia="Courier New" w:hAnsi="Courier New"/>
          <w:sz w:val="18"/>
          <w:szCs w:val="18"/>
          <w:color w:val="auto"/>
        </w:rPr>
        <w:t>By: /s/ Dennis R. Hernreich</w:t>
      </w:r>
    </w:p>
    <w:p>
      <w:pPr>
        <w:spacing w:after="0" w:line="4" w:lineRule="exact"/>
        <w:rPr>
          <w:sz w:val="20"/>
          <w:szCs w:val="20"/>
          <w:color w:val="auto"/>
        </w:rPr>
      </w:pPr>
    </w:p>
    <w:p>
      <w:pPr>
        <w:ind w:left="61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860"/>
        <w:spacing w:after="0"/>
        <w:tabs>
          <w:tab w:leader="none" w:pos="5580" w:val="left"/>
        </w:tabs>
        <w:rPr>
          <w:sz w:val="20"/>
          <w:szCs w:val="20"/>
          <w:color w:val="auto"/>
        </w:rPr>
      </w:pPr>
      <w:r>
        <w:rPr>
          <w:rFonts w:ascii="Courier New" w:cs="Courier New" w:eastAsia="Courier New" w:hAnsi="Courier New"/>
          <w:sz w:val="18"/>
          <w:szCs w:val="18"/>
          <w:color w:val="auto"/>
        </w:rPr>
        <w:t>Name:</w:t>
        <w:tab/>
        <w:t>Dennis R. Hernreich</w:t>
      </w:r>
    </w:p>
    <w:p>
      <w:pPr>
        <w:ind w:left="4860"/>
        <w:spacing w:after="0" w:line="238" w:lineRule="auto"/>
        <w:rPr>
          <w:sz w:val="20"/>
          <w:szCs w:val="20"/>
          <w:color w:val="auto"/>
        </w:rPr>
      </w:pPr>
      <w:r>
        <w:rPr>
          <w:rFonts w:ascii="Courier New" w:cs="Courier New" w:eastAsia="Courier New" w:hAnsi="Courier New"/>
          <w:sz w:val="18"/>
          <w:szCs w:val="18"/>
          <w:color w:val="auto"/>
        </w:rPr>
        <w:t>Title: Executive Vice President</w:t>
      </w:r>
    </w:p>
    <w:p>
      <w:pPr>
        <w:ind w:left="5600"/>
        <w:spacing w:after="0"/>
        <w:rPr>
          <w:sz w:val="20"/>
          <w:szCs w:val="20"/>
          <w:color w:val="auto"/>
        </w:rPr>
      </w:pPr>
      <w:r>
        <w:rPr>
          <w:rFonts w:ascii="Courier New" w:cs="Courier New" w:eastAsia="Courier New" w:hAnsi="Courier New"/>
          <w:sz w:val="18"/>
          <w:szCs w:val="18"/>
          <w:color w:val="auto"/>
        </w:rPr>
        <w:t>and Chief Financial Officer</w:t>
      </w:r>
    </w:p>
    <w:p>
      <w:pPr>
        <w:spacing w:after="0" w:line="200" w:lineRule="exact"/>
        <w:rPr>
          <w:sz w:val="20"/>
          <w:szCs w:val="20"/>
          <w:color w:val="auto"/>
        </w:rPr>
      </w:pPr>
    </w:p>
    <w:p>
      <w:pPr>
        <w:spacing w:after="0" w:line="203"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November 17, 2005</w:t>
      </w:r>
    </w:p>
    <w:p>
      <w:pPr>
        <w:sectPr>
          <w:pgSz w:w="11900" w:h="16838" w:orient="portrait"/>
          <w:cols w:equalWidth="0" w:num="1">
            <w:col w:w="10219"/>
          </w:cols>
          <w:pgMar w:left="240" w:top="339" w:right="1440"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For Information Contact: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Company Contact: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Jeff Unger, Investor Relations</w:t>
      </w:r>
    </w:p>
    <w:p>
      <w:pPr>
        <w:spacing w:after="0" w:line="238" w:lineRule="auto"/>
        <w:rPr>
          <w:sz w:val="20"/>
          <w:szCs w:val="20"/>
          <w:color w:val="auto"/>
        </w:rPr>
      </w:pPr>
      <w:r>
        <w:rPr>
          <w:rFonts w:ascii="Courier New" w:cs="Courier New" w:eastAsia="Courier New" w:hAnsi="Courier New"/>
          <w:sz w:val="18"/>
          <w:szCs w:val="18"/>
          <w:color w:val="auto"/>
        </w:rPr>
        <w:t>(561) 514-0115</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Andrew Bard, Weber Shandwick Worldwide</w:t>
      </w:r>
    </w:p>
    <w:p>
      <w:pPr>
        <w:spacing w:after="0" w:line="238" w:lineRule="auto"/>
        <w:rPr>
          <w:sz w:val="20"/>
          <w:szCs w:val="20"/>
          <w:color w:val="auto"/>
        </w:rPr>
      </w:pPr>
      <w:r>
        <w:rPr>
          <w:rFonts w:ascii="Courier New" w:cs="Courier New" w:eastAsia="Courier New" w:hAnsi="Courier New"/>
          <w:sz w:val="18"/>
          <w:szCs w:val="18"/>
          <w:color w:val="auto"/>
        </w:rPr>
        <w:t>(212) 445-8368</w:t>
      </w:r>
    </w:p>
    <w:p>
      <w:pPr>
        <w:spacing w:after="0" w:line="200" w:lineRule="exact"/>
        <w:rPr>
          <w:sz w:val="20"/>
          <w:szCs w:val="20"/>
          <w:color w:val="auto"/>
        </w:rPr>
      </w:pPr>
    </w:p>
    <w:p>
      <w:pPr>
        <w:spacing w:after="0" w:line="210" w:lineRule="exact"/>
        <w:rPr>
          <w:sz w:val="20"/>
          <w:szCs w:val="20"/>
          <w:color w:val="auto"/>
        </w:rPr>
      </w:pPr>
    </w:p>
    <w:p>
      <w:pPr>
        <w:ind w:left="2220" w:right="2739" w:hanging="1474"/>
        <w:spacing w:after="0" w:line="235" w:lineRule="auto"/>
        <w:rPr>
          <w:sz w:val="20"/>
          <w:szCs w:val="20"/>
          <w:color w:val="auto"/>
        </w:rPr>
      </w:pPr>
      <w:r>
        <w:rPr>
          <w:rFonts w:ascii="Courier New" w:cs="Courier New" w:eastAsia="Courier New" w:hAnsi="Courier New"/>
          <w:sz w:val="18"/>
          <w:szCs w:val="18"/>
          <w:color w:val="auto"/>
        </w:rPr>
        <w:t>Casual Male Retail Group, Inc. Reports Operating Results for the Third Quarter of Fiscal 2005</w:t>
      </w:r>
    </w:p>
    <w:p>
      <w:pPr>
        <w:spacing w:after="0" w:line="200" w:lineRule="exact"/>
        <w:rPr>
          <w:sz w:val="20"/>
          <w:szCs w:val="20"/>
          <w:color w:val="auto"/>
        </w:rPr>
      </w:pPr>
    </w:p>
    <w:p>
      <w:pPr>
        <w:spacing w:after="0" w:line="211" w:lineRule="exact"/>
        <w:rPr>
          <w:sz w:val="20"/>
          <w:szCs w:val="20"/>
          <w:color w:val="auto"/>
        </w:rPr>
      </w:pPr>
    </w:p>
    <w:p>
      <w:pPr>
        <w:ind w:right="2839"/>
        <w:spacing w:after="0" w:line="237" w:lineRule="auto"/>
        <w:rPr>
          <w:sz w:val="20"/>
          <w:szCs w:val="20"/>
          <w:color w:val="auto"/>
        </w:rPr>
      </w:pPr>
      <w:r>
        <w:rPr>
          <w:rFonts w:ascii="Courier New" w:cs="Courier New" w:eastAsia="Courier New" w:hAnsi="Courier New"/>
          <w:sz w:val="18"/>
          <w:szCs w:val="18"/>
          <w:color w:val="auto"/>
        </w:rPr>
        <w:t>CANTON, MA, November 17, 2005 -- Casual Male Retail Group, Inc. (NASDAQ/NMS: "CMRG"), retail brand operator of Casual Male Big &amp; Tall and Rochester Big &amp; Tall, today reported its operating results for the third quarter and first nine months of fiscal 2005.</w:t>
      </w:r>
    </w:p>
    <w:p>
      <w:pPr>
        <w:spacing w:after="0" w:line="207" w:lineRule="exact"/>
        <w:rPr>
          <w:sz w:val="20"/>
          <w:szCs w:val="20"/>
          <w:color w:val="auto"/>
        </w:rPr>
      </w:pPr>
    </w:p>
    <w:p>
      <w:pPr>
        <w:ind w:right="2739"/>
        <w:spacing w:after="0" w:line="237" w:lineRule="auto"/>
        <w:rPr>
          <w:sz w:val="20"/>
          <w:szCs w:val="20"/>
          <w:color w:val="auto"/>
        </w:rPr>
      </w:pPr>
      <w:r>
        <w:rPr>
          <w:rFonts w:ascii="Courier New" w:cs="Courier New" w:eastAsia="Courier New" w:hAnsi="Courier New"/>
          <w:sz w:val="18"/>
          <w:szCs w:val="18"/>
          <w:color w:val="auto"/>
        </w:rPr>
        <w:t>For the 13 week period ended October 29, 2005, the Company reported a loss from continuing operations of $2.8 million, or $0.08 per diluted share, compared to a loss of $3.4 million, or $0.10 per diluted share, which excludes the results of discontinued operations, for the corresponding 13 week period ended October 30, 2004. This year's third quarter results include a $0.7 million gain or $0.02 per diluted share related to the Visa/MasterCard class action settlement. Last year's third quarter results benefited from a $1.7 million or $0.05 per diluted share adjustment associated with certain accrued liabilities which were revised based upon more recent experience.</w:t>
      </w:r>
    </w:p>
    <w:p>
      <w:pPr>
        <w:spacing w:after="0" w:line="215" w:lineRule="exact"/>
        <w:rPr>
          <w:sz w:val="20"/>
          <w:szCs w:val="20"/>
          <w:color w:val="auto"/>
        </w:rPr>
      </w:pPr>
    </w:p>
    <w:p>
      <w:pPr>
        <w:ind w:right="2739"/>
        <w:spacing w:after="0" w:line="237" w:lineRule="auto"/>
        <w:rPr>
          <w:sz w:val="20"/>
          <w:szCs w:val="20"/>
          <w:color w:val="auto"/>
        </w:rPr>
      </w:pPr>
      <w:r>
        <w:rPr>
          <w:rFonts w:ascii="Courier New" w:cs="Courier New" w:eastAsia="Courier New" w:hAnsi="Courier New"/>
          <w:sz w:val="18"/>
          <w:szCs w:val="18"/>
          <w:color w:val="auto"/>
        </w:rPr>
        <w:t>Previously, the Company reported comparable store sales for the third quarter of 2005 increased by 3.7% when compared to the third quarter of fiscal 2004 and comparable store sales for the nine months ended October 29, 2005 increased by 3.1% when compared to the nine months of the prior year.</w:t>
      </w:r>
    </w:p>
    <w:p>
      <w:pPr>
        <w:spacing w:after="0" w:line="209" w:lineRule="exact"/>
        <w:rPr>
          <w:sz w:val="20"/>
          <w:szCs w:val="20"/>
          <w:color w:val="auto"/>
        </w:rPr>
      </w:pPr>
    </w:p>
    <w:p>
      <w:pPr>
        <w:ind w:right="2739"/>
        <w:spacing w:after="0" w:line="238" w:lineRule="auto"/>
        <w:rPr>
          <w:sz w:val="20"/>
          <w:szCs w:val="20"/>
          <w:color w:val="auto"/>
        </w:rPr>
      </w:pPr>
      <w:r>
        <w:rPr>
          <w:rFonts w:ascii="Courier New" w:cs="Courier New" w:eastAsia="Courier New" w:hAnsi="Courier New"/>
          <w:sz w:val="18"/>
          <w:szCs w:val="18"/>
          <w:color w:val="auto"/>
        </w:rPr>
        <w:t>On an overall basis, for the 13 week period ended October 29, 2005, the Company reported a net loss of $2.8 million, or $0.08 per diluted share, compared to a net loss of $1.4 million, or $0.04 per diluted share, for the corresponding 13 week period ended October 30, 2004. Results for the third quarter of fiscal 2004 included income from discontinued operations of $2.0 million, or $0.06 per diluted share related to the divested Levi's(r)/Dockers(r) outlet stores. Notwithstanding the Company's $100 million tax loss carry forward, assuming a normalized tax rate of 37%, the net loss per share for the third quarter of fiscal 2005 was $0.05 per diluted share compared to a net loss of $0.03 per diluted share for the third quarter of fiscal 2004.</w:t>
      </w:r>
    </w:p>
    <w:p>
      <w:pPr>
        <w:spacing w:after="0" w:line="207" w:lineRule="exact"/>
        <w:rPr>
          <w:sz w:val="20"/>
          <w:szCs w:val="20"/>
          <w:color w:val="auto"/>
        </w:rPr>
      </w:pPr>
    </w:p>
    <w:p>
      <w:pPr>
        <w:ind w:right="2319"/>
        <w:spacing w:after="0" w:line="238" w:lineRule="auto"/>
        <w:rPr>
          <w:sz w:val="20"/>
          <w:szCs w:val="20"/>
          <w:color w:val="auto"/>
        </w:rPr>
      </w:pPr>
      <w:r>
        <w:rPr>
          <w:rFonts w:ascii="Courier New" w:cs="Courier New" w:eastAsia="Courier New" w:hAnsi="Courier New"/>
          <w:sz w:val="18"/>
          <w:szCs w:val="18"/>
          <w:color w:val="auto"/>
        </w:rPr>
        <w:t>For the nine months ended October 29, 2005, the net loss from continuing operations was $2.7 million, or $0.08 per diluted share, compared to a net loss from continuing operations of $7.3 million or $0.21 per diluted share for the prior year's nine months ended October 30, 2004. Included in the prior year's results are sales of $12.6 million and an operating loss of $0.7 million, or $0.02 per diluted share, related to the Ecko Unltd.(r) outlet stores, which were divested in July 2004. Additionally, for the prior year's nine months ended October 30, 2004, the Company recorded income from discontinued operations of $0.9 million, or $0.03 per diluted share related to the divested Levi's(r)/Dockers(r) outlet stores, which reduced the prior year's nine months net loss from $0.21 to $0.18 per diluted share.</w:t>
      </w:r>
    </w:p>
    <w:p>
      <w:pPr>
        <w:spacing w:after="0" w:line="207" w:lineRule="exact"/>
        <w:rPr>
          <w:sz w:val="20"/>
          <w:szCs w:val="20"/>
          <w:color w:val="auto"/>
        </w:rPr>
      </w:pPr>
    </w:p>
    <w:p>
      <w:pPr>
        <w:ind w:right="2839"/>
        <w:spacing w:after="0" w:line="237" w:lineRule="auto"/>
        <w:rPr>
          <w:sz w:val="20"/>
          <w:szCs w:val="20"/>
          <w:color w:val="auto"/>
        </w:rPr>
      </w:pPr>
      <w:r>
        <w:rPr>
          <w:rFonts w:ascii="Courier New" w:cs="Courier New" w:eastAsia="Courier New" w:hAnsi="Courier New"/>
          <w:sz w:val="18"/>
          <w:szCs w:val="18"/>
          <w:color w:val="auto"/>
        </w:rPr>
        <w:t>Results for the third quarter and nine months of fiscal 2005 include the operating results of the Company's Rochester Big &amp; Tall stores, which were acquired by the Company on October 29, 2004. Accordingly, the third quarter and nine months of fiscal 2004 only include the operating results of the Rochester stores for the last two days of the prior year's third quarter.</w:t>
      </w:r>
    </w:p>
    <w:p>
      <w:pPr>
        <w:spacing w:after="0" w:line="210" w:lineRule="exact"/>
        <w:rPr>
          <w:sz w:val="20"/>
          <w:szCs w:val="20"/>
          <w:color w:val="auto"/>
        </w:rPr>
      </w:pPr>
    </w:p>
    <w:p>
      <w:pPr>
        <w:ind w:right="2739"/>
        <w:spacing w:after="0" w:line="270" w:lineRule="auto"/>
        <w:rPr>
          <w:sz w:val="20"/>
          <w:szCs w:val="20"/>
          <w:color w:val="auto"/>
        </w:rPr>
      </w:pPr>
      <w:r>
        <w:rPr>
          <w:rFonts w:ascii="Courier New" w:cs="Courier New" w:eastAsia="Courier New" w:hAnsi="Courier New"/>
          <w:sz w:val="16"/>
          <w:szCs w:val="16"/>
          <w:color w:val="auto"/>
        </w:rPr>
        <w:t>In addition to the financial measures prepared in accordance with generally accepted accounting principles (GAAP), our above discussion refers to a normalized tax rate, which is a non-GAAP measurement. Normalized tax basis reflects a 37% effective tax rate on pre-tax incomes. The Company believes that the inclusion of this non-GAAP measure helps investors to gain a better understanding of the Company's performance, especially when comparing such results to previous periods or forecasts. However, this non-GAAP financial measure included in this press release is not meant to be considered superior to or as a substitute for results of operations prepared in accordance with GAAP.</w:t>
      </w:r>
    </w:p>
    <w:p>
      <w:pPr>
        <w:sectPr>
          <w:pgSz w:w="11900" w:h="16838" w:orient="portrait"/>
          <w:cols w:equalWidth="0" w:num="1">
            <w:col w:w="10219"/>
          </w:cols>
          <w:pgMar w:left="240" w:top="339" w:right="1440" w:bottom="0" w:gutter="0" w:footer="0" w:header="0"/>
        </w:sectPr>
      </w:pPr>
    </w:p>
    <w:bookmarkStart w:id="3" w:name="page4"/>
    <w:bookmarkEnd w:id="3"/>
    <w:p>
      <w:pPr>
        <w:ind w:right="2739"/>
        <w:spacing w:after="0" w:line="275" w:lineRule="auto"/>
        <w:rPr>
          <w:sz w:val="20"/>
          <w:szCs w:val="20"/>
          <w:color w:val="auto"/>
        </w:rPr>
      </w:pPr>
      <w:r>
        <w:rPr>
          <w:rFonts w:ascii="Courier New" w:cs="Courier New" w:eastAsia="Courier New" w:hAnsi="Courier New"/>
          <w:sz w:val="16"/>
          <w:szCs w:val="16"/>
          <w:color w:val="auto"/>
        </w:rPr>
        <w:t>The following table shows the reconciliation of the net loss of $0.05 per diluted share for the third quarter of fiscal 2005 as compared to the net loss of $0.03 per diluted share for the third quarter of fiscal 2004 on a GAAP basis affected for the adjustment for normalized taxes: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960" w:type="dxa"/>
            <w:vAlign w:val="bottom"/>
            <w:gridSpan w:val="2"/>
          </w:tcPr>
          <w:p>
            <w:pPr>
              <w:spacing w:after="0"/>
              <w:rPr>
                <w:sz w:val="20"/>
                <w:szCs w:val="20"/>
                <w:color w:val="auto"/>
              </w:rPr>
            </w:pPr>
            <w:r>
              <w:rPr>
                <w:rFonts w:ascii="Courier New" w:cs="Courier New" w:eastAsia="Courier New" w:hAnsi="Courier New"/>
                <w:sz w:val="18"/>
                <w:szCs w:val="18"/>
                <w:color w:val="auto"/>
              </w:rPr>
              <w:t>For the 13 weeks ended:</w:t>
            </w:r>
          </w:p>
        </w:tc>
        <w:tc>
          <w:tcPr>
            <w:tcW w:w="2640" w:type="dxa"/>
            <w:vAlign w:val="bottom"/>
            <w:gridSpan w:val="2"/>
          </w:tcPr>
          <w:p>
            <w:pPr>
              <w:jc w:val="right"/>
              <w:ind w:right="352"/>
              <w:spacing w:after="0"/>
              <w:rPr>
                <w:sz w:val="20"/>
                <w:szCs w:val="20"/>
                <w:color w:val="auto"/>
              </w:rPr>
            </w:pPr>
            <w:r>
              <w:rPr>
                <w:rFonts w:ascii="Courier New" w:cs="Courier New" w:eastAsia="Courier New" w:hAnsi="Courier New"/>
                <w:sz w:val="18"/>
                <w:szCs w:val="18"/>
                <w:color w:val="auto"/>
              </w:rPr>
              <w:t>October 29, 2005</w:t>
            </w:r>
          </w:p>
        </w:tc>
        <w:tc>
          <w:tcPr>
            <w:tcW w:w="2100" w:type="dxa"/>
            <w:vAlign w:val="bottom"/>
            <w:gridSpan w:val="2"/>
          </w:tcPr>
          <w:p>
            <w:pPr>
              <w:ind w:left="200"/>
              <w:spacing w:after="0"/>
              <w:rPr>
                <w:sz w:val="20"/>
                <w:szCs w:val="20"/>
                <w:color w:val="auto"/>
              </w:rPr>
            </w:pPr>
            <w:r>
              <w:rPr>
                <w:rFonts w:ascii="Courier New" w:cs="Courier New" w:eastAsia="Courier New" w:hAnsi="Courier New"/>
                <w:sz w:val="18"/>
                <w:szCs w:val="18"/>
                <w:color w:val="auto"/>
              </w:rPr>
              <w:t>October 30, 2004</w:t>
            </w:r>
          </w:p>
        </w:tc>
      </w:tr>
      <w:tr>
        <w:trPr>
          <w:trHeight w:val="203"/>
        </w:trPr>
        <w:tc>
          <w:tcPr>
            <w:tcW w:w="29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(dollars and shares</w:t>
            </w:r>
          </w:p>
        </w:tc>
        <w:tc>
          <w:tcPr>
            <w:tcW w:w="12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29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in millions, except</w:t>
            </w:r>
          </w:p>
        </w:tc>
        <w:tc>
          <w:tcPr>
            <w:tcW w:w="12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29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per share amounts)</w:t>
            </w: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Net Loss</w:t>
            </w: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Per Share</w:t>
            </w:r>
          </w:p>
        </w:tc>
        <w:tc>
          <w:tcPr>
            <w:tcW w:w="210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w w:val="96"/>
              </w:rPr>
              <w:t>Net Loss Per Share</w:t>
            </w:r>
          </w:p>
        </w:tc>
      </w:tr>
      <w:tr>
        <w:trPr>
          <w:trHeight w:val="203"/>
        </w:trPr>
        <w:tc>
          <w:tcPr>
            <w:tcW w:w="122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21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 ---------</w:t>
            </w:r>
          </w:p>
        </w:tc>
      </w:tr>
      <w:tr>
        <w:trPr>
          <w:trHeight w:val="203"/>
        </w:trPr>
        <w:tc>
          <w:tcPr>
            <w:tcW w:w="29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Loss from continuing</w:t>
            </w:r>
          </w:p>
        </w:tc>
        <w:tc>
          <w:tcPr>
            <w:tcW w:w="12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12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9"/>
              </w:rPr>
              <w:t>operations</w:t>
            </w:r>
          </w:p>
        </w:tc>
        <w:tc>
          <w:tcPr>
            <w:tcW w:w="1740" w:type="dxa"/>
            <w:vAlign w:val="bottom"/>
          </w:tcPr>
          <w:p>
            <w:pPr>
              <w:spacing w:after="0"/>
              <w:rPr>
                <w:sz w:val="17"/>
                <w:szCs w:val="17"/>
                <w:color w:val="auto"/>
              </w:rPr>
            </w:pPr>
          </w:p>
        </w:tc>
        <w:tc>
          <w:tcPr>
            <w:tcW w:w="12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$(2.8)</w:t>
            </w:r>
          </w:p>
        </w:tc>
        <w:tc>
          <w:tcPr>
            <w:tcW w:w="13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$(0.08)</w:t>
            </w:r>
          </w:p>
        </w:tc>
        <w:tc>
          <w:tcPr>
            <w:tcW w:w="12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$(3.4)</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$(0.10)</w:t>
            </w:r>
          </w:p>
        </w:tc>
      </w:tr>
      <w:tr>
        <w:trPr>
          <w:trHeight w:val="203"/>
        </w:trPr>
        <w:tc>
          <w:tcPr>
            <w:tcW w:w="122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 from</w:t>
            </w:r>
          </w:p>
        </w:tc>
        <w:tc>
          <w:tcPr>
            <w:tcW w:w="1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discontinued</w:t>
            </w:r>
          </w:p>
        </w:tc>
        <w:tc>
          <w:tcPr>
            <w:tcW w:w="12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12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9"/>
              </w:rPr>
              <w:t>operations</w:t>
            </w:r>
          </w:p>
        </w:tc>
        <w:tc>
          <w:tcPr>
            <w:tcW w:w="1740" w:type="dxa"/>
            <w:vAlign w:val="bottom"/>
          </w:tcPr>
          <w:p>
            <w:pPr>
              <w:spacing w:after="0"/>
              <w:rPr>
                <w:sz w:val="17"/>
                <w:szCs w:val="17"/>
                <w:color w:val="auto"/>
              </w:rPr>
            </w:pPr>
          </w:p>
        </w:tc>
        <w:tc>
          <w:tcPr>
            <w:tcW w:w="12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2.0</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$0.06</w:t>
            </w:r>
          </w:p>
        </w:tc>
      </w:tr>
      <w:tr>
        <w:trPr>
          <w:trHeight w:val="203"/>
        </w:trPr>
        <w:tc>
          <w:tcPr>
            <w:tcW w:w="122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2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9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Net loss, as reported</w:t>
            </w:r>
          </w:p>
        </w:tc>
        <w:tc>
          <w:tcPr>
            <w:tcW w:w="12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$(2.8)</w:t>
            </w:r>
          </w:p>
        </w:tc>
        <w:tc>
          <w:tcPr>
            <w:tcW w:w="13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$(0.08)</w:t>
            </w:r>
          </w:p>
        </w:tc>
        <w:tc>
          <w:tcPr>
            <w:tcW w:w="12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$(1.4)</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$(0.04)</w:t>
            </w:r>
          </w:p>
        </w:tc>
      </w:tr>
      <w:tr>
        <w:trPr>
          <w:trHeight w:val="203"/>
        </w:trPr>
        <w:tc>
          <w:tcPr>
            <w:tcW w:w="122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 tax,</w:t>
            </w:r>
          </w:p>
        </w:tc>
        <w:tc>
          <w:tcPr>
            <w:tcW w:w="1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assuming</w:t>
            </w:r>
          </w:p>
        </w:tc>
        <w:tc>
          <w:tcPr>
            <w:tcW w:w="12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12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9"/>
              </w:rPr>
              <w:t>normalized</w:t>
            </w:r>
          </w:p>
        </w:tc>
        <w:tc>
          <w:tcPr>
            <w:tcW w:w="1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tax rate of 37%</w:t>
            </w:r>
          </w:p>
        </w:tc>
        <w:tc>
          <w:tcPr>
            <w:tcW w:w="12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1.0</w:t>
            </w:r>
          </w:p>
        </w:tc>
        <w:tc>
          <w:tcPr>
            <w:tcW w:w="138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0.03</w:t>
            </w:r>
          </w:p>
        </w:tc>
        <w:tc>
          <w:tcPr>
            <w:tcW w:w="12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0.5</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0.01</w:t>
            </w:r>
          </w:p>
        </w:tc>
      </w:tr>
      <w:tr>
        <w:trPr>
          <w:trHeight w:val="203"/>
        </w:trPr>
        <w:tc>
          <w:tcPr>
            <w:tcW w:w="29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Adjusted net loss, after</w:t>
            </w:r>
          </w:p>
        </w:tc>
        <w:tc>
          <w:tcPr>
            <w:tcW w:w="12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9"/>
              </w:rPr>
              <w:t>normalized</w:t>
            </w:r>
          </w:p>
        </w:tc>
        <w:tc>
          <w:tcPr>
            <w:tcW w:w="1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tax benefit</w:t>
            </w:r>
          </w:p>
        </w:tc>
        <w:tc>
          <w:tcPr>
            <w:tcW w:w="12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$(1.8)</w:t>
            </w:r>
          </w:p>
        </w:tc>
        <w:tc>
          <w:tcPr>
            <w:tcW w:w="13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$(0.05)</w:t>
            </w:r>
          </w:p>
        </w:tc>
        <w:tc>
          <w:tcPr>
            <w:tcW w:w="12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$(0.9)</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$(0.03)</w:t>
            </w:r>
          </w:p>
        </w:tc>
      </w:tr>
      <w:tr>
        <w:trPr>
          <w:trHeight w:val="203"/>
        </w:trPr>
        <w:tc>
          <w:tcPr>
            <w:tcW w:w="29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Weighted average shares</w:t>
            </w:r>
          </w:p>
        </w:tc>
        <w:tc>
          <w:tcPr>
            <w:tcW w:w="12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296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Outstanding - diluted</w:t>
            </w:r>
          </w:p>
        </w:tc>
        <w:tc>
          <w:tcPr>
            <w:tcW w:w="1260" w:type="dxa"/>
            <w:vAlign w:val="bottom"/>
          </w:tcPr>
          <w:p>
            <w:pPr>
              <w:spacing w:after="0"/>
              <w:rPr>
                <w:sz w:val="17"/>
                <w:szCs w:val="17"/>
                <w:color w:val="auto"/>
              </w:rPr>
            </w:pPr>
          </w:p>
        </w:tc>
        <w:tc>
          <w:tcPr>
            <w:tcW w:w="138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34.3</w:t>
            </w:r>
          </w:p>
        </w:tc>
        <w:tc>
          <w:tcPr>
            <w:tcW w:w="1200" w:type="dxa"/>
            <w:vAlign w:val="bottom"/>
          </w:tcPr>
          <w:p>
            <w:pPr>
              <w:spacing w:after="0"/>
              <w:rPr>
                <w:sz w:val="17"/>
                <w:szCs w:val="17"/>
                <w:color w:val="auto"/>
              </w:rPr>
            </w:pP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34.2</w:t>
            </w:r>
          </w:p>
        </w:tc>
      </w:tr>
    </w:tbl>
    <w:p>
      <w:pPr>
        <w:spacing w:after="0" w:line="207" w:lineRule="exact"/>
        <w:rPr>
          <w:sz w:val="20"/>
          <w:szCs w:val="20"/>
          <w:color w:val="auto"/>
        </w:rPr>
      </w:pPr>
    </w:p>
    <w:p>
      <w:pPr>
        <w:ind w:right="2739"/>
        <w:spacing w:after="0" w:line="271" w:lineRule="auto"/>
        <w:rPr>
          <w:sz w:val="20"/>
          <w:szCs w:val="20"/>
          <w:color w:val="auto"/>
        </w:rPr>
      </w:pPr>
      <w:r>
        <w:rPr>
          <w:rFonts w:ascii="Courier New" w:cs="Courier New" w:eastAsia="Courier New" w:hAnsi="Courier New"/>
          <w:sz w:val="16"/>
          <w:szCs w:val="16"/>
          <w:color w:val="auto"/>
        </w:rPr>
        <w:t>CMRG will host a conference call with security analysts beginning at 11:00 a.m. ET today, Thursday, November 17, 2005, to review the operating results for the third quarter ended October 29, 2005. The call is being web cast by CCBN and can be accessed at www.casualmale.com/investor. During the conference call the Company may discuss and answer questions concerning business and financial developments and trends. The Company's responses to questions, as well as other matters discussed during the conference call, may contain or constitute information that has not been disclosed previously.</w:t>
      </w:r>
    </w:p>
    <w:p>
      <w:pPr>
        <w:spacing w:after="0" w:line="388" w:lineRule="exact"/>
        <w:rPr>
          <w:sz w:val="20"/>
          <w:szCs w:val="20"/>
          <w:color w:val="auto"/>
        </w:rPr>
      </w:pPr>
    </w:p>
    <w:p>
      <w:pPr>
        <w:ind w:right="2739"/>
        <w:spacing w:after="0" w:line="237" w:lineRule="auto"/>
        <w:rPr>
          <w:sz w:val="20"/>
          <w:szCs w:val="20"/>
          <w:color w:val="auto"/>
        </w:rPr>
      </w:pPr>
      <w:r>
        <w:rPr>
          <w:rFonts w:ascii="Courier New" w:cs="Courier New" w:eastAsia="Courier New" w:hAnsi="Courier New"/>
          <w:sz w:val="18"/>
          <w:szCs w:val="18"/>
          <w:color w:val="auto"/>
        </w:rPr>
        <w:t>Casual Male Retail Group, Inc., the largest retailer of big and tall men's apparel with retail operations throughout the United States, Canada and London, England, operates 491 Casual Male Big &amp; Tall stores, the Casual Male e-commerce site, Casual Male catalog business, 13 Casual Male at Sears-Canada stores and 24 Rochester Big &amp; Tall stores and a direct-to-consumer business. The Company is headquartered in Canton, Massachusetts and its common stock is listed on the NASDAQ National Market under the symbol "CMRG."</w:t>
      </w:r>
    </w:p>
    <w:p>
      <w:pPr>
        <w:spacing w:after="0" w:line="10" w:lineRule="exact"/>
        <w:rPr>
          <w:sz w:val="20"/>
          <w:szCs w:val="20"/>
          <w:color w:val="auto"/>
        </w:rPr>
      </w:pPr>
    </w:p>
    <w:p>
      <w:pPr>
        <w:ind w:right="2739"/>
        <w:spacing w:after="0" w:line="270" w:lineRule="auto"/>
        <w:rPr>
          <w:sz w:val="20"/>
          <w:szCs w:val="20"/>
          <w:color w:val="auto"/>
        </w:rPr>
      </w:pPr>
      <w:r>
        <w:rPr>
          <w:rFonts w:ascii="Courier New" w:cs="Courier New" w:eastAsia="Courier New" w:hAnsi="Courier New"/>
          <w:sz w:val="16"/>
          <w:szCs w:val="16"/>
          <w:color w:val="auto"/>
        </w:rPr>
        <w:t>The discussion of forward-looking information requires management of the Company to make certain estimates and assumptions regarding the Company's strategic direction and the effect of such plans on the Company's financial results. The Company's actual results and the implementation of its plans and operations may differ materially from forward-looking statements made by the Company. The Company encourages readers of forward-looking information concerning the Company to refer to its prior filings with the Securities and Exchange Commission, including without limitation , its Current Report Form 8-K filed on April 8, 2005, that set forth certain risks and uncertainties that may have an impact on future results and direction of the Company.</w:t>
      </w:r>
    </w:p>
    <w:p>
      <w:pPr>
        <w:spacing w:after="0" w:line="386"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w:t>
      </w:r>
    </w:p>
    <w:p>
      <w:pPr>
        <w:ind w:left="2220"/>
        <w:spacing w:after="0" w:line="238" w:lineRule="auto"/>
        <w:rPr>
          <w:sz w:val="20"/>
          <w:szCs w:val="20"/>
          <w:color w:val="auto"/>
        </w:rPr>
      </w:pPr>
      <w:r>
        <w:rPr>
          <w:rFonts w:ascii="Courier New" w:cs="Courier New" w:eastAsia="Courier New" w:hAnsi="Courier New"/>
          <w:sz w:val="18"/>
          <w:szCs w:val="18"/>
          <w:color w:val="auto"/>
        </w:rPr>
        <w:t>CASUAL MALE RETAIL GROUP, INC.</w:t>
      </w:r>
    </w:p>
    <w:p>
      <w:pPr>
        <w:ind w:left="1900"/>
        <w:spacing w:after="0"/>
        <w:rPr>
          <w:sz w:val="20"/>
          <w:szCs w:val="20"/>
          <w:color w:val="auto"/>
        </w:rPr>
      </w:pPr>
      <w:r>
        <w:rPr>
          <w:rFonts w:ascii="Courier New" w:cs="Courier New" w:eastAsia="Courier New" w:hAnsi="Courier New"/>
          <w:sz w:val="18"/>
          <w:szCs w:val="18"/>
          <w:color w:val="auto"/>
        </w:rPr>
        <w:t>CONSOLIDATED STATEMENTS OF OPERATIONS</w:t>
      </w:r>
    </w:p>
    <w:p>
      <w:pPr>
        <w:ind w:left="2000"/>
        <w:spacing w:after="0" w:line="237" w:lineRule="auto"/>
        <w:rPr>
          <w:sz w:val="20"/>
          <w:szCs w:val="20"/>
          <w:color w:val="auto"/>
        </w:rPr>
      </w:pPr>
      <w:r>
        <w:rPr>
          <w:rFonts w:ascii="Courier New" w:cs="Courier New" w:eastAsia="Courier New" w:hAnsi="Courier New"/>
          <w:sz w:val="18"/>
          <w:szCs w:val="18"/>
          <w:color w:val="auto"/>
        </w:rPr>
        <w:t>(In thousands, except per share data)</w:t>
      </w:r>
    </w:p>
    <w:p>
      <w:pPr>
        <w:ind w:left="3160"/>
        <w:spacing w:after="0" w:line="238" w:lineRule="auto"/>
        <w:rPr>
          <w:sz w:val="20"/>
          <w:szCs w:val="20"/>
          <w:color w:val="auto"/>
        </w:rPr>
      </w:pPr>
      <w:r>
        <w:rPr>
          <w:rFonts w:ascii="Courier New" w:cs="Courier New" w:eastAsia="Courier New" w:hAnsi="Courier New"/>
          <w:sz w:val="18"/>
          <w:szCs w:val="18"/>
          <w:color w:val="auto"/>
        </w:rPr>
        <w:t>(Unaudited)</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640" w:type="dxa"/>
            <w:vAlign w:val="bottom"/>
          </w:tcPr>
          <w:p>
            <w:pPr>
              <w:spacing w:after="0"/>
              <w:rPr>
                <w:sz w:val="17"/>
                <w:szCs w:val="17"/>
                <w:color w:val="auto"/>
              </w:rPr>
            </w:pPr>
          </w:p>
        </w:tc>
        <w:tc>
          <w:tcPr>
            <w:tcW w:w="940" w:type="dxa"/>
            <w:vAlign w:val="bottom"/>
          </w:tcPr>
          <w:p>
            <w:pPr>
              <w:ind w:left="220"/>
              <w:spacing w:after="0"/>
              <w:rPr>
                <w:sz w:val="20"/>
                <w:szCs w:val="20"/>
                <w:color w:val="auto"/>
              </w:rPr>
            </w:pPr>
            <w:r>
              <w:rPr>
                <w:rFonts w:ascii="Courier New" w:cs="Courier New" w:eastAsia="Courier New" w:hAnsi="Courier New"/>
                <w:sz w:val="18"/>
                <w:szCs w:val="18"/>
                <w:color w:val="auto"/>
                <w:w w:val="92"/>
              </w:rPr>
              <w:t>For the</w:t>
            </w:r>
          </w:p>
        </w:tc>
        <w:tc>
          <w:tcPr>
            <w:tcW w:w="2220" w:type="dxa"/>
            <w:vAlign w:val="bottom"/>
            <w:gridSpan w:val="2"/>
          </w:tcPr>
          <w:p>
            <w:pPr>
              <w:jc w:val="right"/>
              <w:ind w:right="112"/>
              <w:spacing w:after="0"/>
              <w:rPr>
                <w:sz w:val="20"/>
                <w:szCs w:val="20"/>
                <w:color w:val="auto"/>
              </w:rPr>
            </w:pPr>
            <w:r>
              <w:rPr>
                <w:rFonts w:ascii="Courier New" w:cs="Courier New" w:eastAsia="Courier New" w:hAnsi="Courier New"/>
                <w:sz w:val="18"/>
                <w:szCs w:val="18"/>
                <w:color w:val="auto"/>
              </w:rPr>
              <w:t>three months ended</w:t>
            </w:r>
          </w:p>
        </w:tc>
        <w:tc>
          <w:tcPr>
            <w:tcW w:w="264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7"/>
              </w:rPr>
              <w:t>For the nine months ended</w:t>
            </w:r>
          </w:p>
        </w:tc>
      </w:tr>
      <w:tr>
        <w:trPr>
          <w:trHeight w:val="203"/>
        </w:trPr>
        <w:tc>
          <w:tcPr>
            <w:tcW w:w="2640" w:type="dxa"/>
            <w:vAlign w:val="bottom"/>
          </w:tcPr>
          <w:p>
            <w:pPr>
              <w:spacing w:after="0"/>
              <w:rPr>
                <w:sz w:val="17"/>
                <w:szCs w:val="17"/>
                <w:color w:val="auto"/>
              </w:rPr>
            </w:pPr>
          </w:p>
        </w:tc>
        <w:tc>
          <w:tcPr>
            <w:tcW w:w="1900" w:type="dxa"/>
            <w:vAlign w:val="bottom"/>
            <w:gridSpan w:val="2"/>
          </w:tcPr>
          <w:p>
            <w:pPr>
              <w:ind w:left="740"/>
              <w:spacing w:after="0" w:line="203" w:lineRule="exact"/>
              <w:rPr>
                <w:sz w:val="20"/>
                <w:szCs w:val="20"/>
                <w:color w:val="auto"/>
              </w:rPr>
            </w:pPr>
            <w:r>
              <w:rPr>
                <w:rFonts w:ascii="Courier New" w:cs="Courier New" w:eastAsia="Courier New" w:hAnsi="Courier New"/>
                <w:sz w:val="18"/>
                <w:szCs w:val="18"/>
                <w:color w:val="auto"/>
              </w:rPr>
              <w:t>10/29/2005</w:t>
            </w:r>
          </w:p>
        </w:tc>
        <w:tc>
          <w:tcPr>
            <w:tcW w:w="126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w w:val="96"/>
              </w:rPr>
              <w:t>10/30/2005</w:t>
            </w: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10/29/2005</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10/30/2005</w:t>
            </w:r>
          </w:p>
        </w:tc>
      </w:tr>
      <w:tr>
        <w:trPr>
          <w:trHeight w:val="203"/>
        </w:trPr>
        <w:tc>
          <w:tcPr>
            <w:tcW w:w="2640" w:type="dxa"/>
            <w:vAlign w:val="bottom"/>
          </w:tcPr>
          <w:p>
            <w:pPr>
              <w:spacing w:after="0"/>
              <w:rPr>
                <w:sz w:val="17"/>
                <w:szCs w:val="17"/>
                <w:color w:val="auto"/>
              </w:rPr>
            </w:pPr>
          </w:p>
        </w:tc>
        <w:tc>
          <w:tcPr>
            <w:tcW w:w="3160" w:type="dxa"/>
            <w:vAlign w:val="bottom"/>
            <w:gridSpan w:val="3"/>
          </w:tcPr>
          <w:p>
            <w:pPr>
              <w:ind w:left="740"/>
              <w:spacing w:after="0" w:line="203" w:lineRule="exact"/>
              <w:rPr>
                <w:sz w:val="20"/>
                <w:szCs w:val="20"/>
                <w:color w:val="auto"/>
              </w:rPr>
            </w:pPr>
            <w:r>
              <w:rPr>
                <w:rFonts w:ascii="Courier New" w:cs="Courier New" w:eastAsia="Courier New" w:hAnsi="Courier New"/>
                <w:sz w:val="18"/>
                <w:szCs w:val="18"/>
                <w:color w:val="auto"/>
              </w:rPr>
              <w:t>----------------------</w:t>
            </w:r>
          </w:p>
        </w:tc>
        <w:tc>
          <w:tcPr>
            <w:tcW w:w="26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Sales</w:t>
            </w:r>
          </w:p>
        </w:tc>
        <w:tc>
          <w:tcPr>
            <w:tcW w:w="94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93,770</w:t>
            </w: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  74,646</w:t>
            </w: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$ 291,688</w:t>
            </w:r>
          </w:p>
        </w:tc>
        <w:tc>
          <w:tcPr>
            <w:tcW w:w="12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$ 246,897</w:t>
            </w:r>
          </w:p>
        </w:tc>
      </w:tr>
      <w:tr>
        <w:trPr>
          <w:trHeight w:val="405"/>
        </w:trPr>
        <w:tc>
          <w:tcPr>
            <w:tcW w:w="2640" w:type="dxa"/>
            <w:vAlign w:val="bottom"/>
          </w:tcPr>
          <w:p>
            <w:pPr>
              <w:spacing w:after="0"/>
              <w:rPr>
                <w:sz w:val="20"/>
                <w:szCs w:val="20"/>
                <w:color w:val="auto"/>
              </w:rPr>
            </w:pPr>
            <w:r>
              <w:rPr>
                <w:rFonts w:ascii="Courier New" w:cs="Courier New" w:eastAsia="Courier New" w:hAnsi="Courier New"/>
                <w:sz w:val="18"/>
                <w:szCs w:val="18"/>
                <w:color w:val="auto"/>
              </w:rPr>
              <w:t>Cost of goods sold</w:t>
            </w:r>
          </w:p>
        </w:tc>
        <w:tc>
          <w:tcPr>
            <w:tcW w:w="9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including occupancy</w:t>
            </w:r>
          </w:p>
        </w:tc>
        <w:tc>
          <w:tcPr>
            <w:tcW w:w="940" w:type="dxa"/>
            <w:vAlign w:val="bottom"/>
          </w:tcPr>
          <w:p>
            <w:pPr>
              <w:spacing w:after="0"/>
              <w:rPr>
                <w:sz w:val="17"/>
                <w:szCs w:val="17"/>
                <w:color w:val="auto"/>
              </w:rPr>
            </w:pP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55,185</w:t>
            </w: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44,414</w:t>
            </w: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169,191</w:t>
            </w:r>
          </w:p>
        </w:tc>
        <w:tc>
          <w:tcPr>
            <w:tcW w:w="12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146,780</w:t>
            </w:r>
          </w:p>
        </w:tc>
      </w:tr>
      <w:tr>
        <w:trPr>
          <w:trHeight w:val="203"/>
        </w:trPr>
        <w:tc>
          <w:tcPr>
            <w:tcW w:w="2640" w:type="dxa"/>
            <w:vAlign w:val="bottom"/>
          </w:tcPr>
          <w:p>
            <w:pPr>
              <w:spacing w:after="0"/>
              <w:rPr>
                <w:sz w:val="17"/>
                <w:szCs w:val="17"/>
                <w:color w:val="auto"/>
              </w:rPr>
            </w:pPr>
          </w:p>
        </w:tc>
        <w:tc>
          <w:tcPr>
            <w:tcW w:w="190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Gross profit</w:t>
            </w:r>
          </w:p>
        </w:tc>
        <w:tc>
          <w:tcPr>
            <w:tcW w:w="940" w:type="dxa"/>
            <w:vAlign w:val="bottom"/>
          </w:tcPr>
          <w:p>
            <w:pPr>
              <w:spacing w:after="0"/>
              <w:rPr>
                <w:sz w:val="17"/>
                <w:szCs w:val="17"/>
                <w:color w:val="auto"/>
              </w:rPr>
            </w:pP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38,585</w:t>
            </w: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30,232</w:t>
            </w: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122,497</w:t>
            </w:r>
          </w:p>
        </w:tc>
        <w:tc>
          <w:tcPr>
            <w:tcW w:w="12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100,117</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Expenses:</w:t>
            </w:r>
          </w:p>
        </w:tc>
        <w:tc>
          <w:tcPr>
            <w:tcW w:w="9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Selling, general and</w:t>
            </w:r>
          </w:p>
        </w:tc>
        <w:tc>
          <w:tcPr>
            <w:tcW w:w="9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2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administrative</w:t>
            </w:r>
          </w:p>
        </w:tc>
        <w:tc>
          <w:tcPr>
            <w:tcW w:w="940" w:type="dxa"/>
            <w:vAlign w:val="bottom"/>
          </w:tcPr>
          <w:p>
            <w:pPr>
              <w:spacing w:after="0"/>
              <w:rPr>
                <w:sz w:val="17"/>
                <w:szCs w:val="17"/>
                <w:color w:val="auto"/>
              </w:rPr>
            </w:pP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36,175</w:t>
            </w: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29,276</w:t>
            </w: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109,942</w:t>
            </w:r>
          </w:p>
        </w:tc>
        <w:tc>
          <w:tcPr>
            <w:tcW w:w="12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95,175</w:t>
            </w:r>
          </w:p>
        </w:tc>
      </w:tr>
      <w:tr>
        <w:trPr>
          <w:trHeight w:val="203"/>
        </w:trPr>
        <w:tc>
          <w:tcPr>
            <w:tcW w:w="35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Depreciation and amortization</w:t>
            </w: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3,131</w:t>
            </w: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2,480</w:t>
            </w: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9,106</w:t>
            </w:r>
          </w:p>
        </w:tc>
        <w:tc>
          <w:tcPr>
            <w:tcW w:w="12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7,215</w:t>
            </w:r>
          </w:p>
        </w:tc>
      </w:tr>
      <w:tr>
        <w:trPr>
          <w:trHeight w:val="203"/>
        </w:trPr>
        <w:tc>
          <w:tcPr>
            <w:tcW w:w="2640" w:type="dxa"/>
            <w:vAlign w:val="bottom"/>
          </w:tcPr>
          <w:p>
            <w:pPr>
              <w:spacing w:after="0"/>
              <w:rPr>
                <w:sz w:val="17"/>
                <w:szCs w:val="17"/>
                <w:color w:val="auto"/>
              </w:rPr>
            </w:pPr>
          </w:p>
        </w:tc>
        <w:tc>
          <w:tcPr>
            <w:tcW w:w="190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Total expenses</w:t>
            </w:r>
          </w:p>
        </w:tc>
        <w:tc>
          <w:tcPr>
            <w:tcW w:w="940" w:type="dxa"/>
            <w:vAlign w:val="bottom"/>
          </w:tcPr>
          <w:p>
            <w:pPr>
              <w:spacing w:after="0"/>
              <w:rPr>
                <w:sz w:val="17"/>
                <w:szCs w:val="17"/>
                <w:color w:val="auto"/>
              </w:rPr>
            </w:pP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39,306</w:t>
            </w: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31,756</w:t>
            </w: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119,048</w:t>
            </w:r>
          </w:p>
        </w:tc>
        <w:tc>
          <w:tcPr>
            <w:tcW w:w="12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102,390</w:t>
            </w:r>
          </w:p>
        </w:tc>
      </w:tr>
      <w:tr>
        <w:trPr>
          <w:trHeight w:val="405"/>
        </w:trPr>
        <w:tc>
          <w:tcPr>
            <w:tcW w:w="2640" w:type="dxa"/>
            <w:vAlign w:val="bottom"/>
          </w:tcPr>
          <w:p>
            <w:pPr>
              <w:spacing w:after="0"/>
              <w:rPr>
                <w:sz w:val="20"/>
                <w:szCs w:val="20"/>
                <w:color w:val="auto"/>
              </w:rPr>
            </w:pPr>
            <w:r>
              <w:rPr>
                <w:rFonts w:ascii="Courier New" w:cs="Courier New" w:eastAsia="Courier New" w:hAnsi="Courier New"/>
                <w:sz w:val="18"/>
                <w:szCs w:val="18"/>
                <w:color w:val="auto"/>
              </w:rPr>
              <w:t>Operating income (loss)</w:t>
            </w:r>
          </w:p>
        </w:tc>
        <w:tc>
          <w:tcPr>
            <w:tcW w:w="940" w:type="dxa"/>
            <w:vAlign w:val="bottom"/>
          </w:tcPr>
          <w:p>
            <w:pPr>
              <w:spacing w:after="0"/>
              <w:rPr>
                <w:sz w:val="24"/>
                <w:szCs w:val="24"/>
                <w:color w:val="auto"/>
              </w:rPr>
            </w:pPr>
          </w:p>
        </w:tc>
        <w:tc>
          <w:tcPr>
            <w:tcW w:w="9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(721)</w:t>
            </w:r>
          </w:p>
        </w:tc>
        <w:tc>
          <w:tcPr>
            <w:tcW w:w="12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(1,524)</w:t>
            </w:r>
          </w:p>
        </w:tc>
        <w:tc>
          <w:tcPr>
            <w:tcW w:w="1420" w:type="dxa"/>
            <w:vAlign w:val="bottom"/>
          </w:tcPr>
          <w:p>
            <w:pPr>
              <w:jc w:val="right"/>
              <w:ind w:right="72"/>
              <w:spacing w:after="0"/>
              <w:rPr>
                <w:sz w:val="20"/>
                <w:szCs w:val="20"/>
                <w:color w:val="auto"/>
              </w:rPr>
            </w:pPr>
            <w:r>
              <w:rPr>
                <w:rFonts w:ascii="Courier New" w:cs="Courier New" w:eastAsia="Courier New" w:hAnsi="Courier New"/>
                <w:sz w:val="18"/>
                <w:szCs w:val="18"/>
                <w:color w:val="auto"/>
              </w:rPr>
              <w:t>3,449</w:t>
            </w:r>
          </w:p>
        </w:tc>
        <w:tc>
          <w:tcPr>
            <w:tcW w:w="12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(2,273)</w:t>
            </w:r>
          </w:p>
        </w:tc>
      </w:tr>
      <w:tr>
        <w:trPr>
          <w:trHeight w:val="405"/>
        </w:trPr>
        <w:tc>
          <w:tcPr>
            <w:tcW w:w="2640" w:type="dxa"/>
            <w:vAlign w:val="bottom"/>
          </w:tcPr>
          <w:p>
            <w:pPr>
              <w:spacing w:after="0"/>
              <w:rPr>
                <w:sz w:val="20"/>
                <w:szCs w:val="20"/>
                <w:color w:val="auto"/>
              </w:rPr>
            </w:pPr>
            <w:r>
              <w:rPr>
                <w:rFonts w:ascii="Courier New" w:cs="Courier New" w:eastAsia="Courier New" w:hAnsi="Courier New"/>
                <w:sz w:val="18"/>
                <w:szCs w:val="18"/>
                <w:color w:val="auto"/>
              </w:rPr>
              <w:t>Other income, net</w:t>
            </w:r>
          </w:p>
        </w:tc>
        <w:tc>
          <w:tcPr>
            <w:tcW w:w="940" w:type="dxa"/>
            <w:vAlign w:val="bottom"/>
          </w:tcPr>
          <w:p>
            <w:pPr>
              <w:spacing w:after="0"/>
              <w:rPr>
                <w:sz w:val="24"/>
                <w:szCs w:val="24"/>
                <w:color w:val="auto"/>
              </w:rPr>
            </w:pPr>
          </w:p>
        </w:tc>
        <w:tc>
          <w:tcPr>
            <w:tcW w:w="96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308</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Interest expense, net</w:t>
            </w:r>
          </w:p>
        </w:tc>
        <w:tc>
          <w:tcPr>
            <w:tcW w:w="940" w:type="dxa"/>
            <w:vAlign w:val="bottom"/>
          </w:tcPr>
          <w:p>
            <w:pPr>
              <w:spacing w:after="0"/>
              <w:rPr>
                <w:sz w:val="17"/>
                <w:szCs w:val="17"/>
                <w:color w:val="auto"/>
              </w:rPr>
            </w:pPr>
          </w:p>
        </w:tc>
        <w:tc>
          <w:tcPr>
            <w:tcW w:w="9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(2,114)</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(1,878)</w:t>
            </w: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(6,145)</w:t>
            </w:r>
          </w:p>
        </w:tc>
        <w:tc>
          <w:tcPr>
            <w:tcW w:w="1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(6,034)</w:t>
            </w:r>
          </w:p>
        </w:tc>
      </w:tr>
      <w:tr>
        <w:trPr>
          <w:trHeight w:val="203"/>
        </w:trPr>
        <w:tc>
          <w:tcPr>
            <w:tcW w:w="26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w:t>
            </w:r>
          </w:p>
        </w:tc>
        <w:tc>
          <w:tcPr>
            <w:tcW w:w="126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bl>
    <w:p>
      <w:pPr>
        <w:sectPr>
          <w:pgSz w:w="11900" w:h="16838" w:orient="portrait"/>
          <w:cols w:equalWidth="0" w:num="1">
            <w:col w:w="10219"/>
          </w:cols>
          <w:pgMar w:left="240" w:top="142" w:right="1440" w:bottom="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320" w:type="dxa"/>
            <w:vAlign w:val="bottom"/>
          </w:tcPr>
          <w:p>
            <w:pPr>
              <w:spacing w:after="0"/>
              <w:rPr>
                <w:sz w:val="20"/>
                <w:szCs w:val="20"/>
                <w:color w:val="auto"/>
              </w:rPr>
            </w:pPr>
            <w:r>
              <w:rPr>
                <w:rFonts w:ascii="Courier New" w:cs="Courier New" w:eastAsia="Courier New" w:hAnsi="Courier New"/>
                <w:sz w:val="18"/>
                <w:szCs w:val="18"/>
                <w:color w:val="auto"/>
                <w:w w:val="98"/>
              </w:rPr>
              <w:t>Loss from continuing operations</w:t>
            </w: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33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before minority interest and</w:t>
            </w: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33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income taxes</w:t>
            </w:r>
          </w:p>
        </w:tc>
        <w:tc>
          <w:tcPr>
            <w:tcW w:w="160" w:type="dxa"/>
            <w:vAlign w:val="bottom"/>
          </w:tcPr>
          <w:p>
            <w:pPr>
              <w:spacing w:after="0"/>
              <w:rPr>
                <w:sz w:val="17"/>
                <w:szCs w:val="17"/>
                <w:color w:val="auto"/>
              </w:rPr>
            </w:pPr>
          </w:p>
        </w:tc>
        <w:tc>
          <w:tcPr>
            <w:tcW w:w="11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(2,835)</w:t>
            </w:r>
          </w:p>
        </w:tc>
        <w:tc>
          <w:tcPr>
            <w:tcW w:w="13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(3,402)</w:t>
            </w:r>
          </w:p>
        </w:tc>
        <w:tc>
          <w:tcPr>
            <w:tcW w:w="13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(2,696)</w:t>
            </w:r>
          </w:p>
        </w:tc>
        <w:tc>
          <w:tcPr>
            <w:tcW w:w="10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(7,999)</w:t>
            </w:r>
          </w:p>
        </w:tc>
      </w:tr>
      <w:tr>
        <w:trPr>
          <w:trHeight w:val="405"/>
        </w:trPr>
        <w:tc>
          <w:tcPr>
            <w:tcW w:w="3320" w:type="dxa"/>
            <w:vAlign w:val="bottom"/>
          </w:tcPr>
          <w:p>
            <w:pPr>
              <w:spacing w:after="0"/>
              <w:rPr>
                <w:sz w:val="20"/>
                <w:szCs w:val="20"/>
                <w:color w:val="auto"/>
              </w:rPr>
            </w:pPr>
            <w:r>
              <w:rPr>
                <w:rFonts w:ascii="Courier New" w:cs="Courier New" w:eastAsia="Courier New" w:hAnsi="Courier New"/>
                <w:sz w:val="18"/>
                <w:szCs w:val="18"/>
                <w:color w:val="auto"/>
              </w:rPr>
              <w:t>Minority interest</w:t>
            </w:r>
          </w:p>
        </w:tc>
        <w:tc>
          <w:tcPr>
            <w:tcW w:w="160" w:type="dxa"/>
            <w:vAlign w:val="bottom"/>
          </w:tcPr>
          <w:p>
            <w:pPr>
              <w:spacing w:after="0"/>
              <w:rPr>
                <w:sz w:val="24"/>
                <w:szCs w:val="24"/>
                <w:color w:val="auto"/>
              </w:rPr>
            </w:pPr>
          </w:p>
        </w:tc>
        <w:tc>
          <w:tcPr>
            <w:tcW w:w="112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w:t>
            </w:r>
          </w:p>
        </w:tc>
        <w:tc>
          <w:tcPr>
            <w:tcW w:w="130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w:t>
            </w:r>
          </w:p>
        </w:tc>
        <w:tc>
          <w:tcPr>
            <w:tcW w:w="1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8"/>
                <w:szCs w:val="18"/>
                <w:color w:val="auto"/>
              </w:rPr>
              <w:t>(701)</w:t>
            </w:r>
          </w:p>
        </w:tc>
      </w:tr>
      <w:tr>
        <w:trPr>
          <w:trHeight w:val="203"/>
        </w:trPr>
        <w:tc>
          <w:tcPr>
            <w:tcW w:w="332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 taxes</w:t>
            </w:r>
          </w:p>
        </w:tc>
        <w:tc>
          <w:tcPr>
            <w:tcW w:w="160" w:type="dxa"/>
            <w:vAlign w:val="bottom"/>
          </w:tcPr>
          <w:p>
            <w:pPr>
              <w:spacing w:after="0"/>
              <w:rPr>
                <w:sz w:val="17"/>
                <w:szCs w:val="17"/>
                <w:color w:val="auto"/>
              </w:rPr>
            </w:pPr>
          </w:p>
        </w:tc>
        <w:tc>
          <w:tcPr>
            <w:tcW w:w="11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3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00" w:type="dxa"/>
            <w:vAlign w:val="bottom"/>
          </w:tcPr>
          <w:p>
            <w:pPr>
              <w:spacing w:after="0"/>
              <w:rPr>
                <w:sz w:val="17"/>
                <w:szCs w:val="17"/>
                <w:color w:val="auto"/>
              </w:rPr>
            </w:pP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6"/>
              </w:rPr>
              <w:t>---------</w:t>
            </w:r>
          </w:p>
        </w:tc>
        <w:tc>
          <w:tcPr>
            <w:tcW w:w="13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32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Loss from continuing operations</w:t>
            </w:r>
          </w:p>
        </w:tc>
        <w:tc>
          <w:tcPr>
            <w:tcW w:w="160" w:type="dxa"/>
            <w:vAlign w:val="bottom"/>
          </w:tcPr>
          <w:p>
            <w:pPr>
              <w:spacing w:after="0"/>
              <w:rPr>
                <w:sz w:val="17"/>
                <w:szCs w:val="17"/>
                <w:color w:val="auto"/>
              </w:rPr>
            </w:pPr>
          </w:p>
        </w:tc>
        <w:tc>
          <w:tcPr>
            <w:tcW w:w="11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(2,835)</w:t>
            </w:r>
          </w:p>
        </w:tc>
        <w:tc>
          <w:tcPr>
            <w:tcW w:w="13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(3,402)</w:t>
            </w:r>
          </w:p>
        </w:tc>
        <w:tc>
          <w:tcPr>
            <w:tcW w:w="13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(2,696)</w:t>
            </w:r>
          </w:p>
        </w:tc>
        <w:tc>
          <w:tcPr>
            <w:tcW w:w="10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(7,298)</w:t>
            </w:r>
          </w:p>
        </w:tc>
      </w:tr>
      <w:tr>
        <w:trPr>
          <w:trHeight w:val="405"/>
        </w:trPr>
        <w:tc>
          <w:tcPr>
            <w:tcW w:w="3320" w:type="dxa"/>
            <w:vAlign w:val="bottom"/>
          </w:tcPr>
          <w:p>
            <w:pPr>
              <w:spacing w:after="0"/>
              <w:rPr>
                <w:sz w:val="20"/>
                <w:szCs w:val="20"/>
                <w:color w:val="auto"/>
              </w:rPr>
            </w:pPr>
            <w:r>
              <w:rPr>
                <w:rFonts w:ascii="Courier New" w:cs="Courier New" w:eastAsia="Courier New" w:hAnsi="Courier New"/>
                <w:sz w:val="18"/>
                <w:szCs w:val="18"/>
                <w:color w:val="auto"/>
              </w:rPr>
              <w:t>Income from discontinued</w:t>
            </w: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03"/>
        </w:trPr>
        <w:tc>
          <w:tcPr>
            <w:tcW w:w="33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operations</w:t>
            </w:r>
          </w:p>
        </w:tc>
        <w:tc>
          <w:tcPr>
            <w:tcW w:w="160" w:type="dxa"/>
            <w:vAlign w:val="bottom"/>
          </w:tcPr>
          <w:p>
            <w:pPr>
              <w:spacing w:after="0"/>
              <w:rPr>
                <w:sz w:val="17"/>
                <w:szCs w:val="17"/>
                <w:color w:val="auto"/>
              </w:rPr>
            </w:pPr>
          </w:p>
        </w:tc>
        <w:tc>
          <w:tcPr>
            <w:tcW w:w="11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30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2,036</w:t>
            </w:r>
          </w:p>
        </w:tc>
        <w:tc>
          <w:tcPr>
            <w:tcW w:w="13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00" w:type="dxa"/>
            <w:vAlign w:val="bottom"/>
          </w:tcPr>
          <w:p>
            <w:pPr>
              <w:spacing w:after="0"/>
              <w:rPr>
                <w:sz w:val="17"/>
                <w:szCs w:val="17"/>
                <w:color w:val="auto"/>
              </w:rPr>
            </w:pP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937</w:t>
            </w:r>
          </w:p>
        </w:tc>
      </w:tr>
      <w:tr>
        <w:trPr>
          <w:trHeight w:val="203"/>
        </w:trPr>
        <w:tc>
          <w:tcPr>
            <w:tcW w:w="3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w:t>
            </w:r>
          </w:p>
        </w:tc>
        <w:tc>
          <w:tcPr>
            <w:tcW w:w="13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00" w:type="dxa"/>
            <w:vAlign w:val="bottom"/>
          </w:tcPr>
          <w:p>
            <w:pPr>
              <w:spacing w:after="0"/>
              <w:rPr>
                <w:sz w:val="17"/>
                <w:szCs w:val="17"/>
                <w:color w:val="auto"/>
              </w:rPr>
            </w:pP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4"/>
              </w:rPr>
              <w:t>--------</w:t>
            </w:r>
          </w:p>
        </w:tc>
      </w:tr>
      <w:tr>
        <w:trPr>
          <w:trHeight w:val="203"/>
        </w:trPr>
        <w:tc>
          <w:tcPr>
            <w:tcW w:w="3320" w:type="dxa"/>
            <w:vAlign w:val="bottom"/>
          </w:tcPr>
          <w:p>
            <w:pPr>
              <w:spacing w:after="0" w:line="203" w:lineRule="exact"/>
              <w:rPr>
                <w:sz w:val="20"/>
                <w:szCs w:val="20"/>
                <w:color w:val="auto"/>
              </w:rPr>
            </w:pPr>
            <w:r>
              <w:rPr>
                <w:rFonts w:ascii="Courier New" w:cs="Courier New" w:eastAsia="Courier New" w:hAnsi="Courier New"/>
                <w:sz w:val="18"/>
                <w:szCs w:val="18"/>
                <w:color w:val="auto"/>
              </w:rPr>
              <w:t>Net loss</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(2,835)</w:t>
            </w:r>
          </w:p>
        </w:tc>
        <w:tc>
          <w:tcPr>
            <w:tcW w:w="13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9"/>
              </w:rPr>
              <w:t>$  (1,366)</w:t>
            </w:r>
          </w:p>
        </w:tc>
        <w:tc>
          <w:tcPr>
            <w:tcW w:w="13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  (2,696)</w:t>
            </w:r>
          </w:p>
        </w:tc>
        <w:tc>
          <w:tcPr>
            <w:tcW w:w="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(6,361)</w:t>
            </w:r>
          </w:p>
        </w:tc>
      </w:tr>
      <w:tr>
        <w:trPr>
          <w:trHeight w:val="203"/>
        </w:trPr>
        <w:tc>
          <w:tcPr>
            <w:tcW w:w="3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6"/>
              </w:rPr>
              <w:t>=========</w:t>
            </w:r>
          </w:p>
        </w:tc>
        <w:tc>
          <w:tcPr>
            <w:tcW w:w="13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0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405"/>
        </w:trPr>
        <w:tc>
          <w:tcPr>
            <w:tcW w:w="4600" w:type="dxa"/>
            <w:vAlign w:val="bottom"/>
            <w:gridSpan w:val="3"/>
          </w:tcPr>
          <w:p>
            <w:pPr>
              <w:spacing w:after="0"/>
              <w:rPr>
                <w:sz w:val="20"/>
                <w:szCs w:val="20"/>
                <w:color w:val="auto"/>
              </w:rPr>
            </w:pPr>
            <w:r>
              <w:rPr>
                <w:rFonts w:ascii="Courier New" w:cs="Courier New" w:eastAsia="Courier New" w:hAnsi="Courier New"/>
                <w:sz w:val="18"/>
                <w:szCs w:val="18"/>
                <w:color w:val="auto"/>
              </w:rPr>
              <w:t>Net loss per share - basic and diluted</w:t>
            </w:r>
          </w:p>
        </w:tc>
        <w:tc>
          <w:tcPr>
            <w:tcW w:w="13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03"/>
        </w:trPr>
        <w:tc>
          <w:tcPr>
            <w:tcW w:w="332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Loss from continuing operations</w:t>
            </w:r>
          </w:p>
        </w:tc>
        <w:tc>
          <w:tcPr>
            <w:tcW w:w="160" w:type="dxa"/>
            <w:vAlign w:val="bottom"/>
          </w:tcPr>
          <w:p>
            <w:pPr>
              <w:spacing w:after="0"/>
              <w:rPr>
                <w:sz w:val="17"/>
                <w:szCs w:val="17"/>
                <w:color w:val="auto"/>
              </w:rPr>
            </w:pPr>
          </w:p>
        </w:tc>
        <w:tc>
          <w:tcPr>
            <w:tcW w:w="11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($0.08)</w:t>
            </w:r>
          </w:p>
        </w:tc>
        <w:tc>
          <w:tcPr>
            <w:tcW w:w="130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($0.10)</w:t>
            </w:r>
          </w:p>
        </w:tc>
        <w:tc>
          <w:tcPr>
            <w:tcW w:w="13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($0.08)</w:t>
            </w:r>
          </w:p>
        </w:tc>
        <w:tc>
          <w:tcPr>
            <w:tcW w:w="10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($0.21)</w:t>
            </w:r>
          </w:p>
        </w:tc>
      </w:tr>
      <w:tr>
        <w:trPr>
          <w:trHeight w:val="203"/>
        </w:trPr>
        <w:tc>
          <w:tcPr>
            <w:tcW w:w="332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 from discontinued</w:t>
            </w: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33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operations</w:t>
            </w:r>
          </w:p>
        </w:tc>
        <w:tc>
          <w:tcPr>
            <w:tcW w:w="160" w:type="dxa"/>
            <w:vAlign w:val="bottom"/>
          </w:tcPr>
          <w:p>
            <w:pPr>
              <w:spacing w:after="0"/>
              <w:rPr>
                <w:sz w:val="17"/>
                <w:szCs w:val="17"/>
                <w:color w:val="auto"/>
              </w:rPr>
            </w:pPr>
          </w:p>
        </w:tc>
        <w:tc>
          <w:tcPr>
            <w:tcW w:w="11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$0.00</w:t>
            </w:r>
          </w:p>
        </w:tc>
        <w:tc>
          <w:tcPr>
            <w:tcW w:w="13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$0.06</w:t>
            </w:r>
          </w:p>
        </w:tc>
        <w:tc>
          <w:tcPr>
            <w:tcW w:w="13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$0.00</w:t>
            </w:r>
          </w:p>
        </w:tc>
        <w:tc>
          <w:tcPr>
            <w:tcW w:w="100" w:type="dxa"/>
            <w:vAlign w:val="bottom"/>
          </w:tcPr>
          <w:p>
            <w:pPr>
              <w:spacing w:after="0"/>
              <w:rPr>
                <w:sz w:val="17"/>
                <w:szCs w:val="17"/>
                <w:color w:val="auto"/>
              </w:rPr>
            </w:pP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$0.03</w:t>
            </w:r>
          </w:p>
        </w:tc>
      </w:tr>
      <w:tr>
        <w:trPr>
          <w:trHeight w:val="203"/>
        </w:trPr>
        <w:tc>
          <w:tcPr>
            <w:tcW w:w="3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w:t>
            </w:r>
          </w:p>
        </w:tc>
        <w:tc>
          <w:tcPr>
            <w:tcW w:w="13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0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320" w:type="dxa"/>
            <w:vAlign w:val="bottom"/>
          </w:tcPr>
          <w:p>
            <w:pPr>
              <w:spacing w:after="0" w:line="203" w:lineRule="exact"/>
              <w:rPr>
                <w:sz w:val="20"/>
                <w:szCs w:val="20"/>
                <w:color w:val="auto"/>
              </w:rPr>
            </w:pPr>
            <w:r>
              <w:rPr>
                <w:rFonts w:ascii="Courier New" w:cs="Courier New" w:eastAsia="Courier New" w:hAnsi="Courier New"/>
                <w:sz w:val="18"/>
                <w:szCs w:val="18"/>
                <w:color w:val="auto"/>
              </w:rPr>
              <w:t>Net loss</w:t>
            </w:r>
          </w:p>
        </w:tc>
        <w:tc>
          <w:tcPr>
            <w:tcW w:w="160" w:type="dxa"/>
            <w:vAlign w:val="bottom"/>
          </w:tcPr>
          <w:p>
            <w:pPr>
              <w:spacing w:after="0"/>
              <w:rPr>
                <w:sz w:val="17"/>
                <w:szCs w:val="17"/>
                <w:color w:val="auto"/>
              </w:rPr>
            </w:pPr>
          </w:p>
        </w:tc>
        <w:tc>
          <w:tcPr>
            <w:tcW w:w="11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($0.08)</w:t>
            </w:r>
          </w:p>
        </w:tc>
        <w:tc>
          <w:tcPr>
            <w:tcW w:w="130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($0.04)</w:t>
            </w:r>
          </w:p>
        </w:tc>
        <w:tc>
          <w:tcPr>
            <w:tcW w:w="13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($0.08)</w:t>
            </w:r>
          </w:p>
        </w:tc>
        <w:tc>
          <w:tcPr>
            <w:tcW w:w="10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($0.18)</w:t>
            </w:r>
          </w:p>
        </w:tc>
      </w:tr>
      <w:tr>
        <w:trPr>
          <w:trHeight w:val="405"/>
        </w:trPr>
        <w:tc>
          <w:tcPr>
            <w:tcW w:w="3320" w:type="dxa"/>
            <w:vAlign w:val="bottom"/>
          </w:tcPr>
          <w:p>
            <w:pPr>
              <w:spacing w:after="0"/>
              <w:rPr>
                <w:sz w:val="20"/>
                <w:szCs w:val="20"/>
                <w:color w:val="auto"/>
              </w:rPr>
            </w:pPr>
            <w:r>
              <w:rPr>
                <w:rFonts w:ascii="Courier New" w:cs="Courier New" w:eastAsia="Courier New" w:hAnsi="Courier New"/>
                <w:sz w:val="18"/>
                <w:szCs w:val="18"/>
                <w:color w:val="auto"/>
              </w:rPr>
              <w:t>Weighted-average number</w:t>
            </w: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03"/>
        </w:trPr>
        <w:tc>
          <w:tcPr>
            <w:tcW w:w="3320" w:type="dxa"/>
            <w:vAlign w:val="bottom"/>
          </w:tcPr>
          <w:p>
            <w:pPr>
              <w:spacing w:after="0" w:line="203" w:lineRule="exact"/>
              <w:rPr>
                <w:sz w:val="20"/>
                <w:szCs w:val="20"/>
                <w:color w:val="auto"/>
              </w:rPr>
            </w:pPr>
            <w:r>
              <w:rPr>
                <w:rFonts w:ascii="Courier New" w:cs="Courier New" w:eastAsia="Courier New" w:hAnsi="Courier New"/>
                <w:sz w:val="18"/>
                <w:szCs w:val="18"/>
                <w:color w:val="auto"/>
              </w:rPr>
              <w:t>of common shares</w:t>
            </w: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3320" w:type="dxa"/>
            <w:vAlign w:val="bottom"/>
          </w:tcPr>
          <w:p>
            <w:pPr>
              <w:spacing w:after="0" w:line="203" w:lineRule="exact"/>
              <w:rPr>
                <w:sz w:val="20"/>
                <w:szCs w:val="20"/>
                <w:color w:val="auto"/>
              </w:rPr>
            </w:pPr>
            <w:r>
              <w:rPr>
                <w:rFonts w:ascii="Courier New" w:cs="Courier New" w:eastAsia="Courier New" w:hAnsi="Courier New"/>
                <w:sz w:val="18"/>
                <w:szCs w:val="18"/>
                <w:color w:val="auto"/>
              </w:rPr>
              <w:t>outstanding:</w:t>
            </w: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3320" w:type="dxa"/>
            <w:vAlign w:val="bottom"/>
          </w:tcPr>
          <w:p>
            <w:pPr>
              <w:spacing w:after="0" w:line="203" w:lineRule="exact"/>
              <w:rPr>
                <w:sz w:val="20"/>
                <w:szCs w:val="20"/>
                <w:color w:val="auto"/>
              </w:rPr>
            </w:pPr>
            <w:r>
              <w:rPr>
                <w:rFonts w:ascii="Courier New" w:cs="Courier New" w:eastAsia="Courier New" w:hAnsi="Courier New"/>
                <w:sz w:val="18"/>
                <w:szCs w:val="18"/>
                <w:color w:val="auto"/>
              </w:rPr>
              <w:t>Basic and Diluted</w:t>
            </w:r>
          </w:p>
        </w:tc>
        <w:tc>
          <w:tcPr>
            <w:tcW w:w="160" w:type="dxa"/>
            <w:vAlign w:val="bottom"/>
          </w:tcPr>
          <w:p>
            <w:pPr>
              <w:spacing w:after="0"/>
              <w:rPr>
                <w:sz w:val="17"/>
                <w:szCs w:val="17"/>
                <w:color w:val="auto"/>
              </w:rPr>
            </w:pPr>
          </w:p>
        </w:tc>
        <w:tc>
          <w:tcPr>
            <w:tcW w:w="11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34,345</w:t>
            </w:r>
          </w:p>
        </w:tc>
        <w:tc>
          <w:tcPr>
            <w:tcW w:w="13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34,209</w:t>
            </w:r>
          </w:p>
        </w:tc>
        <w:tc>
          <w:tcPr>
            <w:tcW w:w="13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34,288</w:t>
            </w:r>
          </w:p>
        </w:tc>
        <w:tc>
          <w:tcPr>
            <w:tcW w:w="100" w:type="dxa"/>
            <w:vAlign w:val="bottom"/>
          </w:tcPr>
          <w:p>
            <w:pPr>
              <w:spacing w:after="0"/>
              <w:rPr>
                <w:sz w:val="17"/>
                <w:szCs w:val="17"/>
                <w:color w:val="auto"/>
              </w:rPr>
            </w:pP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34,607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CASUAL MALE RETAIL GROUP, INC.</w:t>
      </w:r>
    </w:p>
    <w:p>
      <w:pPr>
        <w:ind w:left="2540"/>
        <w:spacing w:after="0" w:line="238" w:lineRule="auto"/>
        <w:rPr>
          <w:sz w:val="20"/>
          <w:szCs w:val="20"/>
          <w:color w:val="auto"/>
        </w:rPr>
      </w:pPr>
      <w:r>
        <w:rPr>
          <w:rFonts w:ascii="Courier New" w:cs="Courier New" w:eastAsia="Courier New" w:hAnsi="Courier New"/>
          <w:sz w:val="18"/>
          <w:szCs w:val="18"/>
          <w:color w:val="auto"/>
        </w:rPr>
        <w:t>CONSOLIDATED BALANCE SHEETS</w:t>
      </w:r>
    </w:p>
    <w:p>
      <w:pPr>
        <w:ind w:left="2120"/>
        <w:spacing w:after="0"/>
        <w:rPr>
          <w:sz w:val="20"/>
          <w:szCs w:val="20"/>
          <w:color w:val="auto"/>
        </w:rPr>
      </w:pPr>
      <w:r>
        <w:rPr>
          <w:rFonts w:ascii="Courier New" w:cs="Courier New" w:eastAsia="Courier New" w:hAnsi="Courier New"/>
          <w:sz w:val="18"/>
          <w:szCs w:val="18"/>
          <w:color w:val="auto"/>
        </w:rPr>
        <w:t>October 29, 2005 and January 29, 2005</w:t>
      </w:r>
    </w:p>
    <w:tbl>
      <w:tblPr>
        <w:tblLayout w:type="fixed"/>
        <w:tblInd w:w="0" w:type="dxa"/>
        <w:tblCellMar>
          <w:top w:w="0" w:type="dxa"/>
          <w:left w:w="0" w:type="dxa"/>
          <w:bottom w:w="0" w:type="dxa"/>
          <w:right w:w="0" w:type="dxa"/>
        </w:tblCellMar>
      </w:tblPr>
      <w:tr>
        <w:trPr>
          <w:trHeight w:val="202"/>
        </w:trPr>
        <w:tc>
          <w:tcPr>
            <w:tcW w:w="5480" w:type="dxa"/>
            <w:vAlign w:val="bottom"/>
            <w:gridSpan w:val="3"/>
          </w:tcPr>
          <w:p>
            <w:pPr>
              <w:jc w:val="right"/>
              <w:ind w:right="752"/>
              <w:spacing w:after="0" w:line="202" w:lineRule="exact"/>
              <w:rPr>
                <w:sz w:val="20"/>
                <w:szCs w:val="20"/>
                <w:color w:val="auto"/>
              </w:rPr>
            </w:pPr>
            <w:r>
              <w:rPr>
                <w:rFonts w:ascii="Courier New" w:cs="Courier New" w:eastAsia="Courier New" w:hAnsi="Courier New"/>
                <w:sz w:val="18"/>
                <w:szCs w:val="18"/>
                <w:color w:val="auto"/>
              </w:rPr>
              <w:t>(In thousands)</w:t>
            </w:r>
          </w:p>
        </w:tc>
        <w:tc>
          <w:tcPr>
            <w:tcW w:w="84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608"/>
        </w:trPr>
        <w:tc>
          <w:tcPr>
            <w:tcW w:w="3800" w:type="dxa"/>
            <w:vAlign w:val="bottom"/>
          </w:tcPr>
          <w:p>
            <w:pPr>
              <w:spacing w:after="0"/>
              <w:rPr>
                <w:sz w:val="24"/>
                <w:szCs w:val="24"/>
                <w:color w:val="auto"/>
              </w:rPr>
            </w:pPr>
          </w:p>
        </w:tc>
        <w:tc>
          <w:tcPr>
            <w:tcW w:w="1680" w:type="dxa"/>
            <w:vAlign w:val="bottom"/>
            <w:gridSpan w:val="2"/>
          </w:tcPr>
          <w:p>
            <w:pPr>
              <w:jc w:val="right"/>
              <w:ind w:right="532"/>
              <w:spacing w:after="0"/>
              <w:rPr>
                <w:sz w:val="20"/>
                <w:szCs w:val="20"/>
                <w:color w:val="auto"/>
              </w:rPr>
            </w:pPr>
            <w:r>
              <w:rPr>
                <w:rFonts w:ascii="Courier New" w:cs="Courier New" w:eastAsia="Courier New" w:hAnsi="Courier New"/>
                <w:sz w:val="18"/>
                <w:szCs w:val="18"/>
                <w:color w:val="auto"/>
                <w:w w:val="96"/>
              </w:rPr>
              <w:t>October 29</w:t>
            </w:r>
          </w:p>
        </w:tc>
        <w:tc>
          <w:tcPr>
            <w:tcW w:w="170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January 29,</w:t>
            </w:r>
          </w:p>
        </w:tc>
      </w:tr>
      <w:tr>
        <w:trPr>
          <w:trHeight w:val="203"/>
        </w:trPr>
        <w:tc>
          <w:tcPr>
            <w:tcW w:w="3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60" w:type="dxa"/>
            <w:vAlign w:val="bottom"/>
          </w:tcPr>
          <w:p>
            <w:pPr>
              <w:jc w:val="right"/>
              <w:ind w:right="852"/>
              <w:spacing w:after="0" w:line="203" w:lineRule="exact"/>
              <w:rPr>
                <w:sz w:val="20"/>
                <w:szCs w:val="20"/>
                <w:color w:val="auto"/>
              </w:rPr>
            </w:pPr>
            <w:r>
              <w:rPr>
                <w:rFonts w:ascii="Courier New" w:cs="Courier New" w:eastAsia="Courier New" w:hAnsi="Courier New"/>
                <w:sz w:val="18"/>
                <w:szCs w:val="18"/>
                <w:color w:val="auto"/>
                <w:w w:val="92"/>
              </w:rPr>
              <w:t>2005</w:t>
            </w:r>
          </w:p>
        </w:tc>
        <w:tc>
          <w:tcPr>
            <w:tcW w:w="840" w:type="dxa"/>
            <w:vAlign w:val="bottom"/>
          </w:tcPr>
          <w:p>
            <w:pPr>
              <w:spacing w:after="0"/>
              <w:rPr>
                <w:sz w:val="17"/>
                <w:szCs w:val="17"/>
                <w:color w:val="auto"/>
              </w:rPr>
            </w:pPr>
          </w:p>
        </w:tc>
        <w:tc>
          <w:tcPr>
            <w:tcW w:w="8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2005</w:t>
            </w:r>
          </w:p>
        </w:tc>
      </w:tr>
      <w:tr>
        <w:trPr>
          <w:trHeight w:val="203"/>
        </w:trPr>
        <w:tc>
          <w:tcPr>
            <w:tcW w:w="3800" w:type="dxa"/>
            <w:vAlign w:val="bottom"/>
          </w:tcPr>
          <w:p>
            <w:pPr>
              <w:spacing w:after="0"/>
              <w:rPr>
                <w:sz w:val="17"/>
                <w:szCs w:val="17"/>
                <w:color w:val="auto"/>
              </w:rPr>
            </w:pPr>
          </w:p>
        </w:tc>
        <w:tc>
          <w:tcPr>
            <w:tcW w:w="16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w:t>
            </w:r>
          </w:p>
        </w:tc>
        <w:tc>
          <w:tcPr>
            <w:tcW w:w="17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800" w:type="dxa"/>
            <w:vAlign w:val="bottom"/>
          </w:tcPr>
          <w:p>
            <w:pPr>
              <w:spacing w:after="0" w:line="203" w:lineRule="exact"/>
              <w:rPr>
                <w:sz w:val="20"/>
                <w:szCs w:val="20"/>
                <w:color w:val="auto"/>
              </w:rPr>
            </w:pPr>
            <w:r>
              <w:rPr>
                <w:rFonts w:ascii="Courier New" w:cs="Courier New" w:eastAsia="Courier New" w:hAnsi="Courier New"/>
                <w:sz w:val="18"/>
                <w:szCs w:val="18"/>
                <w:color w:val="auto"/>
              </w:rPr>
              <w:t>ASSETS</w:t>
            </w:r>
          </w:p>
        </w:tc>
        <w:tc>
          <w:tcPr>
            <w:tcW w:w="1680" w:type="dxa"/>
            <w:vAlign w:val="bottom"/>
            <w:gridSpan w:val="2"/>
          </w:tcPr>
          <w:p>
            <w:pPr>
              <w:jc w:val="right"/>
              <w:ind w:right="432"/>
              <w:spacing w:after="0" w:line="203" w:lineRule="exact"/>
              <w:rPr>
                <w:sz w:val="20"/>
                <w:szCs w:val="20"/>
                <w:color w:val="auto"/>
              </w:rPr>
            </w:pPr>
            <w:r>
              <w:rPr>
                <w:rFonts w:ascii="Courier New" w:cs="Courier New" w:eastAsia="Courier New" w:hAnsi="Courier New"/>
                <w:sz w:val="18"/>
                <w:szCs w:val="18"/>
                <w:color w:val="auto"/>
                <w:w w:val="95"/>
              </w:rPr>
              <w:t>(unaudited)</w:t>
            </w:r>
          </w:p>
        </w:tc>
        <w:tc>
          <w:tcPr>
            <w:tcW w:w="84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405"/>
        </w:trPr>
        <w:tc>
          <w:tcPr>
            <w:tcW w:w="3800" w:type="dxa"/>
            <w:vAlign w:val="bottom"/>
          </w:tcPr>
          <w:p>
            <w:pPr>
              <w:spacing w:after="0"/>
              <w:rPr>
                <w:sz w:val="20"/>
                <w:szCs w:val="20"/>
                <w:color w:val="auto"/>
              </w:rPr>
            </w:pPr>
            <w:r>
              <w:rPr>
                <w:rFonts w:ascii="Courier New" w:cs="Courier New" w:eastAsia="Courier New" w:hAnsi="Courier New"/>
                <w:sz w:val="18"/>
                <w:szCs w:val="18"/>
                <w:color w:val="auto"/>
              </w:rPr>
              <w:t>Cash and investments</w:t>
            </w:r>
          </w:p>
        </w:tc>
        <w:tc>
          <w:tcPr>
            <w:tcW w:w="3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ind w:right="532"/>
              <w:spacing w:after="0"/>
              <w:rPr>
                <w:sz w:val="20"/>
                <w:szCs w:val="20"/>
                <w:color w:val="auto"/>
              </w:rPr>
            </w:pPr>
            <w:r>
              <w:rPr>
                <w:rFonts w:ascii="Courier New" w:cs="Courier New" w:eastAsia="Courier New" w:hAnsi="Courier New"/>
                <w:sz w:val="18"/>
                <w:szCs w:val="18"/>
                <w:color w:val="auto"/>
              </w:rPr>
              <w:t>6,483</w:t>
            </w:r>
          </w:p>
        </w:tc>
        <w:tc>
          <w:tcPr>
            <w:tcW w:w="84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860" w:type="dxa"/>
            <w:vAlign w:val="bottom"/>
          </w:tcPr>
          <w:p>
            <w:pPr>
              <w:jc w:val="right"/>
              <w:ind w:right="32"/>
              <w:spacing w:after="0"/>
              <w:rPr>
                <w:sz w:val="20"/>
                <w:szCs w:val="20"/>
                <w:color w:val="auto"/>
              </w:rPr>
            </w:pPr>
            <w:r>
              <w:rPr>
                <w:rFonts w:ascii="Courier New" w:cs="Courier New" w:eastAsia="Courier New" w:hAnsi="Courier New"/>
                <w:sz w:val="18"/>
                <w:szCs w:val="18"/>
                <w:color w:val="auto"/>
              </w:rPr>
              <w:t>5,731</w:t>
            </w:r>
          </w:p>
        </w:tc>
      </w:tr>
      <w:tr>
        <w:trPr>
          <w:trHeight w:val="203"/>
        </w:trPr>
        <w:tc>
          <w:tcPr>
            <w:tcW w:w="3800" w:type="dxa"/>
            <w:vAlign w:val="bottom"/>
          </w:tcPr>
          <w:p>
            <w:pPr>
              <w:spacing w:after="0" w:line="203" w:lineRule="exact"/>
              <w:rPr>
                <w:sz w:val="20"/>
                <w:szCs w:val="20"/>
                <w:color w:val="auto"/>
              </w:rPr>
            </w:pPr>
            <w:r>
              <w:rPr>
                <w:rFonts w:ascii="Courier New" w:cs="Courier New" w:eastAsia="Courier New" w:hAnsi="Courier New"/>
                <w:sz w:val="18"/>
                <w:szCs w:val="18"/>
                <w:color w:val="auto"/>
              </w:rPr>
              <w:t>Inventories</w:t>
            </w:r>
          </w:p>
        </w:tc>
        <w:tc>
          <w:tcPr>
            <w:tcW w:w="320" w:type="dxa"/>
            <w:vAlign w:val="bottom"/>
          </w:tcPr>
          <w:p>
            <w:pPr>
              <w:spacing w:after="0"/>
              <w:rPr>
                <w:sz w:val="17"/>
                <w:szCs w:val="17"/>
                <w:color w:val="auto"/>
              </w:rPr>
            </w:pPr>
          </w:p>
        </w:tc>
        <w:tc>
          <w:tcPr>
            <w:tcW w:w="136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w w:val="95"/>
              </w:rPr>
              <w:t>107,108</w:t>
            </w:r>
          </w:p>
        </w:tc>
        <w:tc>
          <w:tcPr>
            <w:tcW w:w="840" w:type="dxa"/>
            <w:vAlign w:val="bottom"/>
          </w:tcPr>
          <w:p>
            <w:pPr>
              <w:spacing w:after="0"/>
              <w:rPr>
                <w:sz w:val="17"/>
                <w:szCs w:val="17"/>
                <w:color w:val="auto"/>
              </w:rPr>
            </w:pP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79,858</w:t>
            </w:r>
          </w:p>
        </w:tc>
      </w:tr>
      <w:tr>
        <w:trPr>
          <w:trHeight w:val="203"/>
        </w:trPr>
        <w:tc>
          <w:tcPr>
            <w:tcW w:w="380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current assets</w:t>
            </w:r>
          </w:p>
        </w:tc>
        <w:tc>
          <w:tcPr>
            <w:tcW w:w="320" w:type="dxa"/>
            <w:vAlign w:val="bottom"/>
          </w:tcPr>
          <w:p>
            <w:pPr>
              <w:spacing w:after="0"/>
              <w:rPr>
                <w:sz w:val="17"/>
                <w:szCs w:val="17"/>
                <w:color w:val="auto"/>
              </w:rPr>
            </w:pPr>
          </w:p>
        </w:tc>
        <w:tc>
          <w:tcPr>
            <w:tcW w:w="136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8,598</w:t>
            </w:r>
          </w:p>
        </w:tc>
        <w:tc>
          <w:tcPr>
            <w:tcW w:w="840" w:type="dxa"/>
            <w:vAlign w:val="bottom"/>
          </w:tcPr>
          <w:p>
            <w:pPr>
              <w:spacing w:after="0"/>
              <w:rPr>
                <w:sz w:val="17"/>
                <w:szCs w:val="17"/>
                <w:color w:val="auto"/>
              </w:rPr>
            </w:pP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9,178</w:t>
            </w:r>
          </w:p>
        </w:tc>
      </w:tr>
      <w:tr>
        <w:trPr>
          <w:trHeight w:val="203"/>
        </w:trPr>
        <w:tc>
          <w:tcPr>
            <w:tcW w:w="3800" w:type="dxa"/>
            <w:vAlign w:val="bottom"/>
          </w:tcPr>
          <w:p>
            <w:pPr>
              <w:spacing w:after="0" w:line="203" w:lineRule="exact"/>
              <w:rPr>
                <w:sz w:val="20"/>
                <w:szCs w:val="20"/>
                <w:color w:val="auto"/>
              </w:rPr>
            </w:pPr>
            <w:r>
              <w:rPr>
                <w:rFonts w:ascii="Courier New" w:cs="Courier New" w:eastAsia="Courier New" w:hAnsi="Courier New"/>
                <w:sz w:val="18"/>
                <w:szCs w:val="18"/>
                <w:color w:val="auto"/>
              </w:rPr>
              <w:t>Property and equipment, net</w:t>
            </w:r>
          </w:p>
        </w:tc>
        <w:tc>
          <w:tcPr>
            <w:tcW w:w="320" w:type="dxa"/>
            <w:vAlign w:val="bottom"/>
          </w:tcPr>
          <w:p>
            <w:pPr>
              <w:spacing w:after="0"/>
              <w:rPr>
                <w:sz w:val="17"/>
                <w:szCs w:val="17"/>
                <w:color w:val="auto"/>
              </w:rPr>
            </w:pPr>
          </w:p>
        </w:tc>
        <w:tc>
          <w:tcPr>
            <w:tcW w:w="136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76,797</w:t>
            </w:r>
          </w:p>
        </w:tc>
        <w:tc>
          <w:tcPr>
            <w:tcW w:w="840" w:type="dxa"/>
            <w:vAlign w:val="bottom"/>
          </w:tcPr>
          <w:p>
            <w:pPr>
              <w:spacing w:after="0"/>
              <w:rPr>
                <w:sz w:val="17"/>
                <w:szCs w:val="17"/>
                <w:color w:val="auto"/>
              </w:rPr>
            </w:pP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74,651</w:t>
            </w:r>
          </w:p>
        </w:tc>
      </w:tr>
      <w:tr>
        <w:trPr>
          <w:trHeight w:val="203"/>
        </w:trPr>
        <w:tc>
          <w:tcPr>
            <w:tcW w:w="3800" w:type="dxa"/>
            <w:vAlign w:val="bottom"/>
          </w:tcPr>
          <w:p>
            <w:pPr>
              <w:spacing w:after="0" w:line="203" w:lineRule="exact"/>
              <w:rPr>
                <w:sz w:val="20"/>
                <w:szCs w:val="20"/>
                <w:color w:val="auto"/>
              </w:rPr>
            </w:pPr>
            <w:r>
              <w:rPr>
                <w:rFonts w:ascii="Courier New" w:cs="Courier New" w:eastAsia="Courier New" w:hAnsi="Courier New"/>
                <w:sz w:val="18"/>
                <w:szCs w:val="18"/>
                <w:color w:val="auto"/>
              </w:rPr>
              <w:t>Goodwill and other intangibles</w:t>
            </w:r>
          </w:p>
        </w:tc>
        <w:tc>
          <w:tcPr>
            <w:tcW w:w="320" w:type="dxa"/>
            <w:vAlign w:val="bottom"/>
          </w:tcPr>
          <w:p>
            <w:pPr>
              <w:spacing w:after="0"/>
              <w:rPr>
                <w:sz w:val="17"/>
                <w:szCs w:val="17"/>
                <w:color w:val="auto"/>
              </w:rPr>
            </w:pPr>
          </w:p>
        </w:tc>
        <w:tc>
          <w:tcPr>
            <w:tcW w:w="136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89,700</w:t>
            </w:r>
          </w:p>
        </w:tc>
        <w:tc>
          <w:tcPr>
            <w:tcW w:w="840" w:type="dxa"/>
            <w:vAlign w:val="bottom"/>
          </w:tcPr>
          <w:p>
            <w:pPr>
              <w:spacing w:after="0"/>
              <w:rPr>
                <w:sz w:val="17"/>
                <w:szCs w:val="17"/>
                <w:color w:val="auto"/>
              </w:rPr>
            </w:pP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89,349</w:t>
            </w:r>
          </w:p>
        </w:tc>
      </w:tr>
      <w:tr>
        <w:trPr>
          <w:trHeight w:val="203"/>
        </w:trPr>
        <w:tc>
          <w:tcPr>
            <w:tcW w:w="380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assets</w:t>
            </w:r>
          </w:p>
        </w:tc>
        <w:tc>
          <w:tcPr>
            <w:tcW w:w="320" w:type="dxa"/>
            <w:vAlign w:val="bottom"/>
          </w:tcPr>
          <w:p>
            <w:pPr>
              <w:spacing w:after="0"/>
              <w:rPr>
                <w:sz w:val="17"/>
                <w:szCs w:val="17"/>
                <w:color w:val="auto"/>
              </w:rPr>
            </w:pPr>
          </w:p>
        </w:tc>
        <w:tc>
          <w:tcPr>
            <w:tcW w:w="136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8,742</w:t>
            </w:r>
          </w:p>
        </w:tc>
        <w:tc>
          <w:tcPr>
            <w:tcW w:w="840" w:type="dxa"/>
            <w:vAlign w:val="bottom"/>
          </w:tcPr>
          <w:p>
            <w:pPr>
              <w:spacing w:after="0"/>
              <w:rPr>
                <w:sz w:val="17"/>
                <w:szCs w:val="17"/>
                <w:color w:val="auto"/>
              </w:rPr>
            </w:pP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9,021</w:t>
            </w:r>
          </w:p>
        </w:tc>
      </w:tr>
      <w:tr>
        <w:trPr>
          <w:trHeight w:val="203"/>
        </w:trPr>
        <w:tc>
          <w:tcPr>
            <w:tcW w:w="3800" w:type="dxa"/>
            <w:vAlign w:val="bottom"/>
          </w:tcPr>
          <w:p>
            <w:pPr>
              <w:spacing w:after="0"/>
              <w:rPr>
                <w:sz w:val="17"/>
                <w:szCs w:val="17"/>
                <w:color w:val="auto"/>
              </w:rPr>
            </w:pPr>
          </w:p>
        </w:tc>
        <w:tc>
          <w:tcPr>
            <w:tcW w:w="1680" w:type="dxa"/>
            <w:vAlign w:val="bottom"/>
            <w:gridSpan w:val="2"/>
          </w:tcPr>
          <w:p>
            <w:pPr>
              <w:jc w:val="right"/>
              <w:ind w:right="532"/>
              <w:spacing w:after="0" w:line="203" w:lineRule="exact"/>
              <w:rPr>
                <w:sz w:val="20"/>
                <w:szCs w:val="20"/>
                <w:color w:val="auto"/>
              </w:rPr>
            </w:pPr>
            <w:r>
              <w:rPr>
                <w:rFonts w:ascii="Courier New" w:cs="Courier New" w:eastAsia="Courier New" w:hAnsi="Courier New"/>
                <w:sz w:val="18"/>
                <w:szCs w:val="18"/>
                <w:color w:val="auto"/>
              </w:rPr>
              <w:t>---------</w:t>
            </w:r>
          </w:p>
        </w:tc>
        <w:tc>
          <w:tcPr>
            <w:tcW w:w="170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8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Total assets</w:t>
            </w:r>
          </w:p>
        </w:tc>
        <w:tc>
          <w:tcPr>
            <w:tcW w:w="1680" w:type="dxa"/>
            <w:vAlign w:val="bottom"/>
            <w:gridSpan w:val="2"/>
          </w:tcPr>
          <w:p>
            <w:pPr>
              <w:jc w:val="right"/>
              <w:ind w:right="532"/>
              <w:spacing w:after="0" w:line="203" w:lineRule="exact"/>
              <w:rPr>
                <w:sz w:val="20"/>
                <w:szCs w:val="20"/>
                <w:color w:val="auto"/>
              </w:rPr>
            </w:pPr>
            <w:r>
              <w:rPr>
                <w:rFonts w:ascii="Courier New" w:cs="Courier New" w:eastAsia="Courier New" w:hAnsi="Courier New"/>
                <w:sz w:val="18"/>
                <w:szCs w:val="18"/>
                <w:color w:val="auto"/>
              </w:rPr>
              <w:t>$ 297,428</w:t>
            </w:r>
          </w:p>
        </w:tc>
        <w:tc>
          <w:tcPr>
            <w:tcW w:w="170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$ 267,788</w:t>
            </w:r>
          </w:p>
        </w:tc>
      </w:tr>
      <w:tr>
        <w:trPr>
          <w:trHeight w:val="203"/>
        </w:trPr>
        <w:tc>
          <w:tcPr>
            <w:tcW w:w="3800" w:type="dxa"/>
            <w:vAlign w:val="bottom"/>
          </w:tcPr>
          <w:p>
            <w:pPr>
              <w:spacing w:after="0"/>
              <w:rPr>
                <w:sz w:val="17"/>
                <w:szCs w:val="17"/>
                <w:color w:val="auto"/>
              </w:rPr>
            </w:pPr>
          </w:p>
        </w:tc>
        <w:tc>
          <w:tcPr>
            <w:tcW w:w="1680" w:type="dxa"/>
            <w:vAlign w:val="bottom"/>
            <w:gridSpan w:val="2"/>
          </w:tcPr>
          <w:p>
            <w:pPr>
              <w:jc w:val="right"/>
              <w:ind w:right="532"/>
              <w:spacing w:after="0" w:line="203" w:lineRule="exact"/>
              <w:rPr>
                <w:sz w:val="20"/>
                <w:szCs w:val="20"/>
                <w:color w:val="auto"/>
              </w:rPr>
            </w:pPr>
            <w:r>
              <w:rPr>
                <w:rFonts w:ascii="Courier New" w:cs="Courier New" w:eastAsia="Courier New" w:hAnsi="Courier New"/>
                <w:sz w:val="18"/>
                <w:szCs w:val="18"/>
                <w:color w:val="auto"/>
              </w:rPr>
              <w:t>=========</w:t>
            </w:r>
          </w:p>
        </w:tc>
        <w:tc>
          <w:tcPr>
            <w:tcW w:w="170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800" w:type="dxa"/>
            <w:vAlign w:val="bottom"/>
          </w:tcPr>
          <w:p>
            <w:pPr>
              <w:spacing w:after="0"/>
              <w:rPr>
                <w:sz w:val="20"/>
                <w:szCs w:val="20"/>
                <w:color w:val="auto"/>
              </w:rPr>
            </w:pPr>
            <w:r>
              <w:rPr>
                <w:rFonts w:ascii="Courier New" w:cs="Courier New" w:eastAsia="Courier New" w:hAnsi="Courier New"/>
                <w:sz w:val="18"/>
                <w:szCs w:val="18"/>
                <w:color w:val="auto"/>
                <w:w w:val="97"/>
              </w:rPr>
              <w:t>LIABILITIES AND STOCKHOLDERS' EQUITY</w:t>
            </w:r>
          </w:p>
        </w:tc>
        <w:tc>
          <w:tcPr>
            <w:tcW w:w="3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405"/>
        </w:trPr>
        <w:tc>
          <w:tcPr>
            <w:tcW w:w="3800" w:type="dxa"/>
            <w:vAlign w:val="bottom"/>
          </w:tcPr>
          <w:p>
            <w:pPr>
              <w:spacing w:after="0"/>
              <w:rPr>
                <w:sz w:val="20"/>
                <w:szCs w:val="20"/>
                <w:color w:val="auto"/>
              </w:rPr>
            </w:pPr>
            <w:r>
              <w:rPr>
                <w:rFonts w:ascii="Courier New" w:cs="Courier New" w:eastAsia="Courier New" w:hAnsi="Courier New"/>
                <w:sz w:val="18"/>
                <w:szCs w:val="18"/>
                <w:color w:val="auto"/>
              </w:rPr>
              <w:t>Accounts payable, accrued expenses</w:t>
            </w:r>
          </w:p>
        </w:tc>
        <w:tc>
          <w:tcPr>
            <w:tcW w:w="3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03"/>
        </w:trPr>
        <w:tc>
          <w:tcPr>
            <w:tcW w:w="38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and other liabilities</w:t>
            </w:r>
          </w:p>
        </w:tc>
        <w:tc>
          <w:tcPr>
            <w:tcW w:w="32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66,034</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53,729</w:t>
            </w:r>
          </w:p>
        </w:tc>
      </w:tr>
      <w:tr>
        <w:trPr>
          <w:trHeight w:val="203"/>
        </w:trPr>
        <w:tc>
          <w:tcPr>
            <w:tcW w:w="3800" w:type="dxa"/>
            <w:vAlign w:val="bottom"/>
          </w:tcPr>
          <w:p>
            <w:pPr>
              <w:spacing w:after="0" w:line="203" w:lineRule="exact"/>
              <w:rPr>
                <w:sz w:val="20"/>
                <w:szCs w:val="20"/>
                <w:color w:val="auto"/>
              </w:rPr>
            </w:pPr>
            <w:r>
              <w:rPr>
                <w:rFonts w:ascii="Courier New" w:cs="Courier New" w:eastAsia="Courier New" w:hAnsi="Courier New"/>
                <w:sz w:val="18"/>
                <w:szCs w:val="18"/>
                <w:color w:val="auto"/>
              </w:rPr>
              <w:t>Notes payable</w:t>
            </w:r>
          </w:p>
        </w:tc>
        <w:tc>
          <w:tcPr>
            <w:tcW w:w="320" w:type="dxa"/>
            <w:vAlign w:val="bottom"/>
          </w:tcPr>
          <w:p>
            <w:pPr>
              <w:spacing w:after="0"/>
              <w:rPr>
                <w:sz w:val="17"/>
                <w:szCs w:val="17"/>
                <w:color w:val="auto"/>
              </w:rPr>
            </w:pPr>
          </w:p>
        </w:tc>
        <w:tc>
          <w:tcPr>
            <w:tcW w:w="136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41,659</w:t>
            </w:r>
          </w:p>
        </w:tc>
        <w:tc>
          <w:tcPr>
            <w:tcW w:w="840" w:type="dxa"/>
            <w:vAlign w:val="bottom"/>
          </w:tcPr>
          <w:p>
            <w:pPr>
              <w:spacing w:after="0"/>
              <w:rPr>
                <w:sz w:val="17"/>
                <w:szCs w:val="17"/>
                <w:color w:val="auto"/>
              </w:rPr>
            </w:pP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19,311</w:t>
            </w:r>
          </w:p>
        </w:tc>
      </w:tr>
      <w:tr>
        <w:trPr>
          <w:trHeight w:val="203"/>
        </w:trPr>
        <w:tc>
          <w:tcPr>
            <w:tcW w:w="3800" w:type="dxa"/>
            <w:vAlign w:val="bottom"/>
          </w:tcPr>
          <w:p>
            <w:pPr>
              <w:spacing w:after="0" w:line="203" w:lineRule="exact"/>
              <w:rPr>
                <w:sz w:val="20"/>
                <w:szCs w:val="20"/>
                <w:color w:val="auto"/>
              </w:rPr>
            </w:pPr>
            <w:r>
              <w:rPr>
                <w:rFonts w:ascii="Courier New" w:cs="Courier New" w:eastAsia="Courier New" w:hAnsi="Courier New"/>
                <w:sz w:val="18"/>
                <w:szCs w:val="18"/>
                <w:color w:val="auto"/>
              </w:rPr>
              <w:t>Long-term debt, net of current</w:t>
            </w:r>
          </w:p>
        </w:tc>
        <w:tc>
          <w:tcPr>
            <w:tcW w:w="3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03"/>
        </w:trPr>
        <w:tc>
          <w:tcPr>
            <w:tcW w:w="38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portion</w:t>
            </w:r>
          </w:p>
        </w:tc>
        <w:tc>
          <w:tcPr>
            <w:tcW w:w="320" w:type="dxa"/>
            <w:vAlign w:val="bottom"/>
          </w:tcPr>
          <w:p>
            <w:pPr>
              <w:spacing w:after="0"/>
              <w:rPr>
                <w:sz w:val="17"/>
                <w:szCs w:val="17"/>
                <w:color w:val="auto"/>
              </w:rPr>
            </w:pPr>
          </w:p>
        </w:tc>
        <w:tc>
          <w:tcPr>
            <w:tcW w:w="136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w w:val="95"/>
              </w:rPr>
              <w:t>114,870</w:t>
            </w:r>
          </w:p>
        </w:tc>
        <w:tc>
          <w:tcPr>
            <w:tcW w:w="840" w:type="dxa"/>
            <w:vAlign w:val="bottom"/>
          </w:tcPr>
          <w:p>
            <w:pPr>
              <w:spacing w:after="0"/>
              <w:rPr>
                <w:sz w:val="17"/>
                <w:szCs w:val="17"/>
                <w:color w:val="auto"/>
              </w:rPr>
            </w:pP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5"/>
              </w:rPr>
              <w:t>117,784</w:t>
            </w:r>
          </w:p>
        </w:tc>
      </w:tr>
      <w:tr>
        <w:trPr>
          <w:trHeight w:val="203"/>
        </w:trPr>
        <w:tc>
          <w:tcPr>
            <w:tcW w:w="3800" w:type="dxa"/>
            <w:vAlign w:val="bottom"/>
          </w:tcPr>
          <w:p>
            <w:pPr>
              <w:spacing w:after="0" w:line="203" w:lineRule="exact"/>
              <w:rPr>
                <w:sz w:val="20"/>
                <w:szCs w:val="20"/>
                <w:color w:val="auto"/>
              </w:rPr>
            </w:pPr>
            <w:r>
              <w:rPr>
                <w:rFonts w:ascii="Courier New" w:cs="Courier New" w:eastAsia="Courier New" w:hAnsi="Courier New"/>
                <w:sz w:val="18"/>
                <w:szCs w:val="18"/>
                <w:color w:val="auto"/>
              </w:rPr>
              <w:t>Stockholders' equity</w:t>
            </w:r>
          </w:p>
        </w:tc>
        <w:tc>
          <w:tcPr>
            <w:tcW w:w="320" w:type="dxa"/>
            <w:vAlign w:val="bottom"/>
          </w:tcPr>
          <w:p>
            <w:pPr>
              <w:spacing w:after="0"/>
              <w:rPr>
                <w:sz w:val="17"/>
                <w:szCs w:val="17"/>
                <w:color w:val="auto"/>
              </w:rPr>
            </w:pPr>
          </w:p>
        </w:tc>
        <w:tc>
          <w:tcPr>
            <w:tcW w:w="136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74,865</w:t>
            </w:r>
          </w:p>
        </w:tc>
        <w:tc>
          <w:tcPr>
            <w:tcW w:w="840" w:type="dxa"/>
            <w:vAlign w:val="bottom"/>
          </w:tcPr>
          <w:p>
            <w:pPr>
              <w:spacing w:after="0"/>
              <w:rPr>
                <w:sz w:val="17"/>
                <w:szCs w:val="17"/>
                <w:color w:val="auto"/>
              </w:rPr>
            </w:pP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76,964</w:t>
            </w:r>
          </w:p>
        </w:tc>
      </w:tr>
      <w:tr>
        <w:trPr>
          <w:trHeight w:val="203"/>
        </w:trPr>
        <w:tc>
          <w:tcPr>
            <w:tcW w:w="3800" w:type="dxa"/>
            <w:vAlign w:val="bottom"/>
          </w:tcPr>
          <w:p>
            <w:pPr>
              <w:spacing w:after="0"/>
              <w:rPr>
                <w:sz w:val="17"/>
                <w:szCs w:val="17"/>
                <w:color w:val="auto"/>
              </w:rPr>
            </w:pPr>
          </w:p>
        </w:tc>
        <w:tc>
          <w:tcPr>
            <w:tcW w:w="1680" w:type="dxa"/>
            <w:vAlign w:val="bottom"/>
            <w:gridSpan w:val="2"/>
          </w:tcPr>
          <w:p>
            <w:pPr>
              <w:jc w:val="right"/>
              <w:ind w:right="532"/>
              <w:spacing w:after="0" w:line="203" w:lineRule="exact"/>
              <w:rPr>
                <w:sz w:val="20"/>
                <w:szCs w:val="20"/>
                <w:color w:val="auto"/>
              </w:rPr>
            </w:pPr>
            <w:r>
              <w:rPr>
                <w:rFonts w:ascii="Courier New" w:cs="Courier New" w:eastAsia="Courier New" w:hAnsi="Courier New"/>
                <w:sz w:val="18"/>
                <w:szCs w:val="18"/>
                <w:color w:val="auto"/>
                <w:w w:val="96"/>
              </w:rPr>
              <w:t>----------</w:t>
            </w:r>
          </w:p>
        </w:tc>
        <w:tc>
          <w:tcPr>
            <w:tcW w:w="170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8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Total liabilities and</w:t>
            </w:r>
          </w:p>
        </w:tc>
        <w:tc>
          <w:tcPr>
            <w:tcW w:w="3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03"/>
        </w:trPr>
        <w:tc>
          <w:tcPr>
            <w:tcW w:w="3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stockholders' equity</w:t>
            </w:r>
          </w:p>
        </w:tc>
        <w:tc>
          <w:tcPr>
            <w:tcW w:w="32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w w:val="95"/>
              </w:rPr>
              <w:t>297,428</w:t>
            </w:r>
          </w:p>
        </w:tc>
        <w:tc>
          <w:tcPr>
            <w:tcW w:w="170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$ 267,788</w:t>
            </w:r>
          </w:p>
        </w:tc>
      </w:tr>
      <w:tr>
        <w:trPr>
          <w:trHeight w:val="203"/>
        </w:trPr>
        <w:tc>
          <w:tcPr>
            <w:tcW w:w="3800" w:type="dxa"/>
            <w:vAlign w:val="bottom"/>
          </w:tcPr>
          <w:p>
            <w:pPr>
              <w:spacing w:after="0"/>
              <w:rPr>
                <w:sz w:val="17"/>
                <w:szCs w:val="17"/>
                <w:color w:val="auto"/>
              </w:rPr>
            </w:pPr>
          </w:p>
        </w:tc>
        <w:tc>
          <w:tcPr>
            <w:tcW w:w="1680" w:type="dxa"/>
            <w:vAlign w:val="bottom"/>
            <w:gridSpan w:val="2"/>
          </w:tcPr>
          <w:p>
            <w:pPr>
              <w:jc w:val="right"/>
              <w:ind w:right="532"/>
              <w:spacing w:after="0" w:line="203" w:lineRule="exact"/>
              <w:rPr>
                <w:sz w:val="20"/>
                <w:szCs w:val="20"/>
                <w:color w:val="auto"/>
              </w:rPr>
            </w:pPr>
            <w:r>
              <w:rPr>
                <w:rFonts w:ascii="Courier New" w:cs="Courier New" w:eastAsia="Courier New" w:hAnsi="Courier New"/>
                <w:sz w:val="18"/>
                <w:szCs w:val="18"/>
                <w:color w:val="auto"/>
                <w:w w:val="96"/>
              </w:rPr>
              <w:t>==========</w:t>
            </w:r>
          </w:p>
        </w:tc>
        <w:tc>
          <w:tcPr>
            <w:tcW w:w="170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1" w:lineRule="exact"/>
        <w:rPr>
          <w:sz w:val="20"/>
          <w:szCs w:val="20"/>
          <w:color w:val="auto"/>
        </w:rPr>
      </w:pP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78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2019-12-19T21:57:32Z</dcterms:created>
  <dcterms:modified xsi:type="dcterms:W3CDTF">2019-12-19T21:57:32Z</dcterms:modified>
</cp:coreProperties>
</file>