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20"/>
        <w:spacing w:after="0"/>
        <w:rPr>
          <w:sz w:val="20"/>
          <w:szCs w:val="20"/>
          <w:color w:val="auto"/>
        </w:rPr>
      </w:pPr>
      <w:r>
        <w:rPr>
          <w:rFonts w:ascii="Courier New" w:cs="Courier New" w:eastAsia="Courier New" w:hAnsi="Courier New"/>
          <w:sz w:val="18"/>
          <w:szCs w:val="18"/>
          <w:color w:val="auto"/>
        </w:rPr>
        <w:t>OMB APPROVAL</w:t>
      </w:r>
    </w:p>
    <w:p>
      <w:pPr>
        <w:ind w:left="516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160"/>
        <w:spacing w:after="0"/>
        <w:tabs>
          <w:tab w:leader="none" w:pos="6520" w:val="left"/>
          <w:tab w:leader="none" w:pos="746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8"/>
          <w:szCs w:val="18"/>
          <w:color w:val="auto"/>
        </w:rPr>
        <w:t>January</w:t>
      </w:r>
      <w:r>
        <w:rPr>
          <w:sz w:val="20"/>
          <w:szCs w:val="20"/>
          <w:color w:val="auto"/>
        </w:rPr>
        <w:tab/>
      </w:r>
      <w:r>
        <w:rPr>
          <w:rFonts w:ascii="Courier New" w:cs="Courier New" w:eastAsia="Courier New" w:hAnsi="Courier New"/>
          <w:sz w:val="16"/>
          <w:szCs w:val="16"/>
          <w:color w:val="auto"/>
        </w:rPr>
        <w:t>31, 2006</w:t>
      </w:r>
    </w:p>
    <w:p>
      <w:pPr>
        <w:ind w:left="5160"/>
        <w:spacing w:after="0" w:line="237" w:lineRule="auto"/>
        <w:rPr>
          <w:sz w:val="20"/>
          <w:szCs w:val="20"/>
          <w:color w:val="auto"/>
        </w:rPr>
      </w:pPr>
      <w:r>
        <w:rPr>
          <w:rFonts w:ascii="Courier New" w:cs="Courier New" w:eastAsia="Courier New" w:hAnsi="Courier New"/>
          <w:sz w:val="18"/>
          <w:szCs w:val="18"/>
          <w:color w:val="auto"/>
        </w:rPr>
        <w:t>Estimated average burden</w:t>
      </w:r>
    </w:p>
    <w:p>
      <w:pPr>
        <w:ind w:left="5160"/>
        <w:spacing w:after="0" w:line="238" w:lineRule="auto"/>
        <w:rPr>
          <w:sz w:val="20"/>
          <w:szCs w:val="20"/>
          <w:color w:val="auto"/>
        </w:rPr>
      </w:pPr>
      <w:r>
        <w:rPr>
          <w:rFonts w:ascii="Courier New" w:cs="Courier New" w:eastAsia="Courier New" w:hAnsi="Courier New"/>
          <w:sz w:val="18"/>
          <w:szCs w:val="18"/>
          <w:color w:val="auto"/>
        </w:rPr>
        <w:t>hours per response. . . . . 11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148711104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536"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PERSONS WHO RESPOND TO THE COLLECTION OF INFORMATION CONTAINED IN THIS</w:t>
      </w:r>
    </w:p>
    <w:p>
      <w:pPr>
        <w:spacing w:after="0" w:line="4"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FORM ARE NOT REQUIRED TO RESPOND UNLESS THE FORM DISPLAYS A CURRENTLY VALID OMB CONTROL NUMBER.</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Century Capital Management LLC</w:t>
      </w:r>
    </w:p>
    <w:p>
      <w:pPr>
        <w:spacing w:after="0" w:line="207" w:lineRule="exact"/>
        <w:rPr>
          <w:rFonts w:ascii="Courier New" w:cs="Courier New" w:eastAsia="Courier New" w:hAnsi="Courier New"/>
          <w:sz w:val="18"/>
          <w:szCs w:val="18"/>
          <w:color w:val="auto"/>
        </w:rPr>
      </w:pPr>
    </w:p>
    <w:p>
      <w:pPr>
        <w:jc w:val="both"/>
        <w:ind w:left="540" w:right="5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 65-1214946</w:t>
      </w: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5. Sole Voting Power 1,625,550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Beneficially by   ------------------------------------------------------------</w:t>
      </w:r>
    </w:p>
    <w:p>
      <w:pPr>
        <w:spacing w:after="0"/>
        <w:tabs>
          <w:tab w:leader="none" w:pos="1880" w:val="left"/>
        </w:tabs>
        <w:rPr>
          <w:sz w:val="20"/>
          <w:szCs w:val="20"/>
          <w:color w:val="auto"/>
        </w:rPr>
      </w:pPr>
      <w:r>
        <w:rPr>
          <w:rFonts w:ascii="Courier New" w:cs="Courier New" w:eastAsia="Courier New" w:hAnsi="Courier New"/>
          <w:sz w:val="18"/>
          <w:szCs w:val="18"/>
          <w:color w:val="auto"/>
        </w:rPr>
        <w:t>Owned by Each</w:t>
      </w:r>
      <w:r>
        <w:rPr>
          <w:sz w:val="20"/>
          <w:szCs w:val="20"/>
          <w:color w:val="auto"/>
        </w:rPr>
        <w:tab/>
      </w:r>
      <w:r>
        <w:rPr>
          <w:rFonts w:ascii="Courier New" w:cs="Courier New" w:eastAsia="Courier New" w:hAnsi="Courier New"/>
          <w:sz w:val="16"/>
          <w:szCs w:val="16"/>
          <w:color w:val="auto"/>
        </w:rPr>
        <w:t>6. Shared Voting Power none</w:t>
      </w:r>
    </w:p>
    <w:p>
      <w:pPr>
        <w:spacing w:after="0"/>
        <w:tabs>
          <w:tab w:leader="none" w:pos="1880" w:val="left"/>
        </w:tabs>
        <w:rPr>
          <w:sz w:val="20"/>
          <w:szCs w:val="20"/>
          <w:color w:val="auto"/>
        </w:rPr>
      </w:pPr>
      <w:r>
        <w:rPr>
          <w:rFonts w:ascii="Courier New" w:cs="Courier New" w:eastAsia="Courier New" w:hAnsi="Courier New"/>
          <w:sz w:val="18"/>
          <w:szCs w:val="18"/>
          <w:color w:val="auto"/>
        </w:rPr>
        <w:t>Reporting With:</w:t>
      </w:r>
      <w:r>
        <w:rPr>
          <w:sz w:val="20"/>
          <w:szCs w:val="20"/>
          <w:color w:val="auto"/>
        </w:rPr>
        <w:tab/>
      </w:r>
      <w:r>
        <w:rPr>
          <w:rFonts w:ascii="Courier New" w:cs="Courier New" w:eastAsia="Courier New" w:hAnsi="Courier New"/>
          <w:sz w:val="16"/>
          <w:szCs w:val="16"/>
          <w:color w:val="auto"/>
        </w:rPr>
        <w:t>------------------------------------------------------------</w:t>
      </w:r>
    </w:p>
    <w:p>
      <w:pPr>
        <w:ind w:left="2220" w:hanging="316"/>
        <w:spacing w:after="0" w:line="238" w:lineRule="auto"/>
        <w:tabs>
          <w:tab w:leader="none" w:pos="22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Person 1,625,550</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hanging="316"/>
        <w:spacing w:after="0" w:line="238" w:lineRule="auto"/>
        <w:tabs>
          <w:tab w:leader="none" w:pos="222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1,625,550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38" w:lineRule="auto"/>
        <w:rPr>
          <w:sz w:val="20"/>
          <w:szCs w:val="20"/>
          <w:color w:val="auto"/>
        </w:rPr>
      </w:pPr>
      <w:r>
        <w:rPr>
          <w:rFonts w:ascii="Courier New" w:cs="Courier New" w:eastAsia="Courier New" w:hAnsi="Courier New"/>
          <w:sz w:val="18"/>
          <w:szCs w:val="18"/>
          <w:color w:val="auto"/>
        </w:rPr>
        <w:t>(See Instructions)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 4.64%</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536"/>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Casual Male Retail Group, Inc.</w:t>
      </w:r>
    </w:p>
    <w:p>
      <w:pPr>
        <w:spacing w:after="0" w:line="206" w:lineRule="exact"/>
        <w:rPr>
          <w:rFonts w:ascii="Courier New" w:cs="Courier New" w:eastAsia="Courier New" w:hAnsi="Courier New"/>
          <w:sz w:val="18"/>
          <w:szCs w:val="18"/>
          <w:color w:val="auto"/>
        </w:rPr>
      </w:pPr>
    </w:p>
    <w:p>
      <w:pPr>
        <w:ind w:left="860" w:right="2619" w:hanging="536"/>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555 Turnpike St. Canton, MA 02021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Century Capital Management LLC</w:t>
      </w:r>
    </w:p>
    <w:p>
      <w:pPr>
        <w:spacing w:after="0" w:line="206" w:lineRule="exact"/>
        <w:rPr>
          <w:rFonts w:ascii="Courier New" w:cs="Courier New" w:eastAsia="Courier New" w:hAnsi="Courier New"/>
          <w:sz w:val="18"/>
          <w:szCs w:val="18"/>
          <w:color w:val="auto"/>
        </w:rPr>
      </w:pPr>
    </w:p>
    <w:p>
      <w:pPr>
        <w:ind w:left="860" w:right="1879" w:hanging="536"/>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100 Federal St. Boston, MA 02110</w:t>
      </w:r>
    </w:p>
    <w:p>
      <w:pPr>
        <w:spacing w:after="0" w:line="202"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148711104</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ITEM 3. IF THIS STATEMENT IS FILED PURSUANT TO SS.SS.240.13D-1(B) OR 240.13D-2(B) OR (C), CHECK WHETHER THE PERSON FILING IS A:</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]Broker or dealer registered under section 15 of the Act (15 U.S.C.</w:t>
      </w:r>
    </w:p>
    <w:p>
      <w:pPr>
        <w:ind w:left="960"/>
        <w:spacing w:after="0" w:line="238" w:lineRule="auto"/>
        <w:rPr>
          <w:sz w:val="20"/>
          <w:szCs w:val="20"/>
          <w:color w:val="auto"/>
        </w:rPr>
      </w:pPr>
      <w:r>
        <w:rPr>
          <w:rFonts w:ascii="Courier New" w:cs="Courier New" w:eastAsia="Courier New" w:hAnsi="Courier New"/>
          <w:sz w:val="18"/>
          <w:szCs w:val="18"/>
          <w:color w:val="auto"/>
        </w:rPr>
        <w:t>78o).</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 ]Bank as defined in section 3(a)(6) of the Act (15 U.S.C. 78c).</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 ]Insurance company as defined in section 3(a)(19) of the Act (15 U.S.C.</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78c).</w:t>
      </w:r>
    </w:p>
    <w:p>
      <w:pPr>
        <w:spacing w:after="0" w:line="207" w:lineRule="exact"/>
        <w:rPr>
          <w:sz w:val="20"/>
          <w:szCs w:val="20"/>
          <w:color w:val="auto"/>
        </w:rPr>
      </w:pPr>
    </w:p>
    <w:p>
      <w:pPr>
        <w:ind w:left="960" w:right="2619" w:hanging="631"/>
        <w:spacing w:after="0" w:line="235" w:lineRule="auto"/>
        <w:rPr>
          <w:sz w:val="20"/>
          <w:szCs w:val="20"/>
          <w:color w:val="auto"/>
        </w:rPr>
      </w:pPr>
      <w:r>
        <w:rPr>
          <w:rFonts w:ascii="Courier New" w:cs="Courier New" w:eastAsia="Courier New" w:hAnsi="Courier New"/>
          <w:sz w:val="18"/>
          <w:szCs w:val="18"/>
          <w:color w:val="auto"/>
        </w:rPr>
        <w:t>(d)[ ]Investment company registered under section 8 of the Investment Company Act of 1940 (15 U.S.C 80a-8).</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(e)[x]An investment adviser in accordance withss.240.13d-1(b)(1)(ii)(E);</w:t>
      </w:r>
    </w:p>
    <w:p>
      <w:pPr>
        <w:spacing w:after="0" w:line="207" w:lineRule="exact"/>
        <w:rPr>
          <w:sz w:val="20"/>
          <w:szCs w:val="20"/>
          <w:color w:val="auto"/>
        </w:rPr>
      </w:pPr>
    </w:p>
    <w:p>
      <w:pPr>
        <w:ind w:left="960" w:right="2839" w:hanging="631"/>
        <w:spacing w:after="0" w:line="235" w:lineRule="auto"/>
        <w:rPr>
          <w:sz w:val="20"/>
          <w:szCs w:val="20"/>
          <w:color w:val="auto"/>
        </w:rPr>
      </w:pPr>
      <w:r>
        <w:rPr>
          <w:rFonts w:ascii="Courier New" w:cs="Courier New" w:eastAsia="Courier New" w:hAnsi="Courier New"/>
          <w:sz w:val="18"/>
          <w:szCs w:val="18"/>
          <w:color w:val="auto"/>
        </w:rPr>
        <w:t>(f)[ ]An employee benefit plan or endowment fund in accordance with ss.240.13d-1(b)(1)(ii)(F);</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 ]A parent holding company or control person in accordance with ss.</w:t>
      </w:r>
    </w:p>
    <w:p>
      <w:pPr>
        <w:ind w:left="960"/>
        <w:spacing w:after="0" w:line="238" w:lineRule="auto"/>
        <w:rPr>
          <w:sz w:val="20"/>
          <w:szCs w:val="20"/>
          <w:color w:val="auto"/>
        </w:rPr>
      </w:pPr>
      <w:r>
        <w:rPr>
          <w:rFonts w:ascii="Courier New" w:cs="Courier New" w:eastAsia="Courier New" w:hAnsi="Courier New"/>
          <w:sz w:val="18"/>
          <w:szCs w:val="18"/>
          <w:color w:val="auto"/>
        </w:rPr>
        <w:t>240.13d-1(b)(1)(ii)(G);</w:t>
      </w:r>
    </w:p>
    <w:p>
      <w:pPr>
        <w:spacing w:after="0" w:line="207" w:lineRule="exact"/>
        <w:rPr>
          <w:sz w:val="20"/>
          <w:szCs w:val="20"/>
          <w:color w:val="auto"/>
        </w:rPr>
      </w:pPr>
    </w:p>
    <w:p>
      <w:pPr>
        <w:ind w:left="960" w:right="2519" w:hanging="631"/>
        <w:spacing w:after="0" w:line="235" w:lineRule="auto"/>
        <w:rPr>
          <w:sz w:val="20"/>
          <w:szCs w:val="20"/>
          <w:color w:val="auto"/>
        </w:rPr>
      </w:pPr>
      <w:r>
        <w:rPr>
          <w:rFonts w:ascii="Courier New" w:cs="Courier New" w:eastAsia="Courier New" w:hAnsi="Courier New"/>
          <w:sz w:val="18"/>
          <w:szCs w:val="18"/>
          <w:color w:val="auto"/>
        </w:rPr>
        <w:t>(h)[ ]A savings associations as defined in Section 3(b) of the Federal Deposit Insurance Act (12 U.S.C. 1813);</w:t>
      </w:r>
    </w:p>
    <w:p>
      <w:pPr>
        <w:spacing w:after="0" w:line="208" w:lineRule="exact"/>
        <w:rPr>
          <w:sz w:val="20"/>
          <w:szCs w:val="20"/>
          <w:color w:val="auto"/>
        </w:rPr>
      </w:pPr>
    </w:p>
    <w:p>
      <w:pPr>
        <w:jc w:val="both"/>
        <w:ind w:left="960" w:right="2099" w:hanging="631"/>
        <w:spacing w:after="0" w:line="236" w:lineRule="auto"/>
        <w:rPr>
          <w:sz w:val="20"/>
          <w:szCs w:val="20"/>
          <w:color w:val="auto"/>
        </w:rPr>
      </w:pPr>
      <w:r>
        <w:rPr>
          <w:rFonts w:ascii="Courier New" w:cs="Courier New" w:eastAsia="Courier New" w:hAnsi="Courier New"/>
          <w:sz w:val="18"/>
          <w:szCs w:val="18"/>
          <w:color w:val="auto"/>
        </w:rPr>
        <w:t>(i)[ ]A church plan that is excluded from the definition of an investment company under section 3(c)(14) of the Investment Company Act of 1940 (15 U.S.C. 80a-3);</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(j)[ ]Group, in accordance withss.240.13d-1(b)(1)(ii)(J).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1,625,550.</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(b)Percent of class:</w:t>
        <w:tab/>
        <w:t>4.64%</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1,625,550.</w:t>
      </w:r>
    </w:p>
    <w:p>
      <w:pPr>
        <w:ind w:left="5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ind w:left="56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1,625,550.</w:t>
      </w:r>
    </w:p>
    <w:p>
      <w:pPr>
        <w:ind w:left="6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ind w:left="6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ss.240.13d-3(d)(1).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717" w:right="1440" w:bottom="159" w:gutter="0" w:footer="0" w:header="0"/>
        </w:sectPr>
      </w:pPr>
    </w:p>
    <w:bookmarkStart w:id="4" w:name="page5"/>
    <w:bookmarkEnd w:id="4"/>
    <w:p>
      <w:pPr>
        <w:ind w:right="2319" w:firstLine="421"/>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ss.240.13d-1(b):</w:t>
      </w:r>
    </w:p>
    <w:p>
      <w:pPr>
        <w:spacing w:after="0" w:line="208" w:lineRule="exact"/>
        <w:rPr>
          <w:sz w:val="20"/>
          <w:szCs w:val="20"/>
          <w:color w:val="auto"/>
        </w:rPr>
      </w:pPr>
    </w:p>
    <w:p>
      <w:pPr>
        <w:ind w:left="540" w:right="17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February 13, 2007</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Steve Alfano, Chief Compliance Officer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59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10"/>
    </w:lvl>
  </w:abstractNum>
  <w:abstractNum w:abstractNumId="5">
    <w:nsid w:val="1190CDE7"/>
    <w:multiLevelType w:val="hybridMultilevel"/>
    <w:lvl w:ilvl="0">
      <w:lvlJc w:val="left"/>
      <w:lvlText w:val="-"/>
      <w:numFmt w:val="bullet"/>
      <w:start w:val="1"/>
    </w:lvl>
    <w:lvl w:ilvl="1">
      <w:lvlJc w:val="left"/>
      <w:lvlText w:val="%2."/>
      <w:numFmt w:val="decimal"/>
      <w:start w:val="1"/>
    </w:lvl>
  </w:abstractNum>
  <w:abstractNum w:abstractNumId="6">
    <w:nsid w:val="66EF438D"/>
    <w:multiLevelType w:val="hybridMultilevel"/>
    <w:lvl w:ilvl="0">
      <w:lvlJc w:val="left"/>
      <w:lvlText w:val="-"/>
      <w:numFmt w:val="bullet"/>
      <w:start w:val="1"/>
    </w:lvl>
    <w:lvl w:ilvl="1">
      <w:lvlJc w:val="left"/>
      <w:lvlText w:val="%2."/>
      <w:numFmt w:val="decimal"/>
      <w:start w:val="2"/>
    </w:lvl>
  </w:abstractNum>
  <w:abstractNum w:abstractNumId="7">
    <w:nsid w:val="140E0F76"/>
    <w:multiLevelType w:val="hybridMultilevel"/>
    <w:lvl w:ilvl="0">
      <w:lvlJc w:val="left"/>
      <w:lvlText w:val="-"/>
      <w:numFmt w:val="bullet"/>
      <w:start w:val="1"/>
    </w:lvl>
    <w:lvl w:ilvl="1">
      <w:lvlJc w:val="left"/>
      <w:lvlText w:val="%2."/>
      <w:numFmt w:val="decimal"/>
      <w:start w:val="3"/>
    </w:lvl>
  </w:abstractNum>
  <w:abstractNum w:abstractNumId="8">
    <w:nsid w:val="3352255A"/>
    <w:multiLevelType w:val="hybridMultilevel"/>
    <w:lvl w:ilvl="0">
      <w:lvlJc w:val="left"/>
      <w:lvlText w:val="-"/>
      <w:numFmt w:val="bullet"/>
      <w:start w:val="1"/>
    </w:lvl>
    <w:lvl w:ilvl="1">
      <w:lvlJc w:val="left"/>
      <w:lvlText w:val="%2."/>
      <w:numFmt w:val="decimal"/>
      <w:start w:val="4"/>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2"/>
      <w:numFmt w:val="decimal"/>
      <w:start w:val="1"/>
    </w:lvl>
    <w:lvl w:ilvl="2">
      <w:lvlJc w:val="left"/>
      <w:lvlText w:val="%3."/>
      <w:numFmt w:val="decimal"/>
      <w:start w:val="7"/>
    </w:lvl>
  </w:abstractNum>
  <w:abstractNum w:abstractNumId="11">
    <w:nsid w:val="7FDCC233"/>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2019-12-19T23:50:49Z</dcterms:created>
  <dcterms:modified xsi:type="dcterms:W3CDTF">2019-12-19T23:50:49Z</dcterms:modified>
</cp:coreProperties>
</file>