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Chilton Investment Company,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1266 East Main Street, 7th Floor</w:t>
      </w:r>
    </w:p>
    <w:p>
      <w:pPr>
        <w:jc w:val="center"/>
        <w:ind w:right="1779"/>
        <w:spacing w:after="0"/>
        <w:rPr>
          <w:sz w:val="20"/>
          <w:szCs w:val="20"/>
          <w:color w:val="auto"/>
        </w:rPr>
      </w:pPr>
      <w:r>
        <w:rPr>
          <w:rFonts w:ascii="Courier New" w:cs="Courier New" w:eastAsia="Courier New" w:hAnsi="Courier New"/>
          <w:sz w:val="18"/>
          <w:szCs w:val="18"/>
          <w:color w:val="auto"/>
        </w:rPr>
        <w:t>Stamford, CT 06902</w:t>
      </w:r>
    </w:p>
    <w:p>
      <w:pPr>
        <w:ind w:left="4120" w:hanging="636"/>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352-4000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ind w:left="3480"/>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12, 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|_|.</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060" w:space="520"/>
            <w:col w:w="1400" w:space="720"/>
            <w:col w:w="451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Chilton Investment Company, LLC</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(a) |_| (b) |X|</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AF, OO</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8,586,470</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1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ind w:left="2320"/>
        <w:spacing w:after="0" w:line="238" w:lineRule="auto"/>
        <w:rPr>
          <w:sz w:val="20"/>
          <w:szCs w:val="20"/>
          <w:color w:val="auto"/>
        </w:rPr>
      </w:pPr>
      <w:r>
        <w:rPr>
          <w:rFonts w:ascii="Courier New" w:cs="Courier New" w:eastAsia="Courier New" w:hAnsi="Courier New"/>
          <w:sz w:val="18"/>
          <w:szCs w:val="18"/>
          <w:color w:val="auto"/>
        </w:rPr>
        <w:t>8,586,470</w:t>
      </w:r>
    </w:p>
    <w:p>
      <w:pPr>
        <w:ind w:left="1700"/>
        <w:spacing w:after="0"/>
        <w:rPr>
          <w:sz w:val="20"/>
          <w:szCs w:val="20"/>
          <w:color w:val="auto"/>
        </w:rPr>
      </w:pPr>
      <w:r>
        <w:rPr>
          <w:rFonts w:ascii="Courier New" w:cs="Courier New" w:eastAsia="Courier New" w:hAnsi="Courier New"/>
          <w:sz w:val="18"/>
          <w:szCs w:val="18"/>
          <w:color w:val="auto"/>
        </w:rPr>
        <w:t>----------------------------------------------------------------</w:t>
      </w:r>
    </w:p>
    <w:p>
      <w:pPr>
        <w:ind w:left="2320" w:hanging="627"/>
        <w:spacing w:after="0" w:line="237" w:lineRule="auto"/>
        <w:tabs>
          <w:tab w:leader="none" w:pos="23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8,586,470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 IN ROW (11) EXCLUDES CERTAIN SHARES |_|</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20.6%</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Schedule 13D (the "Schedule 13D") initially filed by Chilton Investment Company, LLC (the "Reporting Person") on May 9, 2006 relating to the common stock, par value $0.01 per share (the "Common Stock") of Casual Male Retail Group, Inc., a Delaware corporation (the "Issuer"), as amended by Amendment No. 1 to the Schedule 13D filed on June 9, 2006 and Amendment No. 2 to the Schedule 13D filed on June 29, 2006, is hereby amended by this Amendment No. 3 to the Schedule 13D to report a change in beneficial ownership. The Schedule 13D is amended as follows:</w:t>
      </w: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5(a) is hereby supplemented by the addition of the following:</w:t>
      </w:r>
    </w:p>
    <w:p>
      <w:pPr>
        <w:spacing w:after="0" w:line="207" w:lineRule="exact"/>
        <w:rPr>
          <w:sz w:val="20"/>
          <w:szCs w:val="20"/>
          <w:color w:val="auto"/>
        </w:rPr>
      </w:pPr>
    </w:p>
    <w:p>
      <w:pPr>
        <w:ind w:right="1879" w:firstLine="1272"/>
        <w:spacing w:after="0" w:line="237"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Reporting Person is deemed to be the beneficial owner (through its control of the Client Accounts) of 8,586,470 shares representing 20.6% of the Issuer's Common Stock. The foregoing calculations are based on 41,599,169 shares of Common Stock issued and outstanding as of March 14, 2007 according to publicly available filings of the Issuer.</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5(c) is hereby supplemented by the addition of the following:</w:t>
      </w:r>
    </w:p>
    <w:p>
      <w:pPr>
        <w:spacing w:after="0" w:line="207" w:lineRule="exact"/>
        <w:rPr>
          <w:sz w:val="20"/>
          <w:szCs w:val="20"/>
          <w:color w:val="auto"/>
        </w:rPr>
      </w:pPr>
    </w:p>
    <w:p>
      <w:pPr>
        <w:ind w:right="1779" w:firstLine="1272"/>
        <w:spacing w:after="0" w:line="290" w:lineRule="auto"/>
        <w:tabs>
          <w:tab w:leader="none" w:pos="16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and the price per share of all transactions effected by the Reporting Person since its last filing are as follows:</w:t>
      </w:r>
    </w:p>
    <w:p>
      <w:pPr>
        <w:spacing w:after="0" w:line="170" w:lineRule="exact"/>
        <w:rPr>
          <w:sz w:val="20"/>
          <w:szCs w:val="20"/>
          <w:color w:val="auto"/>
        </w:rPr>
      </w:pPr>
    </w:p>
    <w:p>
      <w:pPr>
        <w:ind w:left="1280" w:right="251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28, 2007, 24,044 shares of Common Stock were sold through Lehman Brothers at a price per share of $12.4695.</w:t>
      </w: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7, 2007, 17,866 shares of Common Stock were sold through Lehman Brothers at a price per share of $12.0068.</w:t>
      </w:r>
    </w:p>
    <w:p>
      <w:pPr>
        <w:spacing w:after="0" w:line="5" w:lineRule="exact"/>
        <w:rPr>
          <w:rFonts w:ascii="Courier New" w:cs="Courier New" w:eastAsia="Courier New" w:hAnsi="Courier New"/>
          <w:sz w:val="18"/>
          <w:szCs w:val="18"/>
          <w:color w:val="auto"/>
        </w:rPr>
      </w:pPr>
    </w:p>
    <w:p>
      <w:pPr>
        <w:ind w:left="1280" w:right="231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14, 2007, 181 shares of Common Stock were sold through Lehman Brothers at a price per share of $11.5100.</w:t>
      </w:r>
    </w:p>
    <w:p>
      <w:pPr>
        <w:spacing w:after="0" w:line="5" w:lineRule="exact"/>
        <w:rPr>
          <w:rFonts w:ascii="Courier New" w:cs="Courier New" w:eastAsia="Courier New" w:hAnsi="Courier New"/>
          <w:sz w:val="18"/>
          <w:szCs w:val="18"/>
          <w:color w:val="auto"/>
        </w:rPr>
      </w:pPr>
    </w:p>
    <w:p>
      <w:pPr>
        <w:ind w:left="1280" w:right="231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15, 2007, 81,600 shares of Common Stock were purchased through Liquidnet at a price per share of $12.0066.</w:t>
      </w:r>
    </w:p>
    <w:p>
      <w:pPr>
        <w:spacing w:after="0" w:line="5" w:lineRule="exact"/>
        <w:rPr>
          <w:rFonts w:ascii="Courier New" w:cs="Courier New" w:eastAsia="Courier New" w:hAnsi="Courier New"/>
          <w:sz w:val="18"/>
          <w:szCs w:val="18"/>
          <w:color w:val="auto"/>
        </w:rPr>
      </w:pPr>
    </w:p>
    <w:p>
      <w:pPr>
        <w:ind w:left="1280" w:right="231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15, 2007, 10,400 shares of Common Stock were purchased through Jefferies &amp; Co. at a price per share of $11.9864.</w:t>
      </w:r>
    </w:p>
    <w:p>
      <w:pPr>
        <w:ind w:left="1280" w:right="17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21, 2007, 123 shares of Common Stock were purchased through Bank of America at a price per share of $12.0100.</w:t>
      </w:r>
    </w:p>
    <w:p>
      <w:pPr>
        <w:spacing w:after="0" w:line="5" w:lineRule="exact"/>
        <w:rPr>
          <w:rFonts w:ascii="Courier New" w:cs="Courier New" w:eastAsia="Courier New" w:hAnsi="Courier New"/>
          <w:sz w:val="18"/>
          <w:szCs w:val="18"/>
          <w:color w:val="auto"/>
        </w:rPr>
      </w:pPr>
    </w:p>
    <w:p>
      <w:pPr>
        <w:ind w:left="1280" w:right="231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9, 2007, 199,993 shares of Common Stock were purchased through Allen &amp; Co. at a price per share of $11.8477.</w:t>
      </w:r>
    </w:p>
    <w:p>
      <w:pPr>
        <w:ind w:left="1280" w:right="209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9, 2007, 7 shares of Common Stock were purchased through Credit Suisse First Boston at a price per share of $11.9500.</w:t>
      </w:r>
    </w:p>
    <w:p>
      <w:pPr>
        <w:ind w:left="1280" w:right="199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9, 2007, 200,000 shares of Common Stock were sold through Credit Suisse First Boston at a price per share of $11.8576.</w:t>
      </w:r>
    </w:p>
    <w:p>
      <w:pPr>
        <w:ind w:left="1280" w:right="231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11, 2007, 53,051 shares of Common Stock were purchased through Knight Securities at a price per share of $11.2378.</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24" w:lineRule="exact"/>
        <w:rPr>
          <w:sz w:val="20"/>
          <w:szCs w:val="20"/>
          <w:color w:val="auto"/>
        </w:rPr>
      </w:pPr>
    </w:p>
    <w:p>
      <w:pPr>
        <w:ind w:left="1280" w:right="219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11, 2007, 135,000 shares of Common Stock were purchased through Liquidnet at a price per share of $11.2431.</w:t>
      </w:r>
    </w:p>
    <w:p>
      <w:pPr>
        <w:spacing w:after="0" w:line="5" w:lineRule="exact"/>
        <w:rPr>
          <w:rFonts w:ascii="Courier New" w:cs="Courier New" w:eastAsia="Courier New" w:hAnsi="Courier New"/>
          <w:sz w:val="18"/>
          <w:szCs w:val="18"/>
          <w:color w:val="auto"/>
        </w:rPr>
      </w:pPr>
    </w:p>
    <w:p>
      <w:pPr>
        <w:ind w:left="1280" w:right="177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11, 2007, 5,949 shares of Common Stock were purchased through Credit Suisse First Boston at a price per share of $11.2922.</w:t>
      </w:r>
    </w:p>
    <w:p>
      <w:pPr>
        <w:ind w:left="1280" w:right="177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12, 2007, 10,000 shares of Common Stock were purchased through Credit Suisse First Boston at a price per share of $11.2571.</w:t>
      </w:r>
    </w:p>
    <w:p>
      <w:pPr>
        <w:ind w:left="1280" w:right="2319" w:hanging="640"/>
        <w:spacing w:after="0" w:line="290"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12, 2007, 10,000 shares of Common Stock were purchased through Knight Securities at a price per share of $11.2317.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13, 2007</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James Steinthal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James Steinthal</w:t>
      </w:r>
    </w:p>
    <w:p>
      <w:pPr>
        <w:ind w:left="4740"/>
        <w:spacing w:after="0" w:line="237"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20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0"/>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o"/>
      <w:numFmt w:val="bullet"/>
      <w:start w:val="1"/>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2019-12-20T00:43:32Z</dcterms:created>
  <dcterms:modified xsi:type="dcterms:W3CDTF">2019-12-20T00:43:32Z</dcterms:modified>
</cp:coreProperties>
</file>