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667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667375"/>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REATH JAMES</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3820" w:type="dxa"/>
            <w:vAlign w:val="bottom"/>
            <w:gridSpan w:val="4"/>
          </w:tcPr>
          <w:p>
            <w:pPr>
              <w:ind w:left="6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DESTINATION XL GROUP,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76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ind w:left="120"/>
              <w:spacing w:after="0" w:line="128"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restart"/>
          </w:tcPr>
          <w:p>
            <w:pPr>
              <w:ind w:left="12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2"/>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09/26/2022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Qualified</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5.3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09/26/2022</w:t>
            </w:r>
          </w:p>
        </w:tc>
        <w:tc>
          <w:tcPr>
            <w:tcW w:w="106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5"/>
              </w:rPr>
              <w:t>2,267</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w w:val="95"/>
              </w:rPr>
              <w:t>09/26/2032</w:t>
            </w:r>
          </w:p>
        </w:tc>
        <w:tc>
          <w:tcPr>
            <w:tcW w:w="620" w:type="dxa"/>
            <w:vAlign w:val="bottom"/>
          </w:tcPr>
          <w:p>
            <w:pPr>
              <w:ind w:left="80"/>
              <w:spacing w:after="0" w:line="141" w:lineRule="exact"/>
              <w:rPr>
                <w:sz w:val="20"/>
                <w:szCs w:val="20"/>
                <w:color w:val="auto"/>
              </w:rPr>
            </w:pPr>
            <w:r>
              <w:rPr>
                <w:rFonts w:ascii="Arial" w:cs="Arial" w:eastAsia="Arial" w:hAnsi="Arial"/>
                <w:sz w:val="13"/>
                <w:szCs w:val="13"/>
                <w:color w:val="0000FF"/>
                <w:w w:val="98"/>
              </w:rPr>
              <w:t>Common</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9"/>
              </w:rPr>
              <w:t>2,267</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5"/>
              </w:rPr>
              <w:t>2,267</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Qualified</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5.3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09/26/2022</w:t>
            </w:r>
          </w:p>
        </w:tc>
        <w:tc>
          <w:tcPr>
            <w:tcW w:w="106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5"/>
              </w:rPr>
              <w:t>4,372</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w w:val="95"/>
              </w:rPr>
              <w:t>09/26/2032</w:t>
            </w:r>
          </w:p>
        </w:tc>
        <w:tc>
          <w:tcPr>
            <w:tcW w:w="620" w:type="dxa"/>
            <w:vAlign w:val="bottom"/>
          </w:tcPr>
          <w:p>
            <w:pPr>
              <w:ind w:left="80"/>
              <w:spacing w:after="0" w:line="141" w:lineRule="exact"/>
              <w:rPr>
                <w:sz w:val="20"/>
                <w:szCs w:val="20"/>
                <w:color w:val="auto"/>
              </w:rPr>
            </w:pPr>
            <w:r>
              <w:rPr>
                <w:rFonts w:ascii="Arial" w:cs="Arial" w:eastAsia="Arial" w:hAnsi="Arial"/>
                <w:sz w:val="13"/>
                <w:szCs w:val="13"/>
                <w:color w:val="0000FF"/>
                <w:w w:val="98"/>
              </w:rPr>
              <w:t>Common</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9"/>
              </w:rPr>
              <w:t>4,372</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5"/>
              </w:rPr>
              <w:t>4,372</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3"/>
              </w:rPr>
              <w:t>10,332</w:t>
            </w:r>
            <w:r>
              <w:rPr>
                <w:rFonts w:ascii="Arial" w:cs="Arial" w:eastAsia="Arial" w:hAnsi="Arial"/>
                <w:sz w:val="21"/>
                <w:szCs w:val="21"/>
                <w:color w:val="008000"/>
                <w:w w:val="83"/>
                <w:vertAlign w:val="superscript"/>
              </w:rPr>
              <w:t>(4)</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1080" w:type="dxa"/>
            <w:vAlign w:val="bottom"/>
          </w:tcPr>
          <w:p>
            <w:pPr>
              <w:jc w:val="center"/>
              <w:spacing w:after="0" w:line="124" w:lineRule="exact"/>
              <w:rPr>
                <w:sz w:val="20"/>
                <w:szCs w:val="20"/>
                <w:color w:val="auto"/>
              </w:rPr>
            </w:pPr>
            <w:r>
              <w:rPr>
                <w:rFonts w:ascii="Arial" w:cs="Arial" w:eastAsia="Arial" w:hAnsi="Arial"/>
                <w:sz w:val="13"/>
                <w:szCs w:val="13"/>
                <w:color w:val="0000FF"/>
                <w:w w:val="89"/>
              </w:rPr>
              <w:t>09/26/2022</w:t>
            </w:r>
          </w:p>
        </w:tc>
        <w:tc>
          <w:tcPr>
            <w:tcW w:w="1060" w:type="dxa"/>
            <w:vAlign w:val="bottom"/>
          </w:tcPr>
          <w:p>
            <w:pPr>
              <w:spacing w:after="0"/>
              <w:rPr>
                <w:sz w:val="10"/>
                <w:szCs w:val="10"/>
                <w:color w:val="auto"/>
              </w:rPr>
            </w:pPr>
          </w:p>
        </w:tc>
        <w:tc>
          <w:tcPr>
            <w:tcW w:w="800" w:type="dxa"/>
            <w:vAlign w:val="bottom"/>
          </w:tcPr>
          <w:p>
            <w:pPr>
              <w:ind w:left="180"/>
              <w:spacing w:after="0" w:line="124" w:lineRule="exact"/>
              <w:rPr>
                <w:sz w:val="20"/>
                <w:szCs w:val="20"/>
                <w:color w:val="auto"/>
              </w:rPr>
            </w:pPr>
            <w:r>
              <w:rPr>
                <w:rFonts w:ascii="Arial" w:cs="Arial" w:eastAsia="Arial" w:hAnsi="Arial"/>
                <w:sz w:val="13"/>
                <w:szCs w:val="13"/>
                <w:color w:val="0000FF"/>
              </w:rPr>
              <w:t>A</w:t>
            </w:r>
          </w:p>
        </w:tc>
        <w:tc>
          <w:tcPr>
            <w:tcW w:w="500" w:type="dxa"/>
            <w:vAlign w:val="bottom"/>
          </w:tcPr>
          <w:p>
            <w:pPr>
              <w:jc w:val="center"/>
              <w:spacing w:after="0" w:line="124" w:lineRule="exact"/>
              <w:rPr>
                <w:sz w:val="20"/>
                <w:szCs w:val="20"/>
                <w:color w:val="auto"/>
              </w:rPr>
            </w:pPr>
            <w:r>
              <w:rPr>
                <w:rFonts w:ascii="Arial" w:cs="Arial" w:eastAsia="Arial" w:hAnsi="Arial"/>
                <w:sz w:val="13"/>
                <w:szCs w:val="13"/>
                <w:color w:val="0000FF"/>
                <w:w w:val="90"/>
              </w:rPr>
              <w:t>10,332</w:t>
            </w: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tcPr>
          <w:p>
            <w:pPr>
              <w:ind w:left="80"/>
              <w:spacing w:after="0" w:line="124" w:lineRule="exact"/>
              <w:rPr>
                <w:sz w:val="20"/>
                <w:szCs w:val="20"/>
                <w:color w:val="auto"/>
              </w:rPr>
            </w:pPr>
            <w:r>
              <w:rPr>
                <w:rFonts w:ascii="Arial" w:cs="Arial" w:eastAsia="Arial" w:hAnsi="Arial"/>
                <w:sz w:val="13"/>
                <w:szCs w:val="13"/>
                <w:color w:val="0000FF"/>
                <w:w w:val="95"/>
              </w:rPr>
              <w:t>09/26/2032</w:t>
            </w:r>
          </w:p>
        </w:tc>
        <w:tc>
          <w:tcPr>
            <w:tcW w:w="6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tcPr>
          <w:p>
            <w:pPr>
              <w:jc w:val="center"/>
              <w:spacing w:after="0" w:line="124" w:lineRule="exact"/>
              <w:rPr>
                <w:sz w:val="20"/>
                <w:szCs w:val="20"/>
                <w:color w:val="auto"/>
              </w:rPr>
            </w:pPr>
            <w:r>
              <w:rPr>
                <w:rFonts w:ascii="Arial" w:cs="Arial" w:eastAsia="Arial" w:hAnsi="Arial"/>
                <w:sz w:val="13"/>
                <w:szCs w:val="13"/>
                <w:color w:val="0000FF"/>
                <w:w w:val="90"/>
              </w:rPr>
              <w:t>10,332</w:t>
            </w:r>
          </w:p>
        </w:tc>
        <w:tc>
          <w:tcPr>
            <w:tcW w:w="72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Non-Qualified Stock Options ("Stock Options") represent the time-based portion of the 2020-2022 Long-Term Incentive Plan award to the Reporting Person. The Stock Options become exercisable in two equal installments on September 26, 2023 and April 1, 2024.</w:t>
      </w:r>
    </w:p>
    <w:p>
      <w:pPr>
        <w:spacing w:after="0" w:line="27" w:lineRule="exact"/>
        <w:rPr>
          <w:rFonts w:ascii="Arial" w:cs="Arial" w:eastAsia="Arial" w:hAnsi="Arial"/>
          <w:sz w:val="13"/>
          <w:szCs w:val="13"/>
          <w:color w:val="008000"/>
        </w:rPr>
      </w:pPr>
    </w:p>
    <w:p>
      <w:pPr>
        <w:ind w:left="40" w:right="24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represent the time-based portion of the 2021-2023 Long-Term Incentive Plan award to the Reporting Person. The Stock Options become exercisable in three equal installments on September 26, 2023, April 1, 2024 and April 1, 2025.</w:t>
      </w:r>
    </w:p>
    <w:p>
      <w:pPr>
        <w:spacing w:after="0" w:line="27" w:lineRule="exact"/>
        <w:rPr>
          <w:rFonts w:ascii="Arial" w:cs="Arial" w:eastAsia="Arial" w:hAnsi="Arial"/>
          <w:sz w:val="13"/>
          <w:szCs w:val="13"/>
          <w:color w:val="008000"/>
        </w:rPr>
      </w:pPr>
    </w:p>
    <w:p>
      <w:pPr>
        <w:ind w:left="40" w:right="66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("RSUs") for the time-based portion of the 2022-2024 Long-Term Incentive Plan award to the Reporting Person. The RSUs vest and become exercisable in four equal installments on September 26, 2023, April 1, 2024, April 1, 2025 and April 1, 2026.</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as defined in the Company's 2016 Incentive Compensation Plan, represents a contingent right to receive one share of DXLG common stock.</w:t>
      </w:r>
    </w:p>
    <w:p>
      <w:pPr>
        <w:spacing w:after="0" w:line="4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James Reath</w:t>
            </w:r>
          </w:p>
        </w:tc>
        <w:tc>
          <w:tcPr>
            <w:tcW w:w="760" w:type="dxa"/>
            <w:vAlign w:val="bottom"/>
          </w:tcPr>
          <w:p>
            <w:pPr>
              <w:spacing w:after="0"/>
              <w:rPr>
                <w:sz w:val="20"/>
                <w:szCs w:val="20"/>
                <w:color w:val="auto"/>
              </w:rPr>
            </w:pPr>
            <w:r>
              <w:rPr>
                <w:rFonts w:ascii="Arial" w:cs="Arial" w:eastAsia="Arial" w:hAnsi="Arial"/>
                <w:sz w:val="17"/>
                <w:szCs w:val="17"/>
                <w:color w:val="0000FF"/>
                <w:w w:val="86"/>
              </w:rPr>
              <w:t>09/28/2022</w:t>
            </w:r>
          </w:p>
        </w:tc>
      </w:tr>
      <w:tr>
        <w:trPr>
          <w:trHeight w:val="20"/>
        </w:trPr>
        <w:tc>
          <w:tcPr>
            <w:tcW w:w="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4771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2022-09-28T16:29:07Z</dcterms:created>
  <dcterms:modified xsi:type="dcterms:W3CDTF">2022-09-28T16:29:07Z</dcterms:modified>
</cp:coreProperties>
</file>