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sctota.htm"/>
      <w:bookmarkStart w:id="1" w:name="ksformsctota"/>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UNITED STATES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36"/>
        </w:rPr>
        <w:t>SECURITIES AND EXCHANGE COMMISSION</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36"/>
        </w:rPr>
        <w:t>AMENDMENT NO. 6</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SCHEDULE 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Tender Offer Statement Under Section 14(d)(1) or 13(e)(1)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Destination XL Group, Inc.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Subject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Zodiac Partners II, LLC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Filing Person (Offeror))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Camac Fund, LP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Filing Person (Parent of Offeror))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Common Stock, par value $0.01 per share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Class of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25065K104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Number of Class of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Craig Rosmarin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1601-1 N Main St #3159, SMB#92283, Jacksonville, FL 32206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(917) 692-1844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Name, Address and Telephone Number of Person Authorized to Receive Notices and Communications 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Behalf of Filing Persons)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Copies to: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Donald R. Reynolds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Wyrick Robbins Yates &amp; Ponton LLP</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4101 Lake Boone Trail, Suite 300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Raleigh, NC 27607</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(919) 781-4000</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9"/>
        <w:gridCol w:w="487"/>
        <w:gridCol w:w="9429"/>
      </w:tblGrid>
      <w:tr>
        <w:trPr/>
        <w:tc>
          <w:tcPr>
            <w:tcW w:w="289" w:type="dxa"/>
            <w:tcBorders/>
            <w:vAlign w:val="center"/>
          </w:tcPr>
          <w:p>
            <w:pPr>
              <w:pStyle w:val="TableContents"/>
              <w:bidi w:val="0"/>
              <w:spacing w:before="0" w:after="283"/>
              <w:jc w:val="left"/>
              <w:rPr>
                <w:caps w:val="false"/>
                <w:smallCaps w:val="false"/>
              </w:rPr>
            </w:pPr>
            <w:r>
              <w:rPr>
                <w:caps w:val="false"/>
                <w:smallCaps w:val="false"/>
              </w:rPr>
              <w:t> ☐</w:t>
            </w:r>
          </w:p>
        </w:tc>
        <w:tc>
          <w:tcPr>
            <w:tcW w:w="9916"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Check the box if the filing relates solely to preliminary communications made before the commencement of a tender offer. </w:t>
            </w:r>
          </w:p>
        </w:tc>
      </w:tr>
      <w:tr>
        <w:trPr/>
        <w:tc>
          <w:tcPr>
            <w:tcW w:w="289" w:type="dxa"/>
            <w:tcBorders/>
            <w:vAlign w:val="center"/>
          </w:tcPr>
          <w:p>
            <w:pPr>
              <w:pStyle w:val="TableContents"/>
              <w:bidi w:val="0"/>
              <w:spacing w:before="0" w:after="283"/>
              <w:jc w:val="left"/>
              <w:rPr>
                <w:caps w:val="false"/>
                <w:smallCaps w:val="false"/>
              </w:rPr>
            </w:pPr>
            <w:r>
              <w:rPr>
                <w:caps w:val="false"/>
                <w:smallCaps w:val="false"/>
              </w:rPr>
              <w:t> </w:t>
            </w:r>
          </w:p>
        </w:tc>
        <w:tc>
          <w:tcPr>
            <w:tcW w:w="9916"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0205"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Check the appropriate boxes below to designate any transactions to which the statement relates: </w:t>
            </w:r>
          </w:p>
        </w:tc>
      </w:tr>
      <w:tr>
        <w:trPr/>
        <w:tc>
          <w:tcPr>
            <w:tcW w:w="10205"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289" w:type="dxa"/>
            <w:tcBorders/>
            <w:vAlign w:val="center"/>
          </w:tcPr>
          <w:p>
            <w:pPr>
              <w:pStyle w:val="TableContents"/>
              <w:bidi w:val="0"/>
              <w:spacing w:before="0" w:after="283"/>
              <w:jc w:val="left"/>
              <w:rPr>
                <w:caps w:val="false"/>
                <w:smallCaps w:val="false"/>
              </w:rPr>
            </w:pPr>
            <w:r>
              <w:rPr>
                <w:caps w:val="false"/>
                <w:smallCaps w:val="false"/>
              </w:rPr>
              <w:t> </w:t>
            </w:r>
          </w:p>
        </w:tc>
        <w:tc>
          <w:tcPr>
            <w:tcW w:w="487" w:type="dxa"/>
            <w:tcBorders/>
            <w:vAlign w:val="center"/>
          </w:tcPr>
          <w:p>
            <w:pPr>
              <w:pStyle w:val="TableContents"/>
              <w:bidi w:val="0"/>
              <w:spacing w:before="0" w:after="283"/>
              <w:jc w:val="left"/>
              <w:rPr>
                <w:caps w:val="false"/>
                <w:smallCaps w:val="false"/>
              </w:rPr>
            </w:pPr>
            <w:r>
              <w:rPr>
                <w:caps w:val="false"/>
                <w:smallCaps w:val="false"/>
              </w:rPr>
              <w:t>☒</w:t>
            </w:r>
          </w:p>
        </w:tc>
        <w:tc>
          <w:tcPr>
            <w:tcW w:w="94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third-party tender offer subject to Rule 14d-1. </w:t>
            </w:r>
          </w:p>
        </w:tc>
      </w:tr>
      <w:tr>
        <w:trPr/>
        <w:tc>
          <w:tcPr>
            <w:tcW w:w="289" w:type="dxa"/>
            <w:tcBorders/>
            <w:vAlign w:val="center"/>
          </w:tcPr>
          <w:p>
            <w:pPr>
              <w:pStyle w:val="TableContents"/>
              <w:bidi w:val="0"/>
              <w:spacing w:before="0" w:after="283"/>
              <w:jc w:val="left"/>
              <w:rPr>
                <w:caps w:val="false"/>
                <w:smallCaps w:val="false"/>
              </w:rPr>
            </w:pPr>
            <w:r>
              <w:rPr>
                <w:caps w:val="false"/>
                <w:smallCaps w:val="false"/>
              </w:rPr>
              <w:t> </w:t>
            </w:r>
          </w:p>
        </w:tc>
        <w:tc>
          <w:tcPr>
            <w:tcW w:w="487" w:type="dxa"/>
            <w:tcBorders/>
            <w:vAlign w:val="center"/>
          </w:tcPr>
          <w:p>
            <w:pPr>
              <w:pStyle w:val="TableContents"/>
              <w:bidi w:val="0"/>
              <w:spacing w:before="0" w:after="283"/>
              <w:jc w:val="left"/>
              <w:rPr>
                <w:caps w:val="false"/>
                <w:smallCaps w:val="false"/>
              </w:rPr>
            </w:pPr>
            <w:r>
              <w:rPr>
                <w:caps w:val="false"/>
                <w:smallCaps w:val="false"/>
              </w:rPr>
              <w:t> </w:t>
            </w:r>
          </w:p>
        </w:tc>
        <w:tc>
          <w:tcPr>
            <w:tcW w:w="942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9" w:type="dxa"/>
            <w:tcBorders/>
            <w:vAlign w:val="center"/>
          </w:tcPr>
          <w:p>
            <w:pPr>
              <w:pStyle w:val="TableContents"/>
              <w:bidi w:val="0"/>
              <w:spacing w:before="0" w:after="283"/>
              <w:jc w:val="left"/>
              <w:rPr>
                <w:caps w:val="false"/>
                <w:smallCaps w:val="false"/>
              </w:rPr>
            </w:pPr>
            <w:r>
              <w:rPr>
                <w:caps w:val="false"/>
                <w:smallCaps w:val="false"/>
              </w:rPr>
              <w:t> </w:t>
            </w:r>
          </w:p>
        </w:tc>
        <w:tc>
          <w:tcPr>
            <w:tcW w:w="487" w:type="dxa"/>
            <w:tcBorders/>
            <w:vAlign w:val="center"/>
          </w:tcPr>
          <w:p>
            <w:pPr>
              <w:pStyle w:val="TableContents"/>
              <w:bidi w:val="0"/>
              <w:spacing w:before="0" w:after="283"/>
              <w:jc w:val="left"/>
              <w:rPr>
                <w:caps w:val="false"/>
                <w:smallCaps w:val="false"/>
              </w:rPr>
            </w:pPr>
            <w:r>
              <w:rPr>
                <w:caps w:val="false"/>
                <w:smallCaps w:val="false"/>
              </w:rPr>
              <w:t>☐</w:t>
            </w:r>
          </w:p>
        </w:tc>
        <w:tc>
          <w:tcPr>
            <w:tcW w:w="94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issuer tender offer subject to Rule 13e-4. </w:t>
            </w:r>
          </w:p>
        </w:tc>
      </w:tr>
      <w:tr>
        <w:trPr/>
        <w:tc>
          <w:tcPr>
            <w:tcW w:w="289" w:type="dxa"/>
            <w:tcBorders/>
            <w:vAlign w:val="center"/>
          </w:tcPr>
          <w:p>
            <w:pPr>
              <w:pStyle w:val="TableContents"/>
              <w:bidi w:val="0"/>
              <w:spacing w:before="0" w:after="283"/>
              <w:jc w:val="left"/>
              <w:rPr>
                <w:caps w:val="false"/>
                <w:smallCaps w:val="false"/>
              </w:rPr>
            </w:pPr>
            <w:r>
              <w:rPr>
                <w:caps w:val="false"/>
                <w:smallCaps w:val="false"/>
              </w:rPr>
              <w:t> </w:t>
            </w:r>
          </w:p>
        </w:tc>
        <w:tc>
          <w:tcPr>
            <w:tcW w:w="487" w:type="dxa"/>
            <w:tcBorders/>
            <w:vAlign w:val="center"/>
          </w:tcPr>
          <w:p>
            <w:pPr>
              <w:pStyle w:val="TableContents"/>
              <w:bidi w:val="0"/>
              <w:spacing w:before="0" w:after="283"/>
              <w:jc w:val="left"/>
              <w:rPr>
                <w:caps w:val="false"/>
                <w:smallCaps w:val="false"/>
              </w:rPr>
            </w:pPr>
            <w:r>
              <w:rPr>
                <w:caps w:val="false"/>
                <w:smallCaps w:val="false"/>
              </w:rPr>
              <w:t> </w:t>
            </w:r>
          </w:p>
        </w:tc>
        <w:tc>
          <w:tcPr>
            <w:tcW w:w="942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9" w:type="dxa"/>
            <w:tcBorders/>
            <w:vAlign w:val="center"/>
          </w:tcPr>
          <w:p>
            <w:pPr>
              <w:pStyle w:val="TableContents"/>
              <w:bidi w:val="0"/>
              <w:spacing w:before="0" w:after="283"/>
              <w:jc w:val="left"/>
              <w:rPr>
                <w:caps w:val="false"/>
                <w:smallCaps w:val="false"/>
              </w:rPr>
            </w:pPr>
            <w:r>
              <w:rPr>
                <w:caps w:val="false"/>
                <w:smallCaps w:val="false"/>
              </w:rPr>
              <w:t> </w:t>
            </w:r>
          </w:p>
        </w:tc>
        <w:tc>
          <w:tcPr>
            <w:tcW w:w="487" w:type="dxa"/>
            <w:tcBorders/>
            <w:vAlign w:val="center"/>
          </w:tcPr>
          <w:p>
            <w:pPr>
              <w:pStyle w:val="TableContents"/>
              <w:bidi w:val="0"/>
              <w:spacing w:before="0" w:after="283"/>
              <w:jc w:val="left"/>
              <w:rPr>
                <w:caps w:val="false"/>
                <w:smallCaps w:val="false"/>
              </w:rPr>
            </w:pPr>
            <w:r>
              <w:rPr>
                <w:caps w:val="false"/>
                <w:smallCaps w:val="false"/>
              </w:rPr>
              <w:t>☐</w:t>
            </w:r>
          </w:p>
        </w:tc>
        <w:tc>
          <w:tcPr>
            <w:tcW w:w="94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going-private transaction subject to Rule 13e-3. </w:t>
            </w:r>
          </w:p>
        </w:tc>
      </w:tr>
      <w:tr>
        <w:trPr/>
        <w:tc>
          <w:tcPr>
            <w:tcW w:w="289" w:type="dxa"/>
            <w:tcBorders/>
            <w:vAlign w:val="center"/>
          </w:tcPr>
          <w:p>
            <w:pPr>
              <w:pStyle w:val="TableContents"/>
              <w:bidi w:val="0"/>
              <w:spacing w:before="0" w:after="283"/>
              <w:jc w:val="left"/>
              <w:rPr>
                <w:caps w:val="false"/>
                <w:smallCaps w:val="false"/>
              </w:rPr>
            </w:pPr>
            <w:r>
              <w:rPr>
                <w:caps w:val="false"/>
                <w:smallCaps w:val="false"/>
              </w:rPr>
              <w:t> </w:t>
            </w:r>
          </w:p>
        </w:tc>
        <w:tc>
          <w:tcPr>
            <w:tcW w:w="487" w:type="dxa"/>
            <w:tcBorders/>
            <w:vAlign w:val="center"/>
          </w:tcPr>
          <w:p>
            <w:pPr>
              <w:pStyle w:val="TableContents"/>
              <w:bidi w:val="0"/>
              <w:spacing w:before="0" w:after="283"/>
              <w:jc w:val="left"/>
              <w:rPr>
                <w:caps w:val="false"/>
                <w:smallCaps w:val="false"/>
              </w:rPr>
            </w:pPr>
            <w:r>
              <w:rPr>
                <w:caps w:val="false"/>
                <w:smallCaps w:val="false"/>
              </w:rPr>
              <w:t> </w:t>
            </w:r>
          </w:p>
        </w:tc>
        <w:tc>
          <w:tcPr>
            <w:tcW w:w="942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9" w:type="dxa"/>
            <w:tcBorders/>
            <w:vAlign w:val="center"/>
          </w:tcPr>
          <w:p>
            <w:pPr>
              <w:pStyle w:val="TableContents"/>
              <w:bidi w:val="0"/>
              <w:spacing w:before="0" w:after="283"/>
              <w:jc w:val="left"/>
              <w:rPr>
                <w:caps w:val="false"/>
                <w:smallCaps w:val="false"/>
              </w:rPr>
            </w:pPr>
            <w:r>
              <w:rPr>
                <w:caps w:val="false"/>
                <w:smallCaps w:val="false"/>
              </w:rPr>
              <w:t> </w:t>
            </w:r>
          </w:p>
        </w:tc>
        <w:tc>
          <w:tcPr>
            <w:tcW w:w="487" w:type="dxa"/>
            <w:tcBorders/>
            <w:vAlign w:val="center"/>
          </w:tcPr>
          <w:p>
            <w:pPr>
              <w:pStyle w:val="TableContents"/>
              <w:bidi w:val="0"/>
              <w:spacing w:before="0" w:after="283"/>
              <w:jc w:val="left"/>
              <w:rPr>
                <w:caps w:val="false"/>
                <w:smallCaps w:val="false"/>
              </w:rPr>
            </w:pPr>
            <w:r>
              <w:rPr>
                <w:caps w:val="false"/>
                <w:smallCaps w:val="false"/>
              </w:rPr>
              <w:t>☐</w:t>
            </w:r>
          </w:p>
        </w:tc>
        <w:tc>
          <w:tcPr>
            <w:tcW w:w="94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amendment to Schedule 13D under Rule 13d-2. </w:t>
            </w:r>
          </w:p>
        </w:tc>
      </w:tr>
      <w:tr>
        <w:trPr/>
        <w:tc>
          <w:tcPr>
            <w:tcW w:w="289" w:type="dxa"/>
            <w:tcBorders/>
            <w:vAlign w:val="center"/>
          </w:tcPr>
          <w:p>
            <w:pPr>
              <w:pStyle w:val="TableContents"/>
              <w:bidi w:val="0"/>
              <w:spacing w:before="0" w:after="283"/>
              <w:jc w:val="left"/>
              <w:rPr>
                <w:caps w:val="false"/>
                <w:smallCaps w:val="false"/>
              </w:rPr>
            </w:pPr>
            <w:r>
              <w:rPr>
                <w:caps w:val="false"/>
                <w:smallCaps w:val="false"/>
              </w:rPr>
              <w:t> </w:t>
            </w:r>
          </w:p>
        </w:tc>
        <w:tc>
          <w:tcPr>
            <w:tcW w:w="487" w:type="dxa"/>
            <w:tcBorders/>
            <w:vAlign w:val="center"/>
          </w:tcPr>
          <w:p>
            <w:pPr>
              <w:pStyle w:val="TableContents"/>
              <w:bidi w:val="0"/>
              <w:spacing w:before="0" w:after="283"/>
              <w:jc w:val="left"/>
              <w:rPr>
                <w:caps w:val="false"/>
                <w:smallCaps w:val="false"/>
              </w:rPr>
            </w:pPr>
            <w:r>
              <w:rPr>
                <w:caps w:val="false"/>
                <w:smallCaps w:val="false"/>
              </w:rPr>
              <w:t> </w:t>
            </w:r>
          </w:p>
        </w:tc>
        <w:tc>
          <w:tcPr>
            <w:tcW w:w="942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205"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following box if the filing is a final amendment reporting the results of the tender offer.  ☐</w:t>
            </w:r>
          </w:p>
        </w:tc>
      </w:tr>
      <w:tr>
        <w:trPr/>
        <w:tc>
          <w:tcPr>
            <w:tcW w:w="10205"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10205"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applicable, check the appropriate box(es) below to designate the appropriate rule provision(s) relied upon: </w:t>
            </w:r>
          </w:p>
        </w:tc>
      </w:tr>
      <w:tr>
        <w:trPr/>
        <w:tc>
          <w:tcPr>
            <w:tcW w:w="10205"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289" w:type="dxa"/>
            <w:tcBorders/>
            <w:vAlign w:val="center"/>
          </w:tcPr>
          <w:p>
            <w:pPr>
              <w:pStyle w:val="TableContents"/>
              <w:bidi w:val="0"/>
              <w:spacing w:before="0" w:after="283"/>
              <w:jc w:val="left"/>
              <w:rPr>
                <w:caps w:val="false"/>
                <w:smallCaps w:val="false"/>
              </w:rPr>
            </w:pPr>
            <w:r>
              <w:rPr>
                <w:caps w:val="false"/>
                <w:smallCaps w:val="false"/>
              </w:rPr>
              <w:t> </w:t>
            </w:r>
          </w:p>
        </w:tc>
        <w:tc>
          <w:tcPr>
            <w:tcW w:w="487" w:type="dxa"/>
            <w:tcBorders/>
            <w:vAlign w:val="center"/>
          </w:tcPr>
          <w:p>
            <w:pPr>
              <w:pStyle w:val="TableContents"/>
              <w:bidi w:val="0"/>
              <w:spacing w:before="0" w:after="283"/>
              <w:jc w:val="left"/>
              <w:rPr>
                <w:caps w:val="false"/>
                <w:smallCaps w:val="false"/>
              </w:rPr>
            </w:pPr>
            <w:r>
              <w:rPr>
                <w:caps w:val="false"/>
                <w:smallCaps w:val="false"/>
              </w:rPr>
              <w:t>☐</w:t>
            </w:r>
          </w:p>
        </w:tc>
        <w:tc>
          <w:tcPr>
            <w:tcW w:w="94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Rule 13e-4(i) (Cross-Border Issuer Tender Offer) </w:t>
            </w:r>
          </w:p>
        </w:tc>
      </w:tr>
      <w:tr>
        <w:trPr/>
        <w:tc>
          <w:tcPr>
            <w:tcW w:w="289" w:type="dxa"/>
            <w:tcBorders/>
            <w:vAlign w:val="center"/>
          </w:tcPr>
          <w:p>
            <w:pPr>
              <w:pStyle w:val="TableContents"/>
              <w:bidi w:val="0"/>
              <w:spacing w:before="0" w:after="283"/>
              <w:jc w:val="left"/>
              <w:rPr>
                <w:caps w:val="false"/>
                <w:smallCaps w:val="false"/>
              </w:rPr>
            </w:pPr>
            <w:r>
              <w:rPr>
                <w:caps w:val="false"/>
                <w:smallCaps w:val="false"/>
              </w:rPr>
              <w:t> </w:t>
            </w:r>
          </w:p>
        </w:tc>
        <w:tc>
          <w:tcPr>
            <w:tcW w:w="487" w:type="dxa"/>
            <w:tcBorders/>
            <w:vAlign w:val="center"/>
          </w:tcPr>
          <w:p>
            <w:pPr>
              <w:pStyle w:val="TableContents"/>
              <w:bidi w:val="0"/>
              <w:spacing w:before="0" w:after="283"/>
              <w:jc w:val="left"/>
              <w:rPr>
                <w:caps w:val="false"/>
                <w:smallCaps w:val="false"/>
              </w:rPr>
            </w:pPr>
            <w:r>
              <w:rPr>
                <w:caps w:val="false"/>
                <w:smallCaps w:val="false"/>
              </w:rPr>
              <w:t> </w:t>
            </w:r>
          </w:p>
        </w:tc>
        <w:tc>
          <w:tcPr>
            <w:tcW w:w="942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9" w:type="dxa"/>
            <w:tcBorders/>
            <w:vAlign w:val="center"/>
          </w:tcPr>
          <w:p>
            <w:pPr>
              <w:pStyle w:val="TableContents"/>
              <w:bidi w:val="0"/>
              <w:spacing w:before="0" w:after="283"/>
              <w:jc w:val="left"/>
              <w:rPr>
                <w:caps w:val="false"/>
                <w:smallCaps w:val="false"/>
              </w:rPr>
            </w:pPr>
            <w:r>
              <w:rPr>
                <w:caps w:val="false"/>
                <w:smallCaps w:val="false"/>
              </w:rPr>
              <w:t> </w:t>
            </w:r>
          </w:p>
        </w:tc>
        <w:tc>
          <w:tcPr>
            <w:tcW w:w="487" w:type="dxa"/>
            <w:tcBorders/>
            <w:vAlign w:val="center"/>
          </w:tcPr>
          <w:p>
            <w:pPr>
              <w:pStyle w:val="TableContents"/>
              <w:bidi w:val="0"/>
              <w:spacing w:before="0" w:after="283"/>
              <w:jc w:val="left"/>
              <w:rPr>
                <w:caps w:val="false"/>
                <w:smallCaps w:val="false"/>
              </w:rPr>
            </w:pPr>
            <w:r>
              <w:rPr>
                <w:caps w:val="false"/>
                <w:smallCaps w:val="false"/>
              </w:rPr>
              <w:t>☐</w:t>
            </w:r>
          </w:p>
        </w:tc>
        <w:tc>
          <w:tcPr>
            <w:tcW w:w="94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14d-1(d) (Cross-Border Third-Party Tender Offer)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Amendment No. 6 (“Final Amendment”) constitutes Amendment No. 5 to, and amends and supplements, the Tender Offer Statement on Schedule TO (as amended, together with all exhibits thereto including Exhibits (a)(1)(A) and (a)(1)(B), the “Schedule TO”) originally filed with the Securities and Exchange Commission (the “SEC”) on May 12, 2026 by Camac Fund, LP, a Delaware limited partnership (“Camac Fund”), and Zodiac Partners II, LLC, a Delaware limited liability company (the “Purchaser”, “Zodiac Partners II, LLC”) and an acquisition entity of Camac Fund, The Schedule TO relates to the offer by the Purchaser to purchase all outstanding shares of common stock, par value $0.01 per share, of Destination XL Group, Inc., a Delaware corporation, at $0.84 per Share, to the seller in cash, without interest and less any required withholding taxes, upon the terms and subject to the conditions set forth in the Offer to Purchase, originally dated May 12, 2026 (the “Offer to Purchase”), and in the accompanying Letter of Transmittal, copies of which were previously filed as Exhibits (a)(1)(A) and (a)(1)(B), respectively, which, together with any amendments or supplements thereto, collectively constitute the “Offer”.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Final Amendment is being filed to amend and supplement the Schedule TO. Except as amended hereby to the extent specifically provided herein, all terms of the Offer and all other disclosures set forth in the Schedule TO and the exhibits thereto remain unchanged and are hereby expressly incorporated herein by reference. Capitalized terms used and not otherwise defined in this Final Amendment shall have the meanings assigned to such terms in the Schedule TO.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Final Amendment is being filed to report the final results of the Offer, which has expired in accordance with its terms. All information set forth in the Offer to Purchase and the Schedule TO is expressly incorporated by reference herein.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information is provided with respect to the results of the Offer: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6"/>
        <w:gridCol w:w="191"/>
        <w:gridCol w:w="9918"/>
      </w:tblGrid>
      <w:tr>
        <w:trPr/>
        <w:tc>
          <w:tcPr>
            <w:tcW w:w="96"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91"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9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Offer expired at 5:00 PM, Eastern time, at the end of the day on August 21, 2026. </w:t>
            </w:r>
          </w:p>
        </w:tc>
      </w:tr>
      <w:tr>
        <w:trPr/>
        <w:tc>
          <w:tcPr>
            <w:tcW w:w="96"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91"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9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Based on the final count provided by the Depositary, 12,450,814 Shares, representing approximately 23% of the outstanding Shares, were validly tendered and not properly withdrawn prior to the Expiration Time. </w:t>
            </w:r>
          </w:p>
        </w:tc>
      </w:tr>
      <w:tr>
        <w:trPr/>
        <w:tc>
          <w:tcPr>
            <w:tcW w:w="96"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91"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9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conditions to the Offer, including the Minimum Tender Condition, were not satisfied as of the Expiration Time. Accordingly, the Purchaser has not accepted for purchase, and will not accept for purchase, any Shares tendered pursuant to the Offer, and no consideration will be paid to any tendering stockholder. </w:t>
            </w:r>
          </w:p>
        </w:tc>
      </w:tr>
      <w:tr>
        <w:trPr/>
        <w:tc>
          <w:tcPr>
            <w:tcW w:w="96"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91"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9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accordance with the terms of the Offer and Rule 14e-1(c) under the Securities Exchange Act of 1934, as amended, all Shares previously tendered and not withdrawn will be promptly returned to the tendering stockholders. The Offer has expired and terminated, and no Shares will be purchased thereunder.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Item 1. Summary Term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the Offer to Purchase under the caption SUMMARY TERM SHEET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Item 2. Subject Company Information.</w:t>
      </w:r>
    </w:p>
    <w:p>
      <w:pPr>
        <w:pStyle w:val="TextBody"/>
        <w:bidi w:val="0"/>
        <w:spacing w:before="0" w:after="0"/>
        <w:ind w:left="0" w:right="0" w:hanging="0"/>
        <w:jc w:val="left"/>
        <w:rPr>
          <w:caps w:val="false"/>
          <w:smallCaps w:val="false"/>
        </w:rPr>
      </w:pPr>
      <w:r>
        <w:rPr>
          <w:caps w:val="false"/>
          <w:smallCaps w:val="false"/>
        </w:rPr>
        <w:t> </w:t>
      </w:r>
    </w:p>
    <w:tbl>
      <w:tblPr>
        <w:tblW w:w="9190" w:type="dxa"/>
        <w:jc w:val="left"/>
        <w:tblInd w:w="0" w:type="dxa"/>
        <w:tblLayout w:type="fixed"/>
        <w:tblCellMar>
          <w:top w:w="0" w:type="dxa"/>
          <w:left w:w="0" w:type="dxa"/>
          <w:bottom w:w="0" w:type="dxa"/>
          <w:right w:w="0" w:type="dxa"/>
        </w:tblCellMar>
      </w:tblPr>
      <w:tblGrid>
        <w:gridCol w:w="245"/>
        <w:gridCol w:w="8945"/>
      </w:tblGrid>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8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name, address, and telephone number of the subject company’s principal executive offices are as follows: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Destination XL Group, Inc.</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555 Turnpike Street</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Canton, MA 02021</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Schedule TO relates to the Offer by the Purchaser to purchase all of the issued and outstanding Shares. According to DXL’s Annual Report on Form 10-K filed with the Securities and Exchange Commission on March 19, 2026 (the “DXL FY2025 Form 10-K”), as of March 9, 2026 there were 54,810,511 Shares issued and outstanding, and based on the Purchaser’s review of the DXL FY2025 Form 10-K, we believe as of January 31, 2026, there were approximately 44,000 stock options to purchase Shares, and 1,259,000 restricted stock units outstanding.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information set forth under the caption THE OFFER - Section 6 (“Price Range of Shares; Dividends”) and Section 11 (“Background of the Offer”) of the Offer to Purchase is incorporated herein by reference.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Item 3.</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 xml:space="preserve">Identity and Background of Filing Person.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1"/>
        <w:gridCol w:w="9824"/>
      </w:tblGrid>
      <w:tr>
        <w:trPr/>
        <w:tc>
          <w:tcPr>
            <w:tcW w:w="3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w:t>
            </w:r>
          </w:p>
        </w:tc>
        <w:tc>
          <w:tcPr>
            <w:tcW w:w="982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filing companies of this Schedule TO are (i) Camac Fund LP, and (ii) the Purchaser, Zodiac Partners II, LLC. The information set forth in the Offer to Purchase under the following captions is incorporated herein by reference: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TERM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 Section 9 (“Certain Information Concerning the Purchaser, Zodiac Partners II, LLC, and Camac Fund, LP”) and Schedule I attached thereto.</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Item 4.</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 xml:space="preserve">Terms of the Transaction.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(a)(1)(i)-(viii), (x), (xii), (a)(2) The information set forth in the Offer to Purchase is incorporated herein by reference.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Subsections (a)(1)(ix) and (xi) are 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Item 5. Past Contacts, Transactions, Negotiations and Agreements.</w:t>
      </w:r>
    </w:p>
    <w:p>
      <w:pPr>
        <w:pStyle w:val="TextBody"/>
        <w:bidi w:val="0"/>
        <w:spacing w:before="0" w:after="0"/>
        <w:ind w:left="0" w:right="0" w:hanging="0"/>
        <w:jc w:val="left"/>
        <w:rPr>
          <w:caps w:val="false"/>
          <w:smallCaps w:val="false"/>
        </w:rPr>
      </w:pPr>
      <w:r>
        <w:rPr>
          <w:caps w:val="false"/>
          <w:smallCaps w:val="false"/>
        </w:rPr>
        <w:t> </w:t>
      </w:r>
    </w:p>
    <w:tbl>
      <w:tblPr>
        <w:tblW w:w="9895" w:type="dxa"/>
        <w:jc w:val="left"/>
        <w:tblInd w:w="0" w:type="dxa"/>
        <w:tblLayout w:type="fixed"/>
        <w:tblCellMar>
          <w:top w:w="0" w:type="dxa"/>
          <w:left w:w="0" w:type="dxa"/>
          <w:bottom w:w="0" w:type="dxa"/>
          <w:right w:w="0" w:type="dxa"/>
        </w:tblCellMar>
      </w:tblPr>
      <w:tblGrid>
        <w:gridCol w:w="560"/>
        <w:gridCol w:w="933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w:t>
            </w:r>
          </w:p>
        </w:tc>
        <w:tc>
          <w:tcPr>
            <w:tcW w:w="9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information set forth in the Offer to Purchase under the following captions is incorporated herein by reference: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TERM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INTRODUCTION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 Section 9 (“Certain Information Concerning the Purchaser, Zodiac Partners II, LLC, and Camac Fund, LP”) and Schedule I attached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 Section 10 (“Source and Amount of Funds”) and Schedule I attached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 Section 11 (“Background of the Offer”)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 Section 12 (“Purpose of the Offer and the Proposed Merger; Plans for DXL; Statutory Requirements; Approval of the Proposed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Item 6. Purposes of the Transaction and Plans or Proposals.</w:t>
      </w:r>
    </w:p>
    <w:p>
      <w:pPr>
        <w:pStyle w:val="TextBody"/>
        <w:bidi w:val="0"/>
        <w:spacing w:before="0" w:after="0"/>
        <w:ind w:left="0" w:right="0" w:hanging="0"/>
        <w:jc w:val="left"/>
        <w:rPr>
          <w:caps w:val="false"/>
          <w:smallCaps w:val="false"/>
        </w:rPr>
      </w:pPr>
      <w:r>
        <w:rPr>
          <w:caps w:val="false"/>
          <w:smallCaps w:val="false"/>
        </w:rPr>
        <w:t> </w:t>
      </w:r>
    </w:p>
    <w:tbl>
      <w:tblPr>
        <w:tblW w:w="9580" w:type="dxa"/>
        <w:jc w:val="left"/>
        <w:tblInd w:w="0" w:type="dxa"/>
        <w:tblLayout w:type="fixed"/>
        <w:tblCellMar>
          <w:top w:w="0" w:type="dxa"/>
          <w:left w:w="0" w:type="dxa"/>
          <w:bottom w:w="0" w:type="dxa"/>
          <w:right w:w="0" w:type="dxa"/>
        </w:tblCellMar>
      </w:tblPr>
      <w:tblGrid>
        <w:gridCol w:w="245"/>
        <w:gridCol w:w="9335"/>
      </w:tblGrid>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information set forth in the Offer to Purchase under the following captions is incorporated herein by reference: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TERM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INTRODUCTION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 Section 12 (“Purpose of the Offer and the Proposed Merger; Plans for DXL; Statutory Requirements; Approval of the Proposed Merger”)</w:t>
      </w:r>
    </w:p>
    <w:p>
      <w:pPr>
        <w:pStyle w:val="TextBody"/>
        <w:bidi w:val="0"/>
        <w:spacing w:before="0" w:after="0"/>
        <w:ind w:left="0" w:right="0" w:hanging="0"/>
        <w:jc w:val="left"/>
        <w:rPr>
          <w:caps w:val="false"/>
          <w:smallCaps w:val="false"/>
        </w:rPr>
      </w:pPr>
      <w:r>
        <w:rPr>
          <w:caps w:val="false"/>
          <w:smallCaps w:val="false"/>
        </w:rPr>
        <w:t> </w:t>
      </w:r>
    </w:p>
    <w:tbl>
      <w:tblPr>
        <w:tblW w:w="10135" w:type="dxa"/>
        <w:jc w:val="left"/>
        <w:tblInd w:w="0" w:type="dxa"/>
        <w:tblLayout w:type="fixed"/>
        <w:tblCellMar>
          <w:top w:w="0" w:type="dxa"/>
          <w:left w:w="0" w:type="dxa"/>
          <w:bottom w:w="0" w:type="dxa"/>
          <w:right w:w="0" w:type="dxa"/>
        </w:tblCellMar>
      </w:tblPr>
      <w:tblGrid>
        <w:gridCol w:w="800"/>
        <w:gridCol w:w="9335"/>
      </w:tblGrid>
      <w:tr>
        <w:trPr/>
        <w:tc>
          <w:tcPr>
            <w:tcW w:w="8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(1)-(7)</w:t>
            </w:r>
          </w:p>
        </w:tc>
        <w:tc>
          <w:tcPr>
            <w:tcW w:w="9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information set forth in the Offer to Purchase under the following captions is incorporated herein by reference: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TERM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INTRODUCTION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 Section 7 (“Possible Effects of the Offer on the Market for the Shares; Stock Exchange Listing; Registration Under the Exchange Act; Margin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 Section 11 (“Background of the Offer”)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 Section 13 (“Dividends and Distributions”)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Item 7. Source and Amount of Funds or Other Consideration.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74"/>
        <w:gridCol w:w="9331"/>
      </w:tblGrid>
      <w:tr>
        <w:trPr/>
        <w:tc>
          <w:tcPr>
            <w:tcW w:w="8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 (d)</w:t>
            </w:r>
          </w:p>
        </w:tc>
        <w:tc>
          <w:tcPr>
            <w:tcW w:w="93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information set forth in the Offer to Purchase under the following captions is incorporated herein by reference: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TERM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 Section 10 (“Source and Amount of Funds”)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 Section 17 (“Fees and Expenses”)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Item 8. Interest in Securities of the Subject Company.</w:t>
      </w:r>
    </w:p>
    <w:p>
      <w:pPr>
        <w:pStyle w:val="TextBody"/>
        <w:bidi w:val="0"/>
        <w:spacing w:before="0" w:after="0"/>
        <w:ind w:left="0" w:right="0" w:hanging="0"/>
        <w:jc w:val="left"/>
        <w:rPr>
          <w:caps w:val="false"/>
          <w:smallCaps w:val="false"/>
        </w:rPr>
      </w:pPr>
      <w:r>
        <w:rPr>
          <w:caps w:val="false"/>
          <w:smallCaps w:val="false"/>
        </w:rPr>
        <w:t> </w:t>
      </w:r>
    </w:p>
    <w:tbl>
      <w:tblPr>
        <w:tblW w:w="9895" w:type="dxa"/>
        <w:jc w:val="left"/>
        <w:tblInd w:w="0" w:type="dxa"/>
        <w:tblLayout w:type="fixed"/>
        <w:tblCellMar>
          <w:top w:w="0" w:type="dxa"/>
          <w:left w:w="0" w:type="dxa"/>
          <w:bottom w:w="0" w:type="dxa"/>
          <w:right w:w="0" w:type="dxa"/>
        </w:tblCellMar>
      </w:tblPr>
      <w:tblGrid>
        <w:gridCol w:w="560"/>
        <w:gridCol w:w="933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w:t>
            </w:r>
          </w:p>
        </w:tc>
        <w:tc>
          <w:tcPr>
            <w:tcW w:w="9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information set forth in the Offer to Purchase under the following captions is incorporated herein by reference: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 Section 9 (“Certain Information Concerning the Purchaser, Zodiac Partners II, LLC, and Camac Fund, LP”) and Schedule I attached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 Section 11 (“Background of the Offer”)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Item 9. Persons/Assets, Retained, Employed, Compensated or Used.</w:t>
      </w:r>
    </w:p>
    <w:p>
      <w:pPr>
        <w:pStyle w:val="TextBody"/>
        <w:bidi w:val="0"/>
        <w:spacing w:before="0" w:after="0"/>
        <w:ind w:left="0" w:right="0" w:hanging="0"/>
        <w:jc w:val="left"/>
        <w:rPr>
          <w:caps w:val="false"/>
          <w:smallCaps w:val="false"/>
        </w:rPr>
      </w:pPr>
      <w:r>
        <w:rPr>
          <w:caps w:val="false"/>
          <w:smallCaps w:val="false"/>
        </w:rPr>
        <w:t> </w:t>
      </w:r>
    </w:p>
    <w:tbl>
      <w:tblPr>
        <w:tblW w:w="9580" w:type="dxa"/>
        <w:jc w:val="left"/>
        <w:tblInd w:w="0" w:type="dxa"/>
        <w:tblLayout w:type="fixed"/>
        <w:tblCellMar>
          <w:top w:w="0" w:type="dxa"/>
          <w:left w:w="0" w:type="dxa"/>
          <w:bottom w:w="0" w:type="dxa"/>
          <w:right w:w="0" w:type="dxa"/>
        </w:tblCellMar>
      </w:tblPr>
      <w:tblGrid>
        <w:gridCol w:w="245"/>
        <w:gridCol w:w="9335"/>
      </w:tblGrid>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information set forth in the Offer to Purchase under the following captions is incorporated herein by reference: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TERM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 Section 2 (“Acceptance for Payment and Payment for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 Section 3 (“Procedure for Tendering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 Section 11 (“Background of the Offer”)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 Section 17 (“Fees and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Item 10. Financial Statements.</w:t>
      </w:r>
    </w:p>
    <w:p>
      <w:pPr>
        <w:pStyle w:val="TextBody"/>
        <w:bidi w:val="0"/>
        <w:spacing w:before="0" w:after="0"/>
        <w:ind w:left="0" w:right="0" w:hanging="0"/>
        <w:jc w:val="left"/>
        <w:rPr>
          <w:caps w:val="false"/>
          <w:smallCaps w:val="false"/>
        </w:rPr>
      </w:pPr>
      <w:r>
        <w:rPr>
          <w:caps w:val="false"/>
          <w:smallCaps w:val="false"/>
        </w:rPr>
        <w:t> </w:t>
      </w:r>
    </w:p>
    <w:tbl>
      <w:tblPr>
        <w:tblW w:w="1570" w:type="dxa"/>
        <w:jc w:val="left"/>
        <w:tblInd w:w="0" w:type="dxa"/>
        <w:tblLayout w:type="fixed"/>
        <w:tblCellMar>
          <w:top w:w="0" w:type="dxa"/>
          <w:left w:w="0" w:type="dxa"/>
          <w:bottom w:w="0" w:type="dxa"/>
          <w:right w:w="0" w:type="dxa"/>
        </w:tblCellMar>
      </w:tblPr>
      <w:tblGrid>
        <w:gridCol w:w="245"/>
        <w:gridCol w:w="1325"/>
      </w:tblGrid>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 applicable. </w:t>
            </w:r>
          </w:p>
        </w:tc>
      </w:tr>
    </w:tbl>
    <w:p>
      <w:pPr>
        <w:pStyle w:val="TextBody"/>
        <w:bidi w:val="0"/>
        <w:spacing w:before="0" w:after="0"/>
        <w:ind w:left="0" w:right="0" w:hanging="0"/>
        <w:jc w:val="left"/>
        <w:rPr>
          <w:caps w:val="false"/>
          <w:smallCaps w:val="false"/>
        </w:rPr>
      </w:pPr>
      <w:r>
        <w:rPr>
          <w:caps w:val="false"/>
          <w:smallCaps w:val="false"/>
        </w:rPr>
        <w:t> </w:t>
      </w:r>
    </w:p>
    <w:tbl>
      <w:tblPr>
        <w:tblW w:w="1585" w:type="dxa"/>
        <w:jc w:val="left"/>
        <w:tblInd w:w="0" w:type="dxa"/>
        <w:tblLayout w:type="fixed"/>
        <w:tblCellMar>
          <w:top w:w="0" w:type="dxa"/>
          <w:left w:w="0" w:type="dxa"/>
          <w:bottom w:w="0" w:type="dxa"/>
          <w:right w:w="0" w:type="dxa"/>
        </w:tblCellMar>
      </w:tblPr>
      <w:tblGrid>
        <w:gridCol w:w="260"/>
        <w:gridCol w:w="1325"/>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1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 applicable.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Item 11. Additional Information.</w:t>
      </w:r>
    </w:p>
    <w:p>
      <w:pPr>
        <w:pStyle w:val="TextBody"/>
        <w:bidi w:val="0"/>
        <w:spacing w:before="0" w:after="0"/>
        <w:ind w:left="0" w:right="0" w:hanging="0"/>
        <w:jc w:val="left"/>
        <w:rPr>
          <w:caps w:val="false"/>
          <w:smallCaps w:val="false"/>
        </w:rPr>
      </w:pPr>
      <w:r>
        <w:rPr>
          <w:caps w:val="false"/>
          <w:smallCaps w:val="false"/>
        </w:rPr>
        <w:t> </w:t>
      </w:r>
    </w:p>
    <w:tbl>
      <w:tblPr>
        <w:tblW w:w="9580" w:type="dxa"/>
        <w:jc w:val="left"/>
        <w:tblInd w:w="0" w:type="dxa"/>
        <w:tblLayout w:type="fixed"/>
        <w:tblCellMar>
          <w:top w:w="0" w:type="dxa"/>
          <w:left w:w="0" w:type="dxa"/>
          <w:bottom w:w="0" w:type="dxa"/>
          <w:right w:w="0" w:type="dxa"/>
        </w:tblCellMar>
      </w:tblPr>
      <w:tblGrid>
        <w:gridCol w:w="245"/>
        <w:gridCol w:w="9335"/>
      </w:tblGrid>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information set forth in the Offer to Purchase under the following captions is incorporated herein by reference: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TERM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 Section 7 (“Possible Effects of the Offer on the Market for the Shares; Stock Exchange Listing; Registration Under the Exchange Act; Margin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 Section 11 (“Background of the Offer”)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 Section 12 (“Purpose of the Offer and the Proposed Merger; Plans for DXL; Statutory Requirements; Approval of the Proposed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 Section 14 (“Conditions of the Offer”)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 Section 15 (“Certain Legal Matters; Regulatory Approvals; Appraisal Rights”)</w:t>
      </w:r>
    </w:p>
    <w:p>
      <w:pPr>
        <w:pStyle w:val="TextBody"/>
        <w:bidi w:val="0"/>
        <w:spacing w:before="0" w:after="0"/>
        <w:ind w:left="0" w:right="0" w:hanging="0"/>
        <w:jc w:val="left"/>
        <w:rPr>
          <w:caps w:val="false"/>
          <w:smallCaps w:val="false"/>
        </w:rPr>
      </w:pPr>
      <w:r>
        <w:rPr>
          <w:caps w:val="false"/>
          <w:smallCaps w:val="false"/>
        </w:rPr>
        <w:t> </w:t>
      </w:r>
    </w:p>
    <w:tbl>
      <w:tblPr>
        <w:tblW w:w="9490" w:type="dxa"/>
        <w:jc w:val="left"/>
        <w:tblInd w:w="0" w:type="dxa"/>
        <w:tblLayout w:type="fixed"/>
        <w:tblCellMar>
          <w:top w:w="0" w:type="dxa"/>
          <w:left w:w="0" w:type="dxa"/>
          <w:bottom w:w="0" w:type="dxa"/>
          <w:right w:w="0" w:type="dxa"/>
        </w:tblCellMar>
      </w:tblPr>
      <w:tblGrid>
        <w:gridCol w:w="245"/>
        <w:gridCol w:w="9245"/>
      </w:tblGrid>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the Offer to Purchase and the Letter of Transmittal is incorporated herein by reference.</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Item 12.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48"/>
        <w:gridCol w:w="234"/>
        <w:gridCol w:w="9223"/>
      </w:tblGrid>
      <w:tr>
        <w:trPr/>
        <w:tc>
          <w:tcPr>
            <w:tcW w:w="748"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Exhibit </w:t>
            </w:r>
          </w:p>
        </w:tc>
        <w:tc>
          <w:tcPr>
            <w:tcW w:w="23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23"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Description </w:t>
            </w:r>
          </w:p>
        </w:tc>
      </w:tr>
      <w:tr>
        <w:trPr/>
        <w:tc>
          <w:tcPr>
            <w:tcW w:w="74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(a)(1)(A)</w:t>
            </w:r>
          </w:p>
        </w:tc>
        <w:tc>
          <w:tcPr>
            <w:tcW w:w="23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23" w:type="dxa"/>
            <w:tcBorders/>
            <w:shd w:fill="CCEEFF" w:val="clear"/>
            <w:tcMar>
              <w:bottom w:w="0" w:type="dxa"/>
            </w:tcMar>
            <w:vAlign w:val="center"/>
          </w:tcPr>
          <w:p>
            <w:pPr>
              <w:pStyle w:val="TableContents"/>
              <w:bidi w:val="0"/>
              <w:spacing w:before="0" w:after="283"/>
              <w:jc w:val="both"/>
              <w:rPr/>
            </w:pPr>
            <w:hyperlink r:id="rId2">
              <w:r>
                <w:rPr>
                  <w:rStyle w:val="InternetLink"/>
                  <w:rFonts w:ascii="Times New Roman;Times;Serif" w:hAnsi="Times New Roman;Times;Serif"/>
                  <w:b w:val="false"/>
                  <w:i w:val="false"/>
                  <w:caps w:val="false"/>
                  <w:smallCaps w:val="false"/>
                  <w:sz w:val="20"/>
                </w:rPr>
                <w:t>Amended Offer to Purchase, dated July 27, 2026.</w:t>
              </w:r>
            </w:hyperlink>
          </w:p>
        </w:tc>
      </w:tr>
      <w:tr>
        <w:trPr/>
        <w:tc>
          <w:tcPr>
            <w:tcW w:w="748"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(a)(1)(B)</w:t>
            </w:r>
          </w:p>
        </w:tc>
        <w:tc>
          <w:tcPr>
            <w:tcW w:w="23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23" w:type="dxa"/>
            <w:tcBorders/>
            <w:shd w:fill="FFFFFF" w:val="clear"/>
            <w:tcMar>
              <w:bottom w:w="0" w:type="dxa"/>
            </w:tcMar>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rPr>
                <w:t>Amended Form of Letter of Transmittal.</w:t>
              </w:r>
            </w:hyperlink>
          </w:p>
        </w:tc>
      </w:tr>
      <w:tr>
        <w:trPr/>
        <w:tc>
          <w:tcPr>
            <w:tcW w:w="74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(a)(5)(A)</w:t>
            </w:r>
          </w:p>
        </w:tc>
        <w:tc>
          <w:tcPr>
            <w:tcW w:w="23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23" w:type="dxa"/>
            <w:tcBorders/>
            <w:shd w:fill="CCEEFF" w:val="clear"/>
            <w:tcMar>
              <w:bottom w:w="0" w:type="dxa"/>
            </w:tcMar>
            <w:vAlign w:val="center"/>
          </w:tcPr>
          <w:p>
            <w:pPr>
              <w:pStyle w:val="TableContents"/>
              <w:bidi w:val="0"/>
              <w:spacing w:before="0" w:after="283"/>
              <w:jc w:val="both"/>
              <w:rPr/>
            </w:pPr>
            <w:hyperlink r:id="rId4">
              <w:r>
                <w:rPr>
                  <w:rStyle w:val="InternetLink"/>
                  <w:rFonts w:ascii="Times New Roman;Times;Serif" w:hAnsi="Times New Roman;Times;Serif"/>
                  <w:b w:val="false"/>
                  <w:i w:val="false"/>
                  <w:caps w:val="false"/>
                  <w:smallCaps w:val="false"/>
                  <w:sz w:val="20"/>
                </w:rPr>
                <w:t>Press Release Issued by Zodiac Partners II, LLC on May 12, 2026.</w:t>
              </w:r>
            </w:hyperlink>
          </w:p>
        </w:tc>
      </w:tr>
      <w:tr>
        <w:trPr/>
        <w:tc>
          <w:tcPr>
            <w:tcW w:w="748"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23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23" w:type="dxa"/>
            <w:tcBorders/>
            <w:shd w:fill="FFFFFF" w:val="clear"/>
            <w:tcMar>
              <w:bottom w:w="0" w:type="dxa"/>
            </w:tcMar>
            <w:vAlign w:val="center"/>
          </w:tcPr>
          <w:p>
            <w:pPr>
              <w:pStyle w:val="TableContents"/>
              <w:bidi w:val="0"/>
              <w:spacing w:before="0" w:after="283"/>
              <w:jc w:val="both"/>
              <w:rPr/>
            </w:pPr>
            <w:hyperlink r:id="rId5">
              <w:r>
                <w:rPr>
                  <w:rStyle w:val="InternetLink"/>
                  <w:rFonts w:ascii="Times New Roman;Times;Serif" w:hAnsi="Times New Roman;Times;Serif"/>
                  <w:b w:val="false"/>
                  <w:i w:val="false"/>
                  <w:caps w:val="false"/>
                  <w:smallCaps w:val="false"/>
                  <w:sz w:val="20"/>
                </w:rPr>
                <w:t>Equity Commitment Letter between Zodiac Partners II, LLC and Camac Fund LP, dated May 11, 2026.</w:t>
              </w:r>
            </w:hyperlink>
          </w:p>
        </w:tc>
      </w:tr>
      <w:tr>
        <w:trPr/>
        <w:tc>
          <w:tcPr>
            <w:tcW w:w="74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23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23" w:type="dxa"/>
            <w:tcBorders/>
            <w:shd w:fill="CCEEFF" w:val="clear"/>
            <w:tcMar>
              <w:bottom w:w="0" w:type="dxa"/>
            </w:tcMar>
            <w:vAlign w:val="center"/>
          </w:tcPr>
          <w:p>
            <w:pPr>
              <w:pStyle w:val="TableContents"/>
              <w:bidi w:val="0"/>
              <w:spacing w:before="0" w:after="283"/>
              <w:jc w:val="both"/>
              <w:rPr/>
            </w:pPr>
            <w:hyperlink r:id="rId6">
              <w:r>
                <w:rPr>
                  <w:rStyle w:val="InternetLink"/>
                  <w:rFonts w:ascii="Times New Roman;Times;Serif" w:hAnsi="Times New Roman;Times;Serif"/>
                  <w:b w:val="false"/>
                  <w:i w:val="false"/>
                  <w:caps w:val="false"/>
                  <w:smallCaps w:val="false"/>
                  <w:sz w:val="20"/>
                </w:rPr>
                <w:t>Indicative $75 million Revolving Credit Facility Term Sheet (confidential treatment has been requested for certain portions of this exhibit).</w:t>
              </w:r>
            </w:hyperlink>
            <w:r>
              <w:rPr>
                <w:rFonts w:ascii="Times New Roman;Times;Serif" w:hAnsi="Times New Roman;Times;Serif"/>
                <w:b w:val="false"/>
                <w:i w:val="false"/>
                <w:caps w:val="false"/>
                <w:smallCaps w:val="false"/>
                <w:sz w:val="20"/>
              </w:rPr>
              <w:t xml:space="preserve"> </w:t>
            </w:r>
          </w:p>
        </w:tc>
      </w:tr>
      <w:tr>
        <w:trPr/>
        <w:tc>
          <w:tcPr>
            <w:tcW w:w="748"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23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23" w:type="dxa"/>
            <w:tcBorders/>
            <w:shd w:fill="FFFFFF" w:val="clear"/>
            <w:tcMar>
              <w:bottom w:w="0" w:type="dxa"/>
            </w:tcMar>
            <w:vAlign w:val="center"/>
          </w:tcPr>
          <w:p>
            <w:pPr>
              <w:pStyle w:val="TableContents"/>
              <w:bidi w:val="0"/>
              <w:spacing w:before="0" w:after="283"/>
              <w:jc w:val="both"/>
              <w:rPr/>
            </w:pPr>
            <w:hyperlink r:id="rId7">
              <w:r>
                <w:rPr>
                  <w:rStyle w:val="InternetLink"/>
                  <w:rFonts w:ascii="Times New Roman;Times;Serif" w:hAnsi="Times New Roman;Times;Serif"/>
                  <w:b w:val="false"/>
                  <w:i w:val="false"/>
                  <w:caps w:val="false"/>
                  <w:smallCaps w:val="false"/>
                  <w:sz w:val="20"/>
                </w:rPr>
                <w:t>Amended Filing Fee Exhibit.</w:t>
              </w:r>
            </w:hyperlink>
          </w:p>
        </w:tc>
      </w:tr>
      <w:tr>
        <w:trPr/>
        <w:tc>
          <w:tcPr>
            <w:tcW w:w="74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(a)(1)(C) </w:t>
            </w:r>
          </w:p>
        </w:tc>
        <w:tc>
          <w:tcPr>
            <w:tcW w:w="23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23" w:type="dxa"/>
            <w:tcBorders/>
            <w:shd w:fill="CCEEFF" w:val="clear"/>
            <w:tcMar>
              <w:bottom w:w="0" w:type="dxa"/>
            </w:tcMar>
            <w:vAlign w:val="center"/>
          </w:tcPr>
          <w:p>
            <w:pPr>
              <w:pStyle w:val="TableContents"/>
              <w:bidi w:val="0"/>
              <w:spacing w:before="0" w:after="283"/>
              <w:jc w:val="both"/>
              <w:rPr/>
            </w:pPr>
            <w:hyperlink r:id="rId8">
              <w:r>
                <w:rPr>
                  <w:rStyle w:val="InternetLink"/>
                  <w:rFonts w:ascii="Times New Roman;Times;Serif" w:hAnsi="Times New Roman;Times;Serif"/>
                  <w:b w:val="false"/>
                  <w:i w:val="false"/>
                  <w:caps w:val="false"/>
                  <w:smallCaps w:val="false"/>
                  <w:sz w:val="20"/>
                </w:rPr>
                <w:t>Amended Notice of Guaranteed Delivery.</w:t>
              </w:r>
            </w:hyperlink>
          </w:p>
        </w:tc>
      </w:tr>
      <w:tr>
        <w:trPr/>
        <w:tc>
          <w:tcPr>
            <w:tcW w:w="748"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p>
        </w:tc>
        <w:tc>
          <w:tcPr>
            <w:tcW w:w="23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23" w:type="dxa"/>
            <w:tcBorders/>
            <w:shd w:fill="FFFFFF" w:val="clear"/>
            <w:tcMar>
              <w:bottom w:w="0" w:type="dxa"/>
            </w:tcMar>
            <w:vAlign w:val="center"/>
          </w:tcPr>
          <w:p>
            <w:pPr>
              <w:pStyle w:val="TableContents"/>
              <w:bidi w:val="0"/>
              <w:spacing w:before="0" w:after="283"/>
              <w:jc w:val="both"/>
              <w:rPr/>
            </w:pPr>
            <w:hyperlink r:id="rId9">
              <w:r>
                <w:rPr>
                  <w:rStyle w:val="InternetLink"/>
                  <w:rFonts w:ascii="Times New Roman;Times;Serif" w:hAnsi="Times New Roman;Times;Serif"/>
                  <w:b w:val="false"/>
                  <w:i w:val="false"/>
                  <w:caps w:val="false"/>
                  <w:smallCaps w:val="false"/>
                  <w:sz w:val="20"/>
                </w:rPr>
                <w:t>Schedule I.</w:t>
              </w:r>
            </w:hyperlink>
          </w:p>
        </w:tc>
      </w:tr>
      <w:tr>
        <w:trPr/>
        <w:tc>
          <w:tcPr>
            <w:tcW w:w="74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(a)(1)(F) </w:t>
            </w:r>
          </w:p>
        </w:tc>
        <w:tc>
          <w:tcPr>
            <w:tcW w:w="23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23" w:type="dxa"/>
            <w:tcBorders/>
            <w:shd w:fill="CCEEFF" w:val="clear"/>
            <w:tcMar>
              <w:bottom w:w="0" w:type="dxa"/>
            </w:tcMar>
            <w:vAlign w:val="center"/>
          </w:tcPr>
          <w:p>
            <w:pPr>
              <w:pStyle w:val="TableContents"/>
              <w:bidi w:val="0"/>
              <w:spacing w:before="0" w:after="283"/>
              <w:jc w:val="both"/>
              <w:rPr/>
            </w:pPr>
            <w:hyperlink r:id="rId10">
              <w:r>
                <w:rPr>
                  <w:rStyle w:val="InternetLink"/>
                  <w:rFonts w:ascii="Times New Roman;Times;Serif" w:hAnsi="Times New Roman;Times;Serif"/>
                  <w:b w:val="false"/>
                  <w:i w:val="false"/>
                  <w:caps w:val="false"/>
                  <w:smallCaps w:val="false"/>
                  <w:sz w:val="20"/>
                </w:rPr>
                <w:t>W-9 Guidelines.</w:t>
              </w:r>
            </w:hyperlink>
            <w:r>
              <w:rPr>
                <w:rFonts w:ascii="Times New Roman;Times;Serif" w:hAnsi="Times New Roman;Times;Serif"/>
                <w:b w:val="false"/>
                <w:i w:val="false"/>
                <w:caps w:val="false"/>
                <w:smallCaps w:val="false"/>
                <w:sz w:val="20"/>
              </w:rPr>
              <w:t xml:space="preserve"> </w:t>
            </w:r>
          </w:p>
        </w:tc>
      </w:tr>
      <w:tr>
        <w:trPr/>
        <w:tc>
          <w:tcPr>
            <w:tcW w:w="748"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(a)(1)(E) </w:t>
            </w:r>
          </w:p>
        </w:tc>
        <w:tc>
          <w:tcPr>
            <w:tcW w:w="23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23" w:type="dxa"/>
            <w:tcBorders/>
            <w:shd w:fill="FFFFFF" w:val="clear"/>
            <w:tcMar>
              <w:bottom w:w="0" w:type="dxa"/>
            </w:tcMar>
            <w:vAlign w:val="center"/>
          </w:tcPr>
          <w:p>
            <w:pPr>
              <w:pStyle w:val="TableContents"/>
              <w:bidi w:val="0"/>
              <w:spacing w:before="0" w:after="283"/>
              <w:jc w:val="both"/>
              <w:rPr/>
            </w:pPr>
            <w:hyperlink r:id="rId11">
              <w:r>
                <w:rPr>
                  <w:rStyle w:val="InternetLink"/>
                  <w:rFonts w:ascii="Times New Roman;Times;Serif" w:hAnsi="Times New Roman;Times;Serif"/>
                  <w:b w:val="false"/>
                  <w:i w:val="false"/>
                  <w:caps w:val="false"/>
                  <w:smallCaps w:val="false"/>
                  <w:sz w:val="20"/>
                </w:rPr>
                <w:t>Amended Letter to Clients.</w:t>
              </w:r>
            </w:hyperlink>
          </w:p>
        </w:tc>
      </w:tr>
      <w:tr>
        <w:trPr/>
        <w:tc>
          <w:tcPr>
            <w:tcW w:w="74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23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23" w:type="dxa"/>
            <w:tcBorders/>
            <w:shd w:fill="CCEEFF" w:val="clear"/>
            <w:tcMar>
              <w:bottom w:w="0" w:type="dxa"/>
            </w:tcMar>
            <w:vAlign w:val="center"/>
          </w:tcPr>
          <w:p>
            <w:pPr>
              <w:pStyle w:val="TableContents"/>
              <w:bidi w:val="0"/>
              <w:spacing w:before="0" w:after="283"/>
              <w:jc w:val="both"/>
              <w:rPr/>
            </w:pPr>
            <w:hyperlink r:id="rId12">
              <w:r>
                <w:rPr>
                  <w:rStyle w:val="InternetLink"/>
                  <w:rFonts w:ascii="Times New Roman;Times;Serif" w:hAnsi="Times New Roman;Times;Serif"/>
                  <w:b w:val="false"/>
                  <w:i w:val="false"/>
                  <w:caps w:val="false"/>
                  <w:smallCaps w:val="false"/>
                  <w:sz w:val="20"/>
                </w:rPr>
                <w:t>Press Release Issued by Zodiac Partners II, LLC on May 21, 2026.</w:t>
              </w:r>
            </w:hyperlink>
          </w:p>
        </w:tc>
      </w:tr>
      <w:tr>
        <w:trPr/>
        <w:tc>
          <w:tcPr>
            <w:tcW w:w="748"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p>
        </w:tc>
        <w:tc>
          <w:tcPr>
            <w:tcW w:w="23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23" w:type="dxa"/>
            <w:tcBorders/>
            <w:shd w:fill="FFFFFF" w:val="clear"/>
            <w:tcMar>
              <w:bottom w:w="0" w:type="dxa"/>
            </w:tcMar>
            <w:vAlign w:val="center"/>
          </w:tcPr>
          <w:p>
            <w:pPr>
              <w:pStyle w:val="TableContents"/>
              <w:bidi w:val="0"/>
              <w:spacing w:before="0" w:after="283"/>
              <w:jc w:val="both"/>
              <w:rPr/>
            </w:pPr>
            <w:hyperlink r:id="rId13">
              <w:r>
                <w:rPr>
                  <w:rStyle w:val="InternetLink"/>
                  <w:rFonts w:ascii="Times New Roman;Times;Serif" w:hAnsi="Times New Roman;Times;Serif"/>
                  <w:b w:val="false"/>
                  <w:i w:val="false"/>
                  <w:caps w:val="false"/>
                  <w:smallCaps w:val="false"/>
                  <w:sz w:val="20"/>
                </w:rPr>
                <w:t>Press Release Issued by Zodiac Partners II, LLC on June 12, 2026.</w:t>
              </w:r>
            </w:hyperlink>
          </w:p>
        </w:tc>
      </w:tr>
      <w:tr>
        <w:trPr/>
        <w:tc>
          <w:tcPr>
            <w:tcW w:w="74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w:t>
            </w:r>
          </w:p>
        </w:tc>
        <w:tc>
          <w:tcPr>
            <w:tcW w:w="23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23" w:type="dxa"/>
            <w:tcBorders/>
            <w:shd w:fill="CCEEFF" w:val="clear"/>
            <w:tcMar>
              <w:bottom w:w="0" w:type="dxa"/>
            </w:tcMar>
            <w:vAlign w:val="center"/>
          </w:tcPr>
          <w:p>
            <w:pPr>
              <w:pStyle w:val="TableContents"/>
              <w:bidi w:val="0"/>
              <w:spacing w:before="0" w:after="283"/>
              <w:jc w:val="both"/>
              <w:rPr/>
            </w:pPr>
            <w:hyperlink r:id="rId14">
              <w:r>
                <w:rPr>
                  <w:rStyle w:val="InternetLink"/>
                  <w:rFonts w:ascii="Times New Roman;Times;Serif" w:hAnsi="Times New Roman;Times;Serif"/>
                  <w:b w:val="false"/>
                  <w:i w:val="false"/>
                  <w:caps w:val="false"/>
                  <w:smallCaps w:val="false"/>
                  <w:sz w:val="20"/>
                </w:rPr>
                <w:t>Press Release Issued by Zodiac Partners II, LLC on June 23, 2026.</w:t>
              </w:r>
            </w:hyperlink>
          </w:p>
        </w:tc>
      </w:tr>
      <w:tr>
        <w:trPr/>
        <w:tc>
          <w:tcPr>
            <w:tcW w:w="748"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(d)(2)</w:t>
            </w:r>
          </w:p>
        </w:tc>
        <w:tc>
          <w:tcPr>
            <w:tcW w:w="23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23" w:type="dxa"/>
            <w:tcBorders/>
            <w:shd w:fill="FFFFFF" w:val="clear"/>
            <w:tcMar>
              <w:bottom w:w="0" w:type="dxa"/>
            </w:tcMar>
            <w:vAlign w:val="center"/>
          </w:tcPr>
          <w:p>
            <w:pPr>
              <w:pStyle w:val="TableContents"/>
              <w:bidi w:val="0"/>
              <w:spacing w:before="0" w:after="283"/>
              <w:jc w:val="both"/>
              <w:rPr/>
            </w:pPr>
            <w:hyperlink r:id="rId15">
              <w:r>
                <w:rPr>
                  <w:rStyle w:val="InternetLink"/>
                  <w:rFonts w:ascii="Times New Roman;Times;Serif" w:hAnsi="Times New Roman;Times;Serif"/>
                  <w:b w:val="false"/>
                  <w:i w:val="false"/>
                  <w:caps w:val="false"/>
                  <w:smallCaps w:val="false"/>
                  <w:sz w:val="20"/>
                </w:rPr>
                <w:t>Amended Equity Commitment Letter between Zodiac Partners II, LLC and Camac Fund LP, dated June 22, 2026.</w:t>
              </w:r>
            </w:hyperlink>
          </w:p>
        </w:tc>
      </w:tr>
      <w:tr>
        <w:trPr/>
        <w:tc>
          <w:tcPr>
            <w:tcW w:w="74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w:t>
            </w:r>
          </w:p>
        </w:tc>
        <w:tc>
          <w:tcPr>
            <w:tcW w:w="23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23" w:type="dxa"/>
            <w:tcBorders/>
            <w:shd w:fill="CCEEFF" w:val="clear"/>
            <w:tcMar>
              <w:bottom w:w="0" w:type="dxa"/>
            </w:tcMar>
            <w:vAlign w:val="center"/>
          </w:tcPr>
          <w:p>
            <w:pPr>
              <w:pStyle w:val="TableContents"/>
              <w:bidi w:val="0"/>
              <w:spacing w:before="0" w:after="283"/>
              <w:jc w:val="both"/>
              <w:rPr/>
            </w:pPr>
            <w:hyperlink r:id="rId16">
              <w:r>
                <w:rPr>
                  <w:rStyle w:val="InternetLink"/>
                  <w:rFonts w:ascii="Times New Roman;Times;Serif" w:hAnsi="Times New Roman;Times;Serif"/>
                  <w:b w:val="false"/>
                  <w:i w:val="false"/>
                  <w:caps w:val="false"/>
                  <w:smallCaps w:val="false"/>
                  <w:sz w:val="20"/>
                </w:rPr>
                <w:t>Press Release Issued by Zodiac Partners II, LLC on July 27, 2026.</w:t>
              </w:r>
            </w:hyperlink>
          </w:p>
        </w:tc>
      </w:tr>
      <w:tr>
        <w:trPr/>
        <w:tc>
          <w:tcPr>
            <w:tcW w:w="748"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p>
        </w:tc>
        <w:tc>
          <w:tcPr>
            <w:tcW w:w="23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9223" w:type="dxa"/>
            <w:tcBorders/>
            <w:shd w:fill="FFFFFF" w:val="clear"/>
            <w:tcMar>
              <w:bottom w:w="0" w:type="dxa"/>
            </w:tcMar>
            <w:vAlign w:val="center"/>
          </w:tcPr>
          <w:p>
            <w:pPr>
              <w:pStyle w:val="TableContents"/>
              <w:bidi w:val="0"/>
              <w:spacing w:before="0" w:after="283"/>
              <w:jc w:val="both"/>
              <w:rPr/>
            </w:pPr>
            <w:hyperlink w:anchor="ex-99_n.htm">
              <w:r>
                <w:rPr>
                  <w:rStyle w:val="InternetLink"/>
                  <w:rFonts w:ascii="Times New Roman;Times;Serif" w:hAnsi="Times New Roman;Times;Serif"/>
                  <w:b w:val="false"/>
                  <w:i w:val="false"/>
                  <w:caps w:val="false"/>
                  <w:smallCaps w:val="false"/>
                  <w:sz w:val="20"/>
                </w:rPr>
                <w:t xml:space="preserve">Press Release Issued by Zodiac Partners II, LLC on August 24, 2026.* </w:t>
              </w:r>
            </w:hyperlink>
          </w:p>
        </w:tc>
      </w:tr>
    </w:tbl>
    <w:p>
      <w:pPr>
        <w:pStyle w:val="TextBody"/>
        <w:bidi w:val="0"/>
        <w:spacing w:before="0" w:after="0"/>
        <w:ind w:left="0" w:right="0" w:hanging="0"/>
        <w:jc w:val="left"/>
        <w:rPr>
          <w:caps w:val="false"/>
          <w:smallCaps w:val="false"/>
        </w:rPr>
      </w:pPr>
      <w:r>
        <w:rPr>
          <w:caps w:val="false"/>
          <w:smallCaps w:val="false"/>
        </w:rPr>
        <w:t> </w:t>
      </w:r>
    </w:p>
    <w:tbl>
      <w:tblPr>
        <w:tblW w:w="8155" w:type="dxa"/>
        <w:jc w:val="left"/>
        <w:tblInd w:w="0" w:type="dxa"/>
        <w:tblLayout w:type="fixed"/>
        <w:tblCellMar>
          <w:top w:w="0" w:type="dxa"/>
          <w:left w:w="0" w:type="dxa"/>
          <w:bottom w:w="0" w:type="dxa"/>
          <w:right w:w="0" w:type="dxa"/>
        </w:tblCellMar>
      </w:tblPr>
      <w:tblGrid>
        <w:gridCol w:w="140"/>
        <w:gridCol w:w="801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Asterisk describes exhibits filed herewith. No asterisk means the exhibit has been previously filed.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Item 13. Information Required by Schedule 13E-3.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due inquiry and to the best of my knowledge and belief, I certify that the information set forth in this statement is true, complete and correct.</w:t>
      </w:r>
    </w:p>
    <w:p>
      <w:pPr>
        <w:pStyle w:val="TextBody"/>
        <w:bidi w:val="0"/>
        <w:spacing w:before="0" w:after="0"/>
        <w:jc w:val="center"/>
        <w:rPr>
          <w:caps w:val="false"/>
          <w:smallCaps w:val="false"/>
        </w:rPr>
      </w:pPr>
      <w:r>
        <w:rPr>
          <w:caps w:val="false"/>
          <w:smallCaps w:val="false"/>
        </w:rPr>
        <w:t> </w:t>
      </w:r>
    </w:p>
    <w:tbl>
      <w:tblPr>
        <w:tblW w:w="4155" w:type="dxa"/>
        <w:jc w:val="left"/>
        <w:tblInd w:w="0" w:type="dxa"/>
        <w:tblLayout w:type="fixed"/>
        <w:tblCellMar>
          <w:top w:w="0" w:type="dxa"/>
          <w:left w:w="0" w:type="dxa"/>
          <w:bottom w:w="0" w:type="dxa"/>
          <w:right w:w="0" w:type="dxa"/>
        </w:tblCellMar>
      </w:tblPr>
      <w:tblGrid>
        <w:gridCol w:w="1970"/>
        <w:gridCol w:w="590"/>
        <w:gridCol w:w="1595"/>
      </w:tblGrid>
      <w:tr>
        <w:trPr/>
        <w:tc>
          <w:tcPr>
            <w:tcW w:w="1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24, 2026</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15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218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Zodiac Partners II, LLC</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218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15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Ziggy Gokea</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15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Ziggy Gokea </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15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Member</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15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218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Camac Fund, LP</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218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15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 Eric Shahinian </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15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Eric Shahinian </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15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Manager of GP</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 w:name="ex-99_n.htm"/>
      <w:bookmarkStart w:id="3" w:name="ksex99_n"/>
      <w:bookmarkEnd w:id="2"/>
      <w:bookmarkEnd w:id="3"/>
      <w:r>
        <w:rPr>
          <w:caps w:val="false"/>
          <w:smallCaps w:val="false"/>
        </w:rPr>
        <w:t> </w:t>
      </w:r>
      <w:r>
        <w:br w:type="page"/>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Exhibit (n)</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Zodiac Partners II, LLC Announces Final Results of its Tender Offer</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West Palm Beach, FL, August 24, 2026</w:t>
      </w:r>
      <w:r>
        <w:rPr>
          <w:rFonts w:ascii="Times New Roman;Times;Serif" w:hAnsi="Times New Roman;Times;Serif"/>
          <w:b w:val="false"/>
          <w:i w:val="false"/>
          <w:caps w:val="false"/>
          <w:smallCaps w:val="false"/>
          <w:sz w:val="20"/>
        </w:rPr>
        <w:t xml:space="preserve"> – Zodiac Partners II, LLC (“Zodiac Partners” or “Zodiac”) today announced the final results of its previously announced all-cash tender offer to acquire all outstanding shares of Destination XL Group, Inc. (“DXLG” or “DXL”), which expired at 5:00 PM, Eastern Time, on August 21, 2026. As of the expiration, approximately 23% of DXL’s outstanding shares (12,450,814) had been validly tendered and not withdrawn - the culmination of a stockholder response that continued to grow daily and strengthen throughout the offer. In accordance with its terms, the offer expired without the purchase of any shares. </w:t>
      </w:r>
    </w:p>
    <w:p>
      <w:pPr>
        <w:pStyle w:val="TextBody"/>
        <w:bidi w:val="0"/>
        <w:jc w:val="both"/>
        <w:rPr>
          <w:caps w:val="false"/>
          <w:smallCaps w:val="false"/>
        </w:rPr>
      </w:pPr>
      <w:r>
        <w:rPr>
          <w:caps w:val="false"/>
          <w:smallCaps w:val="false"/>
        </w:rPr>
        <w:t xml:space="preserve">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Zodiac elected to allow the offer to expire in order to concentrate its full efforts and resources on maximizing value to DXL shareholders. </w:t>
      </w:r>
    </w:p>
    <w:p>
      <w:pPr>
        <w:pStyle w:val="TextBody"/>
        <w:bidi w:val="0"/>
        <w:jc w:val="both"/>
        <w:rPr>
          <w:caps w:val="false"/>
          <w:smallCaps w:val="false"/>
        </w:rPr>
      </w:pPr>
      <w:r>
        <w:rPr>
          <w:caps w:val="false"/>
          <w:smallCaps w:val="false"/>
        </w:rPr>
        <w:t xml:space="preserve">  </w:t>
      </w:r>
    </w:p>
    <w:p>
      <w:pPr>
        <w:pStyle w:val="TextBody"/>
        <w:bidi w:val="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Nearly a quarter of DXL shares came to us, but due to the onerous terms of the FBB Merger Agreement, we feel DXL cannot do what is in the best interest of shareholders” said Ziggy Gokea, Managing Member of Zodiac Partners II, LLC.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Zodiac remains confident that, if granted appropriate access, it can negotiate and execute a definitive agreement within 45 days, and it is prepared to engage immediately.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Forward-Looking Statements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communication contains forward-looking statements. Statements that are not historical facts, including statements about beliefs, expectations, targets, goals, intentions to acquire securities, intentions to oppose or seek termination of the FBB merger, and plans to engage with stockholders, are forward-looking statements. These statements are based on plans, estimates, expectations and/or goals at the time the statements are made, and readers should not place undue reliance on them. In some cases, readers can identify forward-looking statements by the use of forward-looking terms such as “may,” “will,” “should,” “expect,” “opportunity,” “intend,” “plan,” “anticipate,” “believe,” “estimate,” “predict,” “potential,” “target,” “goal,” or “continue,” or the negative of these terms or other comparable terms. Forward-looking statements involve inherent risks and uncertainties, and readers are cautioned that a number of important factors could cause actual results to differ materially from those contained in any such forward-looking statements. Such factors include but are not limited to: whether the FBB merger is completed, abandoned or terminated; whether DXL’s Board takes action consistent with its recommendation against the FBB merger; the outcome of any vote of DXL stockholders; Zodiac’s ability to acquire additional Shares on acceptable terms; uncertainties as to whether DXL will engage with Zodiac; and the ultimate outcome of any possible transaction between Zodiac and DXL, including the possibility that the parties will not agree to pursue a transaction or that the terms of any definitive agreement will be materially different from those previously proposed. Zodiac cautions that forward-looking statements should not be relied on as predictions of future events, and these statements are not guarantees of performance or results. Forward-looking statements herein speak only as of the date each statement is made. Zodiac does not assume any obligation to update any of these statements in light of new information or future events, except to the extent required by applicable law.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Important Additional Information and Where to Find It</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communication is for informational purposes only and does not constitute a recommendation, an offer to purchase or a solicitation of an offer to sell DXL securities, nor a solicitation of any proxy, vote, consent or authorization. The tender offer described herein has expired in accordance with its terms and is no longer open. Zodiac Partners II, LLC (the “Purchaser”) intends to file a final amendment to its Tender Offer Statement on Schedule TO with the Securities and Exchange Commission (the “SEC”) reporting the results of the offer, and intends to make such other filings, including amendments to its Schedule 13D and any soliciting materials, as may be required in connection with its ongoing efforts. Investors and security holders are urged to carefully read all such materials when available, as they contain important information. These materials are filed with the SEC, and investors and security holders may obtain a free copy of these materials and other documents filed by the Purchaser and DXL with the SEC at the website maintained by the SEC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xml:space="preserve">. In addition, documents that the Purchaser files with the SEC will be made available to all investors and security holders of DXL free of charge from the information agent: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Investor Contacts‍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Saratoga Proxy Consulting LLC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520 8th Avenue 14th Floor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New York, NY 10018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toll-free telephone: +1 (212) 257-1311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info@saratogaproxy.com</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13298/000149315226034722/ex-99_a1a.htm" TargetMode="External"/><Relationship Id="rId3" Type="http://schemas.openxmlformats.org/officeDocument/2006/relationships/hyperlink" Target="https://www.sec.gov/Archives/edgar/data/813298/000149315226034722/ex-99_a1b.htm" TargetMode="External"/><Relationship Id="rId4" Type="http://schemas.openxmlformats.org/officeDocument/2006/relationships/hyperlink" Target="https://www.sec.gov/Archives/edgar/data/813298/000149315226022429/ex-99_a5a.htm" TargetMode="External"/><Relationship Id="rId5" Type="http://schemas.openxmlformats.org/officeDocument/2006/relationships/hyperlink" Target="https://www.sec.gov/Archives/edgar/data/813298/000149315226022429/ex-99_d.htm" TargetMode="External"/><Relationship Id="rId6" Type="http://schemas.openxmlformats.org/officeDocument/2006/relationships/hyperlink" Target="https://www.sec.gov/Archives/edgar/data/813298/000149315226025398/exb.htm" TargetMode="External"/><Relationship Id="rId7" Type="http://schemas.openxmlformats.org/officeDocument/2006/relationships/hyperlink" Target="https://www.sec.gov/Archives/edgar/data/813298/000149315226029708/ex107.htm" TargetMode="External"/><Relationship Id="rId8" Type="http://schemas.openxmlformats.org/officeDocument/2006/relationships/hyperlink" Target="https://www.sec.gov/Archives/edgar/data/813298/000149315226034722/ex-99_a1c.htm" TargetMode="External"/><Relationship Id="rId9" Type="http://schemas.openxmlformats.org/officeDocument/2006/relationships/hyperlink" Target="https://www.sec.gov/Archives/edgar/data/813298/000149315226025398/exe.htm" TargetMode="External"/><Relationship Id="rId10" Type="http://schemas.openxmlformats.org/officeDocument/2006/relationships/hyperlink" Target="https://www.sec.gov/Archives/edgar/data/813298/000149315226025398/exa_1-f.htm" TargetMode="External"/><Relationship Id="rId11" Type="http://schemas.openxmlformats.org/officeDocument/2006/relationships/hyperlink" Target="https://www.sec.gov/Archives/edgar/data/813298/000149315226034722/ex-99_a1e.htm" TargetMode="External"/><Relationship Id="rId12" Type="http://schemas.openxmlformats.org/officeDocument/2006/relationships/hyperlink" Target="https://www.sec.gov/Archives/edgar/data/813298/000149315226025398/exh.htm" TargetMode="External"/><Relationship Id="rId13" Type="http://schemas.openxmlformats.org/officeDocument/2006/relationships/hyperlink" Target="https://www.sec.gov/Archives/edgar/data/813298/000149315226028374/ex-99_j.htm" TargetMode="External"/><Relationship Id="rId14" Type="http://schemas.openxmlformats.org/officeDocument/2006/relationships/hyperlink" Target="https://www.sec.gov/Archives/edgar/data/813298/000149315226029708/ex-99_k.htm" TargetMode="External"/><Relationship Id="rId15" Type="http://schemas.openxmlformats.org/officeDocument/2006/relationships/hyperlink" Target="https://www.sec.gov/Archives/edgar/data/813298/000149315226029708/ex-99_d2.htm" TargetMode="External"/><Relationship Id="rId16" Type="http://schemas.openxmlformats.org/officeDocument/2006/relationships/hyperlink" Target="https://www.sec.gov/Archives/edgar/data/813298/000149315226034722/ex-99_m.htm" TargetMode="External"/><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2541</Words>
  <Characters>13677</Characters>
  <CharactersWithSpaces>16302</CharactersWithSpaces>
  <Paragraphs>395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