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4"/>
          <w:szCs w:val="24"/>
          <w:color w:val="auto"/>
        </w:rPr>
      </w:pPr>
    </w:p>
    <w:p>
      <w:pPr>
        <w:jc w:val="center"/>
        <w:ind w:right="-1220"/>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220"/>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220"/>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5" w:lineRule="exact"/>
        <w:rPr>
          <w:sz w:val="24"/>
          <w:szCs w:val="24"/>
          <w:color w:val="auto"/>
        </w:rPr>
      </w:pPr>
    </w:p>
    <w:p>
      <w:pPr>
        <w:ind w:left="4840"/>
        <w:spacing w:after="0"/>
        <w:rPr>
          <w:sz w:val="20"/>
          <w:szCs w:val="20"/>
          <w:color w:val="auto"/>
        </w:rPr>
      </w:pPr>
      <w:r>
        <w:rPr>
          <w:rFonts w:ascii="Arial" w:cs="Arial" w:eastAsia="Arial" w:hAnsi="Arial"/>
          <w:sz w:val="32"/>
          <w:szCs w:val="32"/>
          <w:b w:val="1"/>
          <w:bCs w:val="1"/>
          <w:color w:val="auto"/>
        </w:rPr>
        <w:t>FORM 11-K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203835</wp:posOffset>
            </wp:positionV>
            <wp:extent cx="1878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(Mark one)</w:t>
      </w:r>
    </w:p>
    <w:p>
      <w:pPr>
        <w:spacing w:after="0" w:line="193" w:lineRule="exact"/>
        <w:rPr>
          <w:sz w:val="24"/>
          <w:szCs w:val="24"/>
          <w:color w:val="auto"/>
        </w:rPr>
      </w:pPr>
    </w:p>
    <w:p>
      <w:pPr>
        <w:ind w:left="580" w:right="3759" w:hanging="572"/>
        <w:spacing w:after="0" w:line="248" w:lineRule="auto"/>
        <w:tabs>
          <w:tab w:leader="none" w:pos="5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15(d) OF THE SECURITIES EXCHANGE ACT OF 1934</w:t>
      </w:r>
    </w:p>
    <w:p>
      <w:pPr>
        <w:ind w:left="580"/>
        <w:spacing w:after="0"/>
        <w:rPr>
          <w:rFonts w:ascii="MS PGothic" w:cs="MS PGothic" w:eastAsia="MS PGothic" w:hAnsi="MS PGothic"/>
          <w:sz w:val="22"/>
          <w:szCs w:val="22"/>
          <w:color w:val="auto"/>
        </w:rPr>
      </w:pPr>
      <w:r>
        <w:rPr>
          <w:rFonts w:ascii="Arial" w:cs="Arial" w:eastAsia="Arial" w:hAnsi="Arial"/>
          <w:sz w:val="22"/>
          <w:szCs w:val="22"/>
          <w:color w:val="auto"/>
        </w:rPr>
        <w:t>For the fiscal year ended December 31, 2007</w:t>
      </w:r>
    </w:p>
    <w:p>
      <w:pPr>
        <w:spacing w:after="0" w:line="128" w:lineRule="exact"/>
        <w:rPr>
          <w:sz w:val="24"/>
          <w:szCs w:val="24"/>
          <w:color w:val="auto"/>
        </w:rPr>
      </w:pPr>
    </w:p>
    <w:p>
      <w:pPr>
        <w:ind w:left="5620"/>
        <w:spacing w:after="0"/>
        <w:rPr>
          <w:sz w:val="20"/>
          <w:szCs w:val="20"/>
          <w:color w:val="auto"/>
        </w:rPr>
      </w:pPr>
      <w:r>
        <w:rPr>
          <w:rFonts w:ascii="Arial" w:cs="Arial" w:eastAsia="Arial" w:hAnsi="Arial"/>
          <w:sz w:val="22"/>
          <w:szCs w:val="22"/>
          <w:b w:val="1"/>
          <w:bCs w:val="1"/>
          <w:color w:val="auto"/>
        </w:rPr>
        <w:t>or</w:t>
      </w:r>
    </w:p>
    <w:p>
      <w:pPr>
        <w:spacing w:after="0" w:line="193"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15(d) OF THE</w:t>
      </w:r>
    </w:p>
    <w:p>
      <w:pPr>
        <w:spacing w:after="0" w:line="18" w:lineRule="exact"/>
        <w:rPr>
          <w:sz w:val="24"/>
          <w:szCs w:val="24"/>
          <w:color w:val="auto"/>
        </w:rPr>
      </w:pPr>
    </w:p>
    <w:p>
      <w:pPr>
        <w:ind w:left="580"/>
        <w:spacing w:after="0"/>
        <w:rPr>
          <w:sz w:val="20"/>
          <w:szCs w:val="20"/>
          <w:color w:val="auto"/>
        </w:rPr>
      </w:pPr>
      <w:r>
        <w:rPr>
          <w:rFonts w:ascii="Arial" w:cs="Arial" w:eastAsia="Arial" w:hAnsi="Arial"/>
          <w:sz w:val="22"/>
          <w:szCs w:val="22"/>
          <w:b w:val="1"/>
          <w:bCs w:val="1"/>
          <w:color w:val="auto"/>
        </w:rPr>
        <w:t>SECURITIES EXCHANGE ACT OF 1934</w:t>
      </w:r>
    </w:p>
    <w:p>
      <w:pPr>
        <w:ind w:left="580"/>
        <w:spacing w:after="0"/>
        <w:tabs>
          <w:tab w:leader="none" w:pos="4320" w:val="left"/>
        </w:tabs>
        <w:rPr>
          <w:sz w:val="20"/>
          <w:szCs w:val="20"/>
          <w:color w:val="auto"/>
        </w:rPr>
      </w:pPr>
      <w:r>
        <w:rPr>
          <w:rFonts w:ascii="Arial" w:cs="Arial" w:eastAsia="Arial" w:hAnsi="Arial"/>
          <w:sz w:val="22"/>
          <w:szCs w:val="22"/>
          <w:color w:val="auto"/>
        </w:rPr>
        <w:t>For the transition period from</w:t>
      </w:r>
      <w:r>
        <w:rPr>
          <w:sz w:val="20"/>
          <w:szCs w:val="20"/>
          <w:color w:val="auto"/>
        </w:rPr>
        <w:tab/>
      </w:r>
      <w:r>
        <w:rPr>
          <w:rFonts w:ascii="Arial" w:cs="Arial" w:eastAsia="Arial" w:hAnsi="Arial"/>
          <w:sz w:val="19"/>
          <w:szCs w:val="19"/>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2032635</wp:posOffset>
            </wp:positionH>
            <wp:positionV relativeFrom="paragraph">
              <wp:posOffset>-29210</wp:posOffset>
            </wp:positionV>
            <wp:extent cx="15474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47495" cy="8890"/>
                    </a:xfrm>
                    <a:prstGeom prst="rect">
                      <a:avLst/>
                    </a:prstGeom>
                    <a:noFill/>
                  </pic:spPr>
                </pic:pic>
              </a:graphicData>
            </a:graphic>
          </wp:anchor>
        </w:drawing>
      </w:r>
    </w:p>
    <w:p>
      <w:pPr>
        <w:spacing w:after="0" w:line="114" w:lineRule="exact"/>
        <w:rPr>
          <w:sz w:val="24"/>
          <w:szCs w:val="24"/>
          <w:color w:val="auto"/>
        </w:rPr>
      </w:pPr>
    </w:p>
    <w:p>
      <w:pPr>
        <w:ind w:left="4200"/>
        <w:spacing w:after="0"/>
        <w:rPr>
          <w:sz w:val="20"/>
          <w:szCs w:val="20"/>
          <w:color w:val="auto"/>
        </w:rPr>
      </w:pPr>
      <w:r>
        <w:rPr>
          <w:rFonts w:ascii="Arial" w:cs="Arial" w:eastAsia="Arial" w:hAnsi="Arial"/>
          <w:sz w:val="22"/>
          <w:szCs w:val="22"/>
          <w:color w:val="auto"/>
        </w:rPr>
        <w:t>Commission File Number 0-15898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187325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jc w:val="center"/>
        <w:ind w:right="-1220"/>
        <w:spacing w:after="0"/>
        <w:rPr>
          <w:sz w:val="20"/>
          <w:szCs w:val="20"/>
          <w:color w:val="auto"/>
        </w:rPr>
      </w:pPr>
      <w:r>
        <w:rPr>
          <w:rFonts w:ascii="Arial" w:cs="Arial" w:eastAsia="Arial" w:hAnsi="Arial"/>
          <w:sz w:val="21"/>
          <w:szCs w:val="21"/>
          <w:b w:val="1"/>
          <w:bCs w:val="1"/>
          <w:color w:val="auto"/>
        </w:rPr>
        <w:t>CASUAL MALE RETAIL GROUP, INC. 401(K) SALARIED SAVINGS PLAN</w:t>
      </w:r>
    </w:p>
    <w:p>
      <w:pPr>
        <w:spacing w:after="0" w:line="26" w:lineRule="exact"/>
        <w:rPr>
          <w:sz w:val="24"/>
          <w:szCs w:val="24"/>
          <w:color w:val="auto"/>
        </w:rPr>
      </w:pPr>
    </w:p>
    <w:p>
      <w:pPr>
        <w:jc w:val="center"/>
        <w:ind w:right="-1220"/>
        <w:spacing w:after="0"/>
        <w:rPr>
          <w:sz w:val="20"/>
          <w:szCs w:val="20"/>
          <w:color w:val="auto"/>
        </w:rPr>
      </w:pPr>
      <w:r>
        <w:rPr>
          <w:rFonts w:ascii="Arial" w:cs="Arial" w:eastAsia="Arial" w:hAnsi="Arial"/>
          <w:sz w:val="22"/>
          <w:szCs w:val="22"/>
          <w:i w:val="1"/>
          <w:iCs w:val="1"/>
          <w:color w:val="auto"/>
        </w:rPr>
        <w:t>(Full title of the plan)</w:t>
      </w:r>
    </w:p>
    <w:p>
      <w:pPr>
        <w:spacing w:after="0" w:line="331" w:lineRule="exact"/>
        <w:rPr>
          <w:sz w:val="24"/>
          <w:szCs w:val="24"/>
          <w:color w:val="auto"/>
        </w:rPr>
      </w:pPr>
    </w:p>
    <w:p>
      <w:pPr>
        <w:jc w:val="center"/>
        <w:ind w:right="-1220"/>
        <w:spacing w:after="0"/>
        <w:rPr>
          <w:sz w:val="20"/>
          <w:szCs w:val="20"/>
          <w:color w:val="auto"/>
        </w:rPr>
      </w:pPr>
      <w:r>
        <w:rPr>
          <w:rFonts w:ascii="Arial" w:cs="Arial" w:eastAsia="Arial" w:hAnsi="Arial"/>
          <w:sz w:val="22"/>
          <w:szCs w:val="22"/>
          <w:b w:val="1"/>
          <w:bCs w:val="1"/>
          <w:color w:val="auto"/>
        </w:rPr>
        <w:t>CASUAL MALE RETAIL GROUP, INC.</w:t>
      </w:r>
    </w:p>
    <w:p>
      <w:pPr>
        <w:spacing w:after="0" w:line="4" w:lineRule="exact"/>
        <w:rPr>
          <w:sz w:val="24"/>
          <w:szCs w:val="24"/>
          <w:color w:val="auto"/>
        </w:rPr>
      </w:pPr>
    </w:p>
    <w:p>
      <w:pPr>
        <w:jc w:val="center"/>
        <w:ind w:right="-1220"/>
        <w:spacing w:after="0"/>
        <w:rPr>
          <w:sz w:val="20"/>
          <w:szCs w:val="20"/>
          <w:color w:val="auto"/>
        </w:rPr>
      </w:pPr>
      <w:r>
        <w:rPr>
          <w:rFonts w:ascii="Arial" w:cs="Arial" w:eastAsia="Arial" w:hAnsi="Arial"/>
          <w:sz w:val="22"/>
          <w:szCs w:val="22"/>
          <w:b w:val="1"/>
          <w:bCs w:val="1"/>
          <w:color w:val="auto"/>
        </w:rPr>
        <w:t>555 Turnpike Street</w:t>
      </w:r>
    </w:p>
    <w:p>
      <w:pPr>
        <w:jc w:val="center"/>
        <w:ind w:right="-1220"/>
        <w:spacing w:after="0" w:line="230" w:lineRule="auto"/>
        <w:rPr>
          <w:sz w:val="20"/>
          <w:szCs w:val="20"/>
          <w:color w:val="auto"/>
        </w:rPr>
      </w:pPr>
      <w:r>
        <w:rPr>
          <w:rFonts w:ascii="Arial" w:cs="Arial" w:eastAsia="Arial" w:hAnsi="Arial"/>
          <w:sz w:val="22"/>
          <w:szCs w:val="22"/>
          <w:b w:val="1"/>
          <w:bCs w:val="1"/>
          <w:color w:val="auto"/>
        </w:rPr>
        <w:t>Canton, Massachusetts 02021</w:t>
      </w:r>
    </w:p>
    <w:p>
      <w:pPr>
        <w:jc w:val="center"/>
        <w:ind w:right="-1220"/>
        <w:spacing w:after="0" w:line="231" w:lineRule="auto"/>
        <w:rPr>
          <w:sz w:val="20"/>
          <w:szCs w:val="20"/>
          <w:color w:val="auto"/>
        </w:rPr>
      </w:pPr>
      <w:r>
        <w:rPr>
          <w:rFonts w:ascii="Arial" w:cs="Arial" w:eastAsia="Arial" w:hAnsi="Arial"/>
          <w:sz w:val="22"/>
          <w:szCs w:val="22"/>
          <w:i w:val="1"/>
          <w:iCs w:val="1"/>
          <w:color w:val="auto"/>
        </w:rPr>
        <w:t>(Name of issuer of the securities held pursuant to the plan and the address</w:t>
      </w:r>
    </w:p>
    <w:p>
      <w:pPr>
        <w:jc w:val="center"/>
        <w:ind w:right="-1220"/>
        <w:spacing w:after="0"/>
        <w:rPr>
          <w:sz w:val="20"/>
          <w:szCs w:val="20"/>
          <w:color w:val="auto"/>
        </w:rPr>
      </w:pPr>
      <w:r>
        <w:rPr>
          <w:rFonts w:ascii="Arial" w:cs="Arial" w:eastAsia="Arial" w:hAnsi="Arial"/>
          <w:sz w:val="22"/>
          <w:szCs w:val="22"/>
          <w:i w:val="1"/>
          <w:iCs w:val="1"/>
          <w:color w:val="auto"/>
        </w:rPr>
        <w:t>of its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230" w:right="1440"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220" w:type="dxa"/>
            <w:vAlign w:val="bottom"/>
            <w:gridSpan w:val="5"/>
          </w:tcPr>
          <w:p>
            <w:pPr>
              <w:jc w:val="center"/>
              <w:ind w:right="1300"/>
              <w:spacing w:after="0"/>
              <w:rPr>
                <w:sz w:val="20"/>
                <w:szCs w:val="20"/>
                <w:color w:val="auto"/>
              </w:rPr>
            </w:pPr>
            <w:r>
              <w:rPr>
                <w:rFonts w:ascii="Arial" w:cs="Arial" w:eastAsia="Arial" w:hAnsi="Arial"/>
                <w:sz w:val="18"/>
                <w:szCs w:val="18"/>
                <w:color w:val="auto"/>
                <w:w w:val="88"/>
              </w:rPr>
              <w:t>Casual Male Retail Group, Inc. 401(k) Salaried Savings Plan</w:t>
            </w:r>
          </w:p>
        </w:tc>
        <w:tc>
          <w:tcPr>
            <w:tcW w:w="1940" w:type="dxa"/>
            <w:vAlign w:val="bottom"/>
          </w:tcPr>
          <w:p>
            <w:pPr>
              <w:spacing w:after="0"/>
              <w:rPr>
                <w:sz w:val="19"/>
                <w:szCs w:val="19"/>
                <w:color w:val="auto"/>
              </w:rPr>
            </w:pPr>
          </w:p>
        </w:tc>
      </w:tr>
      <w:tr>
        <w:trPr>
          <w:trHeight w:val="378"/>
        </w:trPr>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220" w:type="dxa"/>
            <w:vAlign w:val="bottom"/>
            <w:gridSpan w:val="5"/>
          </w:tcPr>
          <w:p>
            <w:pPr>
              <w:jc w:val="center"/>
              <w:ind w:right="1320"/>
              <w:spacing w:after="0"/>
              <w:rPr>
                <w:sz w:val="20"/>
                <w:szCs w:val="20"/>
                <w:color w:val="auto"/>
              </w:rPr>
            </w:pPr>
            <w:r>
              <w:rPr>
                <w:rFonts w:ascii="Arial" w:cs="Arial" w:eastAsia="Arial" w:hAnsi="Arial"/>
                <w:sz w:val="18"/>
                <w:szCs w:val="18"/>
                <w:color w:val="auto"/>
                <w:w w:val="86"/>
              </w:rPr>
              <w:t>Financial Statements and Supplemental Schedule</w:t>
            </w:r>
          </w:p>
        </w:tc>
        <w:tc>
          <w:tcPr>
            <w:tcW w:w="1940" w:type="dxa"/>
            <w:vAlign w:val="bottom"/>
          </w:tcPr>
          <w:p>
            <w:pPr>
              <w:spacing w:after="0"/>
              <w:rPr>
                <w:sz w:val="24"/>
                <w:szCs w:val="24"/>
                <w:color w:val="auto"/>
              </w:rPr>
            </w:pPr>
          </w:p>
        </w:tc>
      </w:tr>
      <w:tr>
        <w:trPr>
          <w:trHeight w:val="378"/>
        </w:trPr>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360" w:type="dxa"/>
            <w:vAlign w:val="bottom"/>
            <w:gridSpan w:val="4"/>
          </w:tcPr>
          <w:p>
            <w:pPr>
              <w:jc w:val="center"/>
              <w:ind w:right="2180"/>
              <w:spacing w:after="0"/>
              <w:rPr>
                <w:sz w:val="20"/>
                <w:szCs w:val="20"/>
                <w:color w:val="auto"/>
              </w:rPr>
            </w:pPr>
            <w:r>
              <w:rPr>
                <w:rFonts w:ascii="Arial" w:cs="Arial" w:eastAsia="Arial" w:hAnsi="Arial"/>
                <w:sz w:val="18"/>
                <w:szCs w:val="18"/>
                <w:color w:val="auto"/>
                <w:w w:val="86"/>
              </w:rPr>
              <w:t>Year ended December 31, 2007</w:t>
            </w:r>
          </w:p>
        </w:tc>
        <w:tc>
          <w:tcPr>
            <w:tcW w:w="1940" w:type="dxa"/>
            <w:vAlign w:val="bottom"/>
          </w:tcPr>
          <w:p>
            <w:pPr>
              <w:spacing w:after="0"/>
              <w:rPr>
                <w:sz w:val="24"/>
                <w:szCs w:val="24"/>
                <w:color w:val="auto"/>
              </w:rPr>
            </w:pPr>
          </w:p>
        </w:tc>
      </w:tr>
      <w:tr>
        <w:trPr>
          <w:trHeight w:val="351"/>
        </w:trPr>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360" w:type="dxa"/>
            <w:vAlign w:val="bottom"/>
            <w:gridSpan w:val="4"/>
          </w:tcPr>
          <w:p>
            <w:pPr>
              <w:jc w:val="center"/>
              <w:ind w:right="2160"/>
              <w:spacing w:after="0"/>
              <w:rPr>
                <w:sz w:val="20"/>
                <w:szCs w:val="20"/>
                <w:color w:val="auto"/>
              </w:rPr>
            </w:pPr>
            <w:r>
              <w:rPr>
                <w:rFonts w:ascii="Arial" w:cs="Arial" w:eastAsia="Arial" w:hAnsi="Arial"/>
                <w:sz w:val="18"/>
                <w:szCs w:val="18"/>
                <w:b w:val="1"/>
                <w:bCs w:val="1"/>
                <w:color w:val="auto"/>
                <w:w w:val="86"/>
              </w:rPr>
              <w:t>Table of Contents</w:t>
            </w:r>
          </w:p>
        </w:tc>
        <w:tc>
          <w:tcPr>
            <w:tcW w:w="1940" w:type="dxa"/>
            <w:vAlign w:val="bottom"/>
          </w:tcPr>
          <w:p>
            <w:pPr>
              <w:spacing w:after="0"/>
              <w:rPr>
                <w:sz w:val="24"/>
                <w:szCs w:val="24"/>
                <w:color w:val="auto"/>
              </w:rPr>
            </w:pPr>
          </w:p>
        </w:tc>
      </w:tr>
      <w:tr>
        <w:trPr>
          <w:trHeight w:val="380"/>
        </w:trPr>
        <w:tc>
          <w:tcPr>
            <w:tcW w:w="9480" w:type="dxa"/>
            <w:vAlign w:val="bottom"/>
            <w:gridSpan w:val="10"/>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Report of Independent Registered Public Accounting Firm</w:t>
              </w:r>
            </w:hyperlink>
          </w:p>
        </w:tc>
        <w:tc>
          <w:tcPr>
            <w:tcW w:w="19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4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412"/>
        </w:trPr>
        <w:tc>
          <w:tcPr>
            <w:tcW w:w="5860" w:type="dxa"/>
            <w:vAlign w:val="bottom"/>
            <w:tcBorders>
              <w:bottom w:val="single" w:sz="8" w:color="0000EE"/>
            </w:tcBorders>
            <w:gridSpan w:val="8"/>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Statements of Net Assets Available for Benefits as of December 31, 2007 and 2006</w:t>
              </w:r>
            </w:hyperlink>
          </w:p>
        </w:tc>
        <w:tc>
          <w:tcPr>
            <w:tcW w:w="3620" w:type="dxa"/>
            <w:vAlign w:val="bottom"/>
            <w:gridSpan w:val="2"/>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412"/>
        </w:trPr>
        <w:tc>
          <w:tcPr>
            <w:tcW w:w="9480" w:type="dxa"/>
            <w:vAlign w:val="bottom"/>
            <w:gridSpan w:val="10"/>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Statement of Changes in Net Assets Available for Benefits For the Year Ended December 31, 2007</w:t>
              </w:r>
            </w:hyperlink>
          </w:p>
        </w:tc>
        <w:tc>
          <w:tcPr>
            <w:tcW w:w="19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12"/>
        </w:trPr>
        <w:tc>
          <w:tcPr>
            <w:tcW w:w="6940" w:type="dxa"/>
            <w:vAlign w:val="bottom"/>
            <w:tcBorders>
              <w:top w:val="single" w:sz="8" w:color="0000EE"/>
            </w:tcBorders>
            <w:gridSpan w:val="9"/>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Notes to Financial Statements</w:t>
              </w:r>
            </w:hyperlink>
          </w:p>
        </w:tc>
        <w:tc>
          <w:tcPr>
            <w:tcW w:w="2540" w:type="dxa"/>
            <w:vAlign w:val="bottom"/>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4-11</w:t>
            </w:r>
          </w:p>
        </w:tc>
      </w:tr>
      <w:tr>
        <w:trPr>
          <w:trHeight w:val="412"/>
        </w:trPr>
        <w:tc>
          <w:tcPr>
            <w:tcW w:w="1760" w:type="dxa"/>
            <w:vAlign w:val="bottom"/>
            <w:tcBorders>
              <w:top w:val="single" w:sz="8" w:color="0000EE"/>
              <w:bottom w:val="single" w:sz="8" w:color="auto"/>
            </w:tcBorders>
            <w:gridSpan w:val="3"/>
          </w:tcPr>
          <w:p>
            <w:pPr>
              <w:spacing w:after="0"/>
              <w:rPr>
                <w:sz w:val="20"/>
                <w:szCs w:val="20"/>
                <w:color w:val="auto"/>
              </w:rPr>
            </w:pPr>
            <w:r>
              <w:rPr>
                <w:rFonts w:ascii="Arial" w:cs="Arial" w:eastAsia="Arial" w:hAnsi="Arial"/>
                <w:sz w:val="18"/>
                <w:szCs w:val="18"/>
                <w:color w:val="auto"/>
                <w:w w:val="86"/>
              </w:rPr>
              <w:t>Supplementary Schedule</w:t>
            </w:r>
          </w:p>
        </w:tc>
        <w:tc>
          <w:tcPr>
            <w:tcW w:w="340" w:type="dxa"/>
            <w:vAlign w:val="bottom"/>
            <w:tcBorders>
              <w:top w:val="single" w:sz="8" w:color="0000EE"/>
            </w:tcBorders>
          </w:tcPr>
          <w:p>
            <w:pPr>
              <w:spacing w:after="0"/>
              <w:rPr>
                <w:sz w:val="24"/>
                <w:szCs w:val="24"/>
                <w:color w:val="auto"/>
              </w:rPr>
            </w:pPr>
          </w:p>
        </w:tc>
        <w:tc>
          <w:tcPr>
            <w:tcW w:w="7380" w:type="dxa"/>
            <w:vAlign w:val="bottom"/>
            <w:gridSpan w:val="6"/>
          </w:tcPr>
          <w:p>
            <w:pPr>
              <w:spacing w:after="0"/>
              <w:rPr>
                <w:sz w:val="24"/>
                <w:szCs w:val="24"/>
                <w:color w:val="auto"/>
              </w:rPr>
            </w:pPr>
          </w:p>
        </w:tc>
        <w:tc>
          <w:tcPr>
            <w:tcW w:w="1940" w:type="dxa"/>
            <w:vAlign w:val="bottom"/>
          </w:tcPr>
          <w:p>
            <w:pPr>
              <w:spacing w:after="0"/>
              <w:rPr>
                <w:sz w:val="24"/>
                <w:szCs w:val="24"/>
                <w:color w:val="auto"/>
              </w:rPr>
            </w:pPr>
          </w:p>
        </w:tc>
      </w:tr>
      <w:tr>
        <w:trPr>
          <w:trHeight w:val="412"/>
        </w:trPr>
        <w:tc>
          <w:tcPr>
            <w:tcW w:w="440" w:type="dxa"/>
            <w:vAlign w:val="bottom"/>
          </w:tcPr>
          <w:p>
            <w:pPr>
              <w:spacing w:after="0"/>
              <w:rPr>
                <w:sz w:val="24"/>
                <w:szCs w:val="24"/>
                <w:color w:val="auto"/>
              </w:rPr>
            </w:pPr>
          </w:p>
        </w:tc>
        <w:tc>
          <w:tcPr>
            <w:tcW w:w="9040" w:type="dxa"/>
            <w:vAlign w:val="bottom"/>
            <w:gridSpan w:val="9"/>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Schedule H, Line 4i – Schedule of Assets For Investment Purposes</w:t>
              </w:r>
            </w:hyperlink>
          </w:p>
        </w:tc>
        <w:tc>
          <w:tcPr>
            <w:tcW w:w="1940" w:type="dxa"/>
            <w:vAlign w:val="bottom"/>
          </w:tcPr>
          <w:p>
            <w:pPr>
              <w:spacing w:after="0"/>
              <w:rPr>
                <w:sz w:val="24"/>
                <w:szCs w:val="24"/>
                <w:color w:val="auto"/>
              </w:rPr>
            </w:pPr>
          </w:p>
        </w:tc>
      </w:tr>
      <w:tr>
        <w:trPr>
          <w:trHeight w:val="196"/>
        </w:trPr>
        <w:tc>
          <w:tcPr>
            <w:tcW w:w="44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6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8"/>
              </w:rPr>
            </w:pPr>
            <w:hyperlink w:anchor="page15">
              <w:r>
                <w:rPr>
                  <w:rFonts w:ascii="Arial" w:cs="Arial" w:eastAsia="Arial" w:hAnsi="Arial"/>
                  <w:sz w:val="18"/>
                  <w:szCs w:val="18"/>
                  <w:color w:val="0000EE"/>
                  <w:w w:val="88"/>
                </w:rPr>
                <w:t>At End of Year (December 31, 2007)</w:t>
              </w:r>
            </w:hyperlink>
          </w:p>
        </w:tc>
        <w:tc>
          <w:tcPr>
            <w:tcW w:w="1880" w:type="dxa"/>
            <w:vAlign w:val="bottom"/>
            <w:tcBorders>
              <w:top w:val="single" w:sz="8" w:color="0000EE"/>
            </w:tcBorders>
            <w:gridSpan w:val="2"/>
          </w:tcPr>
          <w:p>
            <w:pPr>
              <w:spacing w:after="0"/>
              <w:rPr>
                <w:sz w:val="17"/>
                <w:szCs w:val="17"/>
                <w:color w:val="auto"/>
              </w:rPr>
            </w:pPr>
          </w:p>
        </w:tc>
        <w:tc>
          <w:tcPr>
            <w:tcW w:w="4340" w:type="dxa"/>
            <w:vAlign w:val="bottom"/>
            <w:gridSpan w:val="3"/>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To Plan Administrator and Participants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Casual Male Retail Group,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401(k) Salaried Savings Plan</w:t>
      </w:r>
    </w:p>
    <w:p>
      <w:pPr>
        <w:spacing w:after="0" w:line="165" w:lineRule="exact"/>
        <w:rPr>
          <w:sz w:val="20"/>
          <w:szCs w:val="20"/>
          <w:color w:val="auto"/>
        </w:rPr>
      </w:pPr>
    </w:p>
    <w:p>
      <w:pPr>
        <w:ind w:right="380"/>
        <w:spacing w:after="0" w:line="335" w:lineRule="auto"/>
        <w:rPr>
          <w:sz w:val="20"/>
          <w:szCs w:val="20"/>
          <w:color w:val="auto"/>
        </w:rPr>
      </w:pPr>
      <w:r>
        <w:rPr>
          <w:rFonts w:ascii="Arial" w:cs="Arial" w:eastAsia="Arial" w:hAnsi="Arial"/>
          <w:sz w:val="15"/>
          <w:szCs w:val="15"/>
          <w:color w:val="auto"/>
        </w:rPr>
        <w:t>We have audited the accompanying statement of net assets available for benefits of the Casual Male Retail Group, Inc. 401 (k) Salaried Savings Plan as of December 31, 2007 and 2006, and the related statement of changes in net assets available for benefits for the year ended December 31, 2007. These financial statements are the responsibility of the Plan’s management. Our responsibility is to express an opinion on these financial statements based on our audits.</w:t>
      </w:r>
    </w:p>
    <w:p>
      <w:pPr>
        <w:spacing w:after="0" w:line="8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conducted our audits in accordance with standards of the Public Company Accounting Oversight Board (United States). Those standards require that we plan and perform the audits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4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net assets available for benefits of the Plan as of December 31, 2007 and 2006, and the changes in its net assets available for benefits for the year ended December 31, 2007, in conformity with accounting principles generally accepted in the United States of America.</w:t>
      </w:r>
    </w:p>
    <w:p>
      <w:pPr>
        <w:spacing w:after="0" w:line="140"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Our audits were performed for the purpose of forming an opinion on the financial statements taken as a whole. The accompanying supplemental schedule of assets held for investment purposes at end of year (December 31, 2007) is presented for the purpose of additional analysis and is not a required part of the financial statements but is supplementary information required by the Department of Labor’s Rules and Regulations for Reporting and Disclosure under the Employee Retirement Income Security Act of 1974. This supplemental schedule is the responsibility of the Plan’s management. This supplemental schedule has been subjected to the auditing procedures applied in our audits of the financial statements and, in our opinion, is fairly stated in all material respects in relation to the financial statements taken as a whole.</w:t>
      </w:r>
    </w:p>
    <w:p>
      <w:pPr>
        <w:spacing w:after="0" w:line="144" w:lineRule="exact"/>
        <w:rPr>
          <w:sz w:val="20"/>
          <w:szCs w:val="20"/>
          <w:color w:val="auto"/>
        </w:rPr>
      </w:pPr>
    </w:p>
    <w:p>
      <w:pPr>
        <w:ind w:left="6060"/>
        <w:spacing w:after="0"/>
        <w:rPr>
          <w:sz w:val="20"/>
          <w:szCs w:val="20"/>
          <w:color w:val="auto"/>
        </w:rPr>
      </w:pPr>
      <w:r>
        <w:rPr>
          <w:rFonts w:ascii="Arial" w:cs="Arial" w:eastAsia="Arial" w:hAnsi="Arial"/>
          <w:sz w:val="18"/>
          <w:szCs w:val="18"/>
          <w:u w:val="single" w:color="auto"/>
          <w:color w:val="auto"/>
        </w:rPr>
        <w:t>/s/ Mahoney Cohen &amp; Company, CPA, P.C.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26, 2008</w:t>
      </w:r>
    </w:p>
    <w:p>
      <w:pPr>
        <w:spacing w:after="0" w:line="15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Casual Male Retail Group, Inc. 401(k) Salaried Savings Plan</w:t>
      </w:r>
    </w:p>
    <w:p>
      <w:pPr>
        <w:spacing w:after="0" w:line="171"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Statements of Net Assets Available for Benefits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2007 and 2006</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8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920" w:type="dxa"/>
            <w:vAlign w:val="bottom"/>
            <w:tcBorders>
              <w:top w:val="single" w:sz="8" w:color="auto"/>
            </w:tcBorders>
          </w:tcPr>
          <w:p>
            <w:pPr>
              <w:jc w:val="right"/>
              <w:ind w:right="262"/>
              <w:spacing w:after="0" w:line="142" w:lineRule="exact"/>
              <w:rPr>
                <w:sz w:val="20"/>
                <w:szCs w:val="20"/>
                <w:color w:val="auto"/>
              </w:rPr>
            </w:pPr>
            <w:r>
              <w:rPr>
                <w:rFonts w:ascii="Arial" w:cs="Arial" w:eastAsia="Arial" w:hAnsi="Arial"/>
                <w:sz w:val="14"/>
                <w:szCs w:val="14"/>
                <w:b w:val="1"/>
                <w:bCs w:val="1"/>
                <w:color w:val="auto"/>
              </w:rPr>
              <w:t>2007</w:t>
            </w:r>
          </w:p>
        </w:tc>
        <w:tc>
          <w:tcPr>
            <w:tcW w:w="1140" w:type="dxa"/>
            <w:vAlign w:val="bottom"/>
            <w:tcBorders>
              <w:top w:val="single" w:sz="8" w:color="auto"/>
            </w:tcBorders>
            <w:gridSpan w:val="2"/>
          </w:tcPr>
          <w:p>
            <w:pPr>
              <w:jc w:val="right"/>
              <w:ind w:right="252"/>
              <w:spacing w:after="0" w:line="142" w:lineRule="exact"/>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16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Investments, at fair value (Notes 2 and 3)</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$ 27,704,998</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$ 26,223,826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Participant loans receivable</w:t>
            </w:r>
          </w:p>
        </w:tc>
        <w:tc>
          <w:tcPr>
            <w:tcW w:w="116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669,053</w:t>
            </w:r>
          </w:p>
        </w:tc>
        <w:tc>
          <w:tcPr>
            <w:tcW w:w="20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631,611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200" w:type="dxa"/>
            <w:vAlign w:val="bottom"/>
            <w:gridSpan w:val="2"/>
          </w:tcPr>
          <w:p>
            <w:pPr>
              <w:spacing w:after="0"/>
              <w:rPr>
                <w:sz w:val="20"/>
                <w:szCs w:val="20"/>
                <w:color w:val="auto"/>
              </w:rPr>
            </w:pPr>
            <w:r>
              <w:rPr>
                <w:rFonts w:ascii="Arial" w:cs="Arial" w:eastAsia="Arial" w:hAnsi="Arial"/>
                <w:sz w:val="18"/>
                <w:szCs w:val="18"/>
                <w:color w:val="auto"/>
              </w:rPr>
              <w:t>Total Investments at fair value</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28,374,051</w:t>
            </w: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26,855,437</w:t>
            </w: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8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Employer contributions receivable</w:t>
            </w:r>
          </w:p>
        </w:tc>
        <w:tc>
          <w:tcPr>
            <w:tcW w:w="116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653,512</w:t>
            </w:r>
          </w:p>
        </w:tc>
        <w:tc>
          <w:tcPr>
            <w:tcW w:w="20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539,609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20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29,027,563</w:t>
            </w: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27,395,046</w:t>
            </w: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8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Excess deferred compensation contributions (Note 8)</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4,431</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100,900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Net assets reflecting all investments at fair value</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29,023,132</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27,294,146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420"/>
              <w:spacing w:after="0"/>
              <w:rPr>
                <w:sz w:val="20"/>
                <w:szCs w:val="20"/>
                <w:color w:val="auto"/>
              </w:rPr>
            </w:pPr>
            <w:r>
              <w:rPr>
                <w:rFonts w:ascii="Arial" w:cs="Arial" w:eastAsia="Arial" w:hAnsi="Arial"/>
                <w:sz w:val="18"/>
                <w:szCs w:val="18"/>
                <w:color w:val="auto"/>
              </w:rPr>
              <w:t>Adjustment from fair value to contract value for fully benefit-responsive investment contracts</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14,549</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5,829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Net assets available for benefits</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$ 29,037,681</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$ 27,299,975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Financial Statements.</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Casual Male Retail Group, Inc. 401(k) Salaried Savings Plan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Statement of Changes in Net Assets Available for Benefits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6400" w:type="dxa"/>
            <w:vAlign w:val="bottom"/>
            <w:gridSpan w:val="2"/>
          </w:tcPr>
          <w:p>
            <w:pPr>
              <w:jc w:val="right"/>
              <w:ind w:right="3780"/>
              <w:spacing w:after="0"/>
              <w:rPr>
                <w:sz w:val="20"/>
                <w:szCs w:val="20"/>
                <w:color w:val="auto"/>
              </w:rPr>
            </w:pPr>
            <w:r>
              <w:rPr>
                <w:rFonts w:ascii="Arial" w:cs="Arial" w:eastAsia="Arial" w:hAnsi="Arial"/>
                <w:sz w:val="18"/>
                <w:szCs w:val="18"/>
                <w:color w:val="auto"/>
              </w:rPr>
              <w:t>Year ended December 31, 2007</w:t>
            </w: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4180" w:type="dxa"/>
            <w:vAlign w:val="bottom"/>
          </w:tcPr>
          <w:p>
            <w:pPr>
              <w:spacing w:after="0"/>
              <w:rPr>
                <w:sz w:val="17"/>
                <w:szCs w:val="17"/>
                <w:color w:val="auto"/>
              </w:rPr>
            </w:pPr>
          </w:p>
        </w:tc>
        <w:tc>
          <w:tcPr>
            <w:tcW w:w="6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Additions</w:t>
            </w:r>
          </w:p>
        </w:tc>
        <w:tc>
          <w:tcPr>
            <w:tcW w:w="6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w w:val="99"/>
              </w:rPr>
              <w:t>Net appreciation in fair value of investments (Note 3)</w:t>
            </w:r>
          </w:p>
        </w:tc>
        <w:tc>
          <w:tcPr>
            <w:tcW w:w="6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400,612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Interest and dividend income</w:t>
            </w:r>
          </w:p>
        </w:tc>
        <w:tc>
          <w:tcPr>
            <w:tcW w:w="6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1,233,174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Transfers into the Plan (Note 1)</w:t>
            </w:r>
          </w:p>
        </w:tc>
        <w:tc>
          <w:tcPr>
            <w:tcW w:w="6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190,492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6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1,824,278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Contributions:</w:t>
            </w:r>
          </w:p>
        </w:tc>
        <w:tc>
          <w:tcPr>
            <w:tcW w:w="6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Employee</w:t>
            </w:r>
          </w:p>
        </w:tc>
        <w:tc>
          <w:tcPr>
            <w:tcW w:w="6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2,053,166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200"/>
              <w:spacing w:after="0"/>
              <w:rPr>
                <w:sz w:val="20"/>
                <w:szCs w:val="20"/>
                <w:color w:val="auto"/>
              </w:rPr>
            </w:pPr>
            <w:r>
              <w:rPr>
                <w:rFonts w:ascii="Arial" w:cs="Arial" w:eastAsia="Arial" w:hAnsi="Arial"/>
                <w:sz w:val="18"/>
                <w:szCs w:val="18"/>
                <w:color w:val="auto"/>
              </w:rPr>
              <w:t>Employer</w:t>
            </w:r>
          </w:p>
        </w:tc>
        <w:tc>
          <w:tcPr>
            <w:tcW w:w="6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732,867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Rollovers</w:t>
            </w:r>
          </w:p>
        </w:tc>
        <w:tc>
          <w:tcPr>
            <w:tcW w:w="6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333,064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6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3,119,097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Total additions</w:t>
            </w:r>
          </w:p>
        </w:tc>
        <w:tc>
          <w:tcPr>
            <w:tcW w:w="6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4,943,375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4200" w:type="dxa"/>
            <w:vAlign w:val="bottom"/>
            <w:gridSpan w:val="2"/>
          </w:tcPr>
          <w:p>
            <w:pPr>
              <w:spacing w:after="0"/>
              <w:rPr>
                <w:sz w:val="20"/>
                <w:szCs w:val="20"/>
                <w:color w:val="auto"/>
              </w:rPr>
            </w:pPr>
            <w:r>
              <w:rPr>
                <w:rFonts w:ascii="Arial" w:cs="Arial" w:eastAsia="Arial" w:hAnsi="Arial"/>
                <w:sz w:val="18"/>
                <w:szCs w:val="18"/>
                <w:b w:val="1"/>
                <w:bCs w:val="1"/>
                <w:color w:val="auto"/>
              </w:rPr>
              <w:t>Deductions</w:t>
            </w:r>
          </w:p>
        </w:tc>
        <w:tc>
          <w:tcPr>
            <w:tcW w:w="6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Benefits paid directly to participants</w:t>
            </w:r>
          </w:p>
        </w:tc>
        <w:tc>
          <w:tcPr>
            <w:tcW w:w="6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3,105,436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Administrative Fees</w:t>
            </w:r>
          </w:p>
        </w:tc>
        <w:tc>
          <w:tcPr>
            <w:tcW w:w="6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Transfers out of the Plan (Note 1)</w:t>
            </w:r>
          </w:p>
        </w:tc>
        <w:tc>
          <w:tcPr>
            <w:tcW w:w="630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87,145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4200" w:type="dxa"/>
            <w:vAlign w:val="bottom"/>
            <w:gridSpan w:val="2"/>
          </w:tcPr>
          <w:p>
            <w:pPr>
              <w:spacing w:after="0"/>
              <w:rPr>
                <w:sz w:val="20"/>
                <w:szCs w:val="20"/>
                <w:color w:val="auto"/>
              </w:rPr>
            </w:pPr>
            <w:r>
              <w:rPr>
                <w:rFonts w:ascii="Arial" w:cs="Arial" w:eastAsia="Arial" w:hAnsi="Arial"/>
                <w:sz w:val="18"/>
                <w:szCs w:val="18"/>
                <w:color w:val="auto"/>
              </w:rPr>
              <w:t>Total Deductions</w:t>
            </w:r>
          </w:p>
        </w:tc>
        <w:tc>
          <w:tcPr>
            <w:tcW w:w="6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3,205,669</w:t>
            </w: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418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Net increase</w:t>
            </w:r>
          </w:p>
        </w:tc>
        <w:tc>
          <w:tcPr>
            <w:tcW w:w="6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1,737,706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4200" w:type="dxa"/>
            <w:vAlign w:val="bottom"/>
            <w:gridSpan w:val="2"/>
          </w:tcPr>
          <w:p>
            <w:pPr>
              <w:spacing w:after="0"/>
              <w:rPr>
                <w:sz w:val="20"/>
                <w:szCs w:val="20"/>
                <w:color w:val="auto"/>
              </w:rPr>
            </w:pPr>
            <w:r>
              <w:rPr>
                <w:rFonts w:ascii="Arial" w:cs="Arial" w:eastAsia="Arial" w:hAnsi="Arial"/>
                <w:sz w:val="18"/>
                <w:szCs w:val="18"/>
                <w:color w:val="auto"/>
                <w:w w:val="99"/>
              </w:rPr>
              <w:t>Net assets available for benefits at beginning of year</w:t>
            </w:r>
          </w:p>
        </w:tc>
        <w:tc>
          <w:tcPr>
            <w:tcW w:w="63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27,299,975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Net assets available for benefits at end of year</w:t>
            </w:r>
          </w:p>
        </w:tc>
        <w:tc>
          <w:tcPr>
            <w:tcW w:w="6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29,037,681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Financial Statements.</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Casual Male Retail Group, Inc. 401(k) Salaried Savings Plan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1- </w:t>
      </w:r>
      <w:r>
        <w:rPr>
          <w:rFonts w:ascii="Arial" w:cs="Arial" w:eastAsia="Arial" w:hAnsi="Arial"/>
          <w:sz w:val="18"/>
          <w:szCs w:val="18"/>
          <w:u w:val="single" w:color="auto"/>
          <w:color w:val="auto"/>
        </w:rPr>
        <w:t>Description of the Plan</w:t>
      </w:r>
    </w:p>
    <w:p>
      <w:pPr>
        <w:spacing w:after="0" w:line="171"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The following description of Casual Male Retail Group, Inc. 401(k) Salaried Savings Plan (the “Plan”) provides only general information. Participants should refer to the Plan document for a more complete description of the Plan’s provisions.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General</w:t>
      </w:r>
    </w:p>
    <w:p>
      <w:pPr>
        <w:spacing w:after="0" w:line="171"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The Plan is a defined contribution plan covering certain eligible employees of the Casual Male Retail Group, Inc. (the “Company”). The Plan is subject to the provisions of the Employee Retirement Income Security Act of 1974 (ERISA).</w:t>
      </w:r>
    </w:p>
    <w:p>
      <w:pPr>
        <w:spacing w:after="0" w:line="132" w:lineRule="exact"/>
        <w:rPr>
          <w:sz w:val="20"/>
          <w:szCs w:val="20"/>
          <w:color w:val="auto"/>
        </w:rPr>
      </w:pPr>
    </w:p>
    <w:p>
      <w:pPr>
        <w:ind w:right="160"/>
        <w:spacing w:after="0" w:line="438" w:lineRule="auto"/>
        <w:rPr>
          <w:sz w:val="20"/>
          <w:szCs w:val="20"/>
          <w:color w:val="auto"/>
        </w:rPr>
      </w:pPr>
      <w:r>
        <w:rPr>
          <w:rFonts w:ascii="Arial" w:cs="Arial" w:eastAsia="Arial" w:hAnsi="Arial"/>
          <w:sz w:val="18"/>
          <w:szCs w:val="18"/>
          <w:color w:val="auto"/>
        </w:rPr>
        <w:t xml:space="preserve">Effective January 1, 2007. a new custodian (Fidelity Investments) for the Plan was appointed and assets were transferred accordingly from Putnam Investments. </w:t>
      </w:r>
      <w:r>
        <w:rPr>
          <w:rFonts w:ascii="Arial" w:cs="Arial" w:eastAsia="Arial" w:hAnsi="Arial"/>
          <w:sz w:val="18"/>
          <w:szCs w:val="18"/>
          <w:u w:val="single" w:color="auto"/>
          <w:color w:val="auto"/>
        </w:rPr>
        <w:t>Eligibility</w:t>
      </w:r>
    </w:p>
    <w:p>
      <w:pPr>
        <w:spacing w:after="0" w:line="1" w:lineRule="exact"/>
        <w:rPr>
          <w:sz w:val="20"/>
          <w:szCs w:val="20"/>
          <w:color w:val="auto"/>
        </w:rPr>
      </w:pPr>
    </w:p>
    <w:p>
      <w:pPr>
        <w:jc w:val="both"/>
        <w:ind w:right="20"/>
        <w:spacing w:after="0" w:line="298" w:lineRule="auto"/>
        <w:rPr>
          <w:sz w:val="20"/>
          <w:szCs w:val="20"/>
          <w:color w:val="auto"/>
        </w:rPr>
      </w:pPr>
      <w:r>
        <w:rPr>
          <w:rFonts w:ascii="Arial" w:cs="Arial" w:eastAsia="Arial" w:hAnsi="Arial"/>
          <w:sz w:val="16"/>
          <w:szCs w:val="16"/>
          <w:color w:val="auto"/>
        </w:rPr>
        <w:t>All regular, full-time (as defined in the Plan) salaried employees of the Company who have completed six months of employment and are at least 21 years of age are eligible to participate in the Plan. All eligible employees who have not elected to participate in the Plan upon their enrollment date are automatically enrolled. A pretax deferral equal to 5% is made each payroll period. Eligible employees may make an affirmative election not to have automatic enrollment. Changes to the automatic enrollment process were made subsequent to December 31, 2007 (See Note 9).</w:t>
      </w:r>
    </w:p>
    <w:p>
      <w:pPr>
        <w:spacing w:after="0" w:line="11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 participants change positions at the Company, they may change from hourly to salary status or vice versa. Assets transferred to the Casual Male Retail Group, Inc. 401(k) Hourly Savings Plan during the year ended December 31, 2007 were $87,145. Assets transferred from the Casual Male Retail Group, Inc. 401(k) Hourly Savings Plan during the year ended December 31, 2007 were $190,492.</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Contributions</w:t>
      </w:r>
    </w:p>
    <w:p>
      <w:pPr>
        <w:spacing w:after="0" w:line="171"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Each year, participants may contribute from 1% to 80% of pretax annual compensation as defined in the Plan, subject to the provisions of ERISA. Participants may also contribute amounts representing distributions from other qualified defined benefit or defined contribution plans.</w:t>
      </w:r>
    </w:p>
    <w:p>
      <w:pPr>
        <w:spacing w:after="0" w:line="85" w:lineRule="exact"/>
        <w:rPr>
          <w:sz w:val="20"/>
          <w:szCs w:val="20"/>
          <w:color w:val="auto"/>
        </w:rPr>
      </w:pPr>
    </w:p>
    <w:p>
      <w:pPr>
        <w:ind w:right="520"/>
        <w:spacing w:after="0" w:line="306" w:lineRule="auto"/>
        <w:rPr>
          <w:sz w:val="20"/>
          <w:szCs w:val="20"/>
          <w:color w:val="auto"/>
        </w:rPr>
      </w:pPr>
      <w:r>
        <w:rPr>
          <w:rFonts w:ascii="Arial" w:cs="Arial" w:eastAsia="Arial" w:hAnsi="Arial"/>
          <w:sz w:val="16"/>
          <w:szCs w:val="16"/>
          <w:color w:val="auto"/>
        </w:rPr>
        <w:t>Through December 31, 2007, the employer matching contribution was discretionary at the option of the Company’s Board of Directors. For the year ended December 31, 2007, the Company matching contribution was 50% up to the first 6% of compensation that a participant contributed to the Plan. Effective January 1, 2008, the Company adopted the Safe Harbor Matching provisions permitted under the Pension Protection Act of 1006, (see Note 9).</w:t>
      </w:r>
    </w:p>
    <w:p>
      <w:pPr>
        <w:spacing w:after="0" w:line="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Casual Male Retail Group, Inc. 401(k) Salaried Savings Plan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w:t>
      </w:r>
      <w:r>
        <w:rPr>
          <w:rFonts w:ascii="Arial" w:cs="Arial" w:eastAsia="Arial" w:hAnsi="Arial"/>
          <w:sz w:val="18"/>
          <w:szCs w:val="18"/>
          <w:u w:val="single" w:color="auto"/>
          <w:color w:val="auto"/>
        </w:rPr>
        <w:t>Description of the Plan (continued)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Participants’ Accounts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Each participant’s account is credited with the participant’s contribution, the Company’s matching contribution, plan earnings, and an allocation of plan expenses.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benefit to which a participant is entitled is the benefit that can be provided from the participant’s account.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Forfeitures</w:t>
      </w:r>
    </w:p>
    <w:p>
      <w:pPr>
        <w:spacing w:after="0" w:line="171"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Amounts forfeited under the Plan are used to reduce future employer contributions and administrative expenses. At December 31, 2007 and 2006, forfeited non-vested accounts totalled $44,272 and $30,983, respectively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Vesting</w:t>
      </w:r>
    </w:p>
    <w:p>
      <w:pPr>
        <w:spacing w:after="0" w:line="1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Participants are immediately vested in their contributions plus actual earnings thereon. Vesting in the Company contribution portion of their accounts plus actual earnings thereon is based on years of continuous service. For the year ended December 31, 2007, a participant is 100% vested after three years of credited service. Changes to the vesting provisions were adopted effective January 1, 2008 (see Note 9).</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Investment Options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Upon enrollment in the Plan, a participant may direct their elective contribution and Company contributions into various investment options offered by the Plan.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Participants may change their investment options at any time.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Participant Loans</w:t>
      </w:r>
    </w:p>
    <w:p>
      <w:pPr>
        <w:spacing w:after="0" w:line="171"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Participants may borrow the lesser of $50,000 reduced by the individual’s highest outstanding loan balance during the preceding twelve months or 50% of the individual’s vested balance with a minimum of $1,000 per loan. Loan transactions are treated as a transfer to/(from) the investment fund from/(to) the Participant loans fund. Loans are secured by the balance in the participant’s account. Loan terms range from one to five years unless the loan is used to purchase a primary residence, in which case the loan may be repaid over a ten-year period. Other restrictions, as specified in the Plan agreement, may apply to a participant’s loan transaction. Interest rates range from 5% to 9.25% at December 31, 2007. Principal and interest is paid ratably through payroll deductions.</w:t>
      </w:r>
    </w:p>
    <w:p>
      <w:pPr>
        <w:spacing w:after="0" w:line="1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Casual Male Retail Group, Inc. 401(k) Salaried Savings Plan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w:t>
      </w:r>
      <w:r>
        <w:rPr>
          <w:rFonts w:ascii="Arial" w:cs="Arial" w:eastAsia="Arial" w:hAnsi="Arial"/>
          <w:sz w:val="18"/>
          <w:szCs w:val="18"/>
          <w:u w:val="single" w:color="auto"/>
          <w:color w:val="auto"/>
        </w:rPr>
        <w:t>Description of the Plan (continued)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Plan Expenses</w:t>
      </w:r>
    </w:p>
    <w:p>
      <w:pPr>
        <w:spacing w:after="0" w:line="171"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In accordance with the Plan, all administrative expenses may be paid out of the Plan unless paid by the Company. During 2007, certain administrative expenses were paid by the Company.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Payment of Benefits</w:t>
      </w:r>
    </w:p>
    <w:p>
      <w:pPr>
        <w:spacing w:after="0" w:line="17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On termination of service for any reason, a participant may receive a lump sum amount equal to the vested value of the participant’s vested interest in his or her account, if the vested interest is $5,000 or less. If the participant’s vested interest is over $5,000, the participant may elect to receive payment in a lump-sum amount or installments paid over a certain number of years selected by the participant.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Plan Termination</w:t>
      </w:r>
    </w:p>
    <w:p>
      <w:pPr>
        <w:spacing w:after="0" w:line="171"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Although it has not expressed any intent to do so, the Company has the right under the Plan to discontinue its contributions at any time and to terminate the Plan subject to the provisions of ERISA. In the event of a plan termination, participants will become 100% vested in their accounts.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Summary of Significant Accounting Policies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Basis of Accounting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financial statements have been prepared on the accrual basis of accounting.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Investment Valuation</w:t>
      </w:r>
    </w:p>
    <w:p>
      <w:pPr>
        <w:spacing w:after="0" w:line="171"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Investments are stated at fair value. Mutual funds and common stocks are stated at fair value which equals the quoted market price on the last business day of the Plan year. The value of units in the common collective trust fund is the net fair value of the underlying assets as determined generally by using commercial quotation services. Participant loans are valued at their outstanding balances, which approximate fair value.</w:t>
      </w:r>
    </w:p>
    <w:p>
      <w:pPr>
        <w:spacing w:after="0" w:line="107"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Purchases and sales of securities are recorded on a trade-date basis. Interest income is recorded on the accrual basis. Dividends are recorded on the ex-dividend date.</w:t>
      </w:r>
    </w:p>
    <w:p>
      <w:pPr>
        <w:spacing w:after="0" w:line="1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Casual Male Retail Group, Inc. 401(k) Salaried Savings Plan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2- </w:t>
      </w:r>
      <w:r>
        <w:rPr>
          <w:rFonts w:ascii="Arial" w:cs="Arial" w:eastAsia="Arial" w:hAnsi="Arial"/>
          <w:sz w:val="18"/>
          <w:szCs w:val="18"/>
          <w:u w:val="single" w:color="auto"/>
          <w:color w:val="auto"/>
        </w:rPr>
        <w:t>Summary of Significant Accounting Policies (Continued)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Use of Estimates</w:t>
      </w:r>
    </w:p>
    <w:p>
      <w:pPr>
        <w:spacing w:after="0" w:line="2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requires management to make estimates and assumptions that affect the reported amounts of assets and liabilities and changes therein and disclosure of contingent assets and liabilities. Actual results could differ from those estimates.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New Accounting Pronouncements</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The FASB issued SFAS No. 157,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(“SFAS No. 157”). SFAS No. 157 provides a common definition of fair value to be applied to existing generally accepted accounting principals requiring the use of fair value measures, establishes a framework for measuring fair value and enhances disclosure about fair value measures under other accounting pronouncements, but does not change existing guidance as to whether or not an asset or liability is carried at fair value. SFAS No. 157 is effective for fiscal years beginning after November 15, 2007, and, as such, will be adopted by the Plan in 2008. Adoption of SFAS 157 is not expected to have a material impact to the Plan.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Payment of Benefits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Benefits are recorded when paid.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3- </w:t>
      </w:r>
      <w:r>
        <w:rPr>
          <w:rFonts w:ascii="Arial" w:cs="Arial" w:eastAsia="Arial" w:hAnsi="Arial"/>
          <w:sz w:val="18"/>
          <w:szCs w:val="18"/>
          <w:u w:val="single" w:color="auto"/>
          <w:color w:val="auto"/>
        </w:rPr>
        <w:t>Investments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During 2007, the Plan’s investments (including investments purchased, sold as well as held during the year) appreciated in fair value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36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w w:val="92"/>
              </w:rPr>
              <w:t>Net Appreciation</w:t>
            </w:r>
          </w:p>
        </w:tc>
      </w:tr>
      <w:tr>
        <w:trPr>
          <w:trHeight w:val="149"/>
        </w:trPr>
        <w:tc>
          <w:tcPr>
            <w:tcW w:w="10360" w:type="dxa"/>
            <w:vAlign w:val="bottom"/>
          </w:tcPr>
          <w:p>
            <w:pPr>
              <w:spacing w:after="0"/>
              <w:rPr>
                <w:sz w:val="12"/>
                <w:szCs w:val="12"/>
                <w:color w:val="auto"/>
              </w:rPr>
            </w:pPr>
          </w:p>
        </w:tc>
        <w:tc>
          <w:tcPr>
            <w:tcW w:w="10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w w:val="97"/>
              </w:rPr>
              <w:t>in Fair Value of</w:t>
            </w:r>
          </w:p>
        </w:tc>
      </w:tr>
      <w:tr>
        <w:trPr>
          <w:trHeight w:val="161"/>
        </w:trPr>
        <w:tc>
          <w:tcPr>
            <w:tcW w:w="10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5"/>
              </w:rPr>
              <w:t>Investments</w:t>
            </w:r>
          </w:p>
        </w:tc>
      </w:tr>
      <w:tr>
        <w:trPr>
          <w:trHeight w:val="210"/>
        </w:trPr>
        <w:tc>
          <w:tcPr>
            <w:tcW w:w="10360" w:type="dxa"/>
            <w:vAlign w:val="bottom"/>
            <w:shd w:val="clear" w:color="auto" w:fill="CCEEFF"/>
          </w:tcPr>
          <w:p>
            <w:pPr>
              <w:spacing w:after="0"/>
              <w:rPr>
                <w:sz w:val="20"/>
                <w:szCs w:val="20"/>
                <w:color w:val="auto"/>
              </w:rPr>
            </w:pPr>
            <w:r>
              <w:rPr>
                <w:rFonts w:ascii="Arial" w:cs="Arial" w:eastAsia="Arial" w:hAnsi="Arial"/>
                <w:sz w:val="18"/>
                <w:szCs w:val="18"/>
                <w:color w:val="auto"/>
              </w:rPr>
              <w:t>Mutual funds</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644,720</w:t>
            </w:r>
          </w:p>
        </w:tc>
        <w:tc>
          <w:tcPr>
            <w:tcW w:w="60" w:type="dxa"/>
            <w:vAlign w:val="bottom"/>
            <w:shd w:val="clear" w:color="auto" w:fill="CCEEFF"/>
          </w:tcPr>
          <w:p>
            <w:pPr>
              <w:spacing w:after="0"/>
              <w:rPr>
                <w:sz w:val="18"/>
                <w:szCs w:val="18"/>
                <w:color w:val="auto"/>
              </w:rPr>
            </w:pPr>
          </w:p>
        </w:tc>
      </w:tr>
      <w:tr>
        <w:trPr>
          <w:trHeight w:val="223"/>
        </w:trPr>
        <w:tc>
          <w:tcPr>
            <w:tcW w:w="10360" w:type="dxa"/>
            <w:vAlign w:val="bottom"/>
          </w:tcPr>
          <w:p>
            <w:pPr>
              <w:spacing w:after="0"/>
              <w:rPr>
                <w:sz w:val="20"/>
                <w:szCs w:val="20"/>
                <w:color w:val="auto"/>
              </w:rPr>
            </w:pPr>
            <w:r>
              <w:rPr>
                <w:rFonts w:ascii="Arial" w:cs="Arial" w:eastAsia="Arial" w:hAnsi="Arial"/>
                <w:sz w:val="18"/>
                <w:szCs w:val="18"/>
                <w:color w:val="auto"/>
              </w:rPr>
              <w:t>Common Stock</w:t>
            </w:r>
          </w:p>
        </w:tc>
        <w:tc>
          <w:tcPr>
            <w:tcW w:w="12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(244,108)</w:t>
            </w:r>
          </w:p>
        </w:tc>
      </w:tr>
      <w:tr>
        <w:trPr>
          <w:trHeight w:val="216"/>
        </w:trPr>
        <w:tc>
          <w:tcPr>
            <w:tcW w:w="1036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400,612</w:t>
            </w:r>
          </w:p>
        </w:tc>
        <w:tc>
          <w:tcPr>
            <w:tcW w:w="60" w:type="dxa"/>
            <w:vAlign w:val="bottom"/>
            <w:shd w:val="clear" w:color="auto" w:fill="CCEEFF"/>
          </w:tcPr>
          <w:p>
            <w:pPr>
              <w:spacing w:after="0"/>
              <w:rPr>
                <w:sz w:val="18"/>
                <w:szCs w:val="18"/>
                <w:color w:val="auto"/>
              </w:rPr>
            </w:pPr>
          </w:p>
        </w:tc>
      </w:tr>
      <w:tr>
        <w:trPr>
          <w:trHeight w:val="20"/>
        </w:trPr>
        <w:tc>
          <w:tcPr>
            <w:tcW w:w="10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7"/>
        </w:trPr>
        <w:tc>
          <w:tcPr>
            <w:tcW w:w="10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w:t>
            </w:r>
          </w:p>
        </w:tc>
      </w:tr>
    </w:tbl>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Casual Male Retail Group, Inc. 401(k) Salaried Savings Plan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Note 3</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auto"/>
        </w:rPr>
        <w:t>Investments (continued)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Investments that represent 5% or more of the Plan’s net assets available for benefits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57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2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2006</w:t>
            </w:r>
          </w:p>
        </w:tc>
        <w:tc>
          <w:tcPr>
            <w:tcW w:w="2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r>
      <w:tr>
        <w:trPr>
          <w:trHeight w:val="21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Fidelity Advisor Stable Value</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3,659,492</w:t>
            </w:r>
          </w:p>
        </w:tc>
        <w:tc>
          <w:tcPr>
            <w:tcW w:w="9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12.6%</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Fidelity Advisor Freedom 2010</w:t>
            </w:r>
          </w:p>
        </w:tc>
        <w:tc>
          <w:tcPr>
            <w:tcW w:w="2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3,002,870</w:t>
            </w:r>
          </w:p>
        </w:tc>
        <w:tc>
          <w:tcPr>
            <w:tcW w:w="900" w:type="dxa"/>
            <w:vAlign w:val="bottom"/>
            <w:gridSpan w:val="3"/>
          </w:tcPr>
          <w:p>
            <w:pPr>
              <w:ind w:left="220"/>
              <w:spacing w:after="0"/>
              <w:rPr>
                <w:sz w:val="20"/>
                <w:szCs w:val="20"/>
                <w:color w:val="auto"/>
              </w:rPr>
            </w:pPr>
            <w:r>
              <w:rPr>
                <w:rFonts w:ascii="Arial" w:cs="Arial" w:eastAsia="Arial" w:hAnsi="Arial"/>
                <w:sz w:val="18"/>
                <w:szCs w:val="18"/>
                <w:color w:val="auto"/>
              </w:rPr>
              <w:t>10.3%</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Fidelity Advisor Freedom 2005</w:t>
            </w:r>
          </w:p>
        </w:tc>
        <w:tc>
          <w:tcPr>
            <w:tcW w:w="2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2,270,850</w:t>
            </w:r>
          </w:p>
        </w:tc>
        <w:tc>
          <w:tcPr>
            <w:tcW w:w="9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7.8%</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Columbia Acorn Small Cap Val</w:t>
            </w:r>
          </w:p>
        </w:tc>
        <w:tc>
          <w:tcPr>
            <w:tcW w:w="2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1,468,648</w:t>
            </w:r>
          </w:p>
        </w:tc>
        <w:tc>
          <w:tcPr>
            <w:tcW w:w="900" w:type="dxa"/>
            <w:vAlign w:val="bottom"/>
            <w:gridSpan w:val="3"/>
          </w:tcPr>
          <w:p>
            <w:pPr>
              <w:ind w:left="300"/>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JP Morgan Equity Index</w:t>
            </w:r>
          </w:p>
        </w:tc>
        <w:tc>
          <w:tcPr>
            <w:tcW w:w="2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2,919,883</w:t>
            </w:r>
          </w:p>
        </w:tc>
        <w:tc>
          <w:tcPr>
            <w:tcW w:w="9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10.1%</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T Rowe Price Growth Stock</w:t>
            </w:r>
          </w:p>
        </w:tc>
        <w:tc>
          <w:tcPr>
            <w:tcW w:w="2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3,285,685</w:t>
            </w:r>
          </w:p>
        </w:tc>
        <w:tc>
          <w:tcPr>
            <w:tcW w:w="900" w:type="dxa"/>
            <w:vAlign w:val="bottom"/>
            <w:gridSpan w:val="3"/>
          </w:tcPr>
          <w:p>
            <w:pPr>
              <w:ind w:left="220"/>
              <w:spacing w:after="0"/>
              <w:rPr>
                <w:sz w:val="20"/>
                <w:szCs w:val="20"/>
                <w:color w:val="auto"/>
              </w:rPr>
            </w:pPr>
            <w:r>
              <w:rPr>
                <w:rFonts w:ascii="Arial" w:cs="Arial" w:eastAsia="Arial" w:hAnsi="Arial"/>
                <w:sz w:val="18"/>
                <w:szCs w:val="18"/>
                <w:color w:val="auto"/>
              </w:rPr>
              <w:t>11.3%</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Goldman Sachs Large Cap Value</w:t>
            </w:r>
          </w:p>
        </w:tc>
        <w:tc>
          <w:tcPr>
            <w:tcW w:w="2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1,590,136</w:t>
            </w:r>
          </w:p>
        </w:tc>
        <w:tc>
          <w:tcPr>
            <w:tcW w:w="9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5.5%</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Putnam Stable Value Fund</w:t>
            </w:r>
          </w:p>
        </w:tc>
        <w:tc>
          <w:tcPr>
            <w:tcW w:w="2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ind w:right="274"/>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4,589,478</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16.8%</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Putnam S&amp;P 500 Fund</w:t>
            </w:r>
          </w:p>
        </w:tc>
        <w:tc>
          <w:tcPr>
            <w:tcW w:w="2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3,026,806</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11.1%</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American Funds Growth Fund of America Class</w:t>
            </w:r>
          </w:p>
        </w:tc>
        <w:tc>
          <w:tcPr>
            <w:tcW w:w="2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ind w:right="274"/>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2,886,226</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10.6%</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Putnam RetirementReady 2010</w:t>
            </w:r>
          </w:p>
        </w:tc>
        <w:tc>
          <w:tcPr>
            <w:tcW w:w="2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2,552,814</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Putnam RetirementReady Maturity</w:t>
            </w:r>
          </w:p>
        </w:tc>
        <w:tc>
          <w:tcPr>
            <w:tcW w:w="2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ind w:right="274"/>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2,521,026</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9.2%</w:t>
            </w:r>
          </w:p>
        </w:tc>
      </w:tr>
      <w:tr>
        <w:trPr>
          <w:trHeight w:val="27"/>
        </w:trPr>
        <w:tc>
          <w:tcPr>
            <w:tcW w:w="57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574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18,197,564</w:t>
            </w:r>
          </w:p>
        </w:tc>
        <w:tc>
          <w:tcPr>
            <w:tcW w:w="9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62.7%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15,576,350</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57.1%</w:t>
            </w:r>
          </w:p>
        </w:tc>
      </w:tr>
      <w:tr>
        <w:trPr>
          <w:trHeight w:val="20"/>
        </w:trPr>
        <w:tc>
          <w:tcPr>
            <w:tcW w:w="57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57"/>
        </w:trPr>
        <w:tc>
          <w:tcPr>
            <w:tcW w:w="57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8</w:t>
            </w:r>
          </w:p>
        </w:tc>
      </w:tr>
    </w:tbl>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Casual Male Retail Group, Inc. 401(k) Salaried Savings Plan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4- </w:t>
      </w:r>
      <w:r>
        <w:rPr>
          <w:rFonts w:ascii="Arial" w:cs="Arial" w:eastAsia="Arial" w:hAnsi="Arial"/>
          <w:sz w:val="18"/>
          <w:szCs w:val="18"/>
          <w:u w:val="single" w:color="auto"/>
          <w:color w:val="auto"/>
        </w:rPr>
        <w:t>Investment Contract with Insurance Company</w:t>
      </w:r>
    </w:p>
    <w:p>
      <w:pPr>
        <w:spacing w:after="0" w:line="171"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During 2007, the Plan entered into a benefit-responsive investment contract with Fidelity Investments (Fidelity). Fidelity maintains the contributions in a general account. The account is credited with earnings on the underlying investments and charged for participant withdrawals and administrative expenses. The guaranteed investment contract issuer is contractually obligated to repay the principal and a specified interest rate that is guaranteed to the Plan.</w:t>
      </w:r>
    </w:p>
    <w:p>
      <w:pPr>
        <w:spacing w:after="0" w:line="107"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Because the guaranteed investment contract is fully benefit-responsive, contract value is the relevant measurement attribute for that portion of the net assets available for benefits attributable to the guaranteed investment contract. Contract value, as reported to the Plan by Fidelity, represents contributions made under the contract, plus earnings, less participant withdrawals and administrative expenses. Participants my ordinarily direct the withdrawal or transfer of all or a portion of their investment at contract value.</w:t>
      </w:r>
    </w:p>
    <w:p>
      <w:pPr>
        <w:spacing w:after="0" w:line="143"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There are no reserves against contract value for credit risk of the contract issuer or otherwise. The crediting interest rate is based on a formula agreed upon with the issuer, but it may not be less than zero percent. Such interest rates are reviewed on a quarterly basis for resetting.</w:t>
      </w:r>
    </w:p>
    <w:p>
      <w:pPr>
        <w:spacing w:after="0" w:line="8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Certain events limit the ability of the Plan to transact at contract value with the issuer. Such events include the following: (1) amendments to the Plan documents (including complete or partial plan termination or merger with another plan), (2) changes to the Plan’s prohibition on competing investment options or deletion of equity wash provisions, (3) bankruptcy of the plan sponsor or other plan sponsor events (for example, divestitures or spin-offs of a subsidiary) that cause a significant withdrawal from the Plan, or (4) the failure of the trust to qualify for exemption from federal income taxes or any required prohibited transaction exemption under ERISA. The Plan administrator does not believe that the occurrence of any such event, which would limit the Plan’s ability to transact at contract value with participants, is probable.</w:t>
      </w:r>
    </w:p>
    <w:p>
      <w:pPr>
        <w:spacing w:after="0" w:line="1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Casual Male Retail Group, Inc. 401(k) Salaried Savings Plan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960" w:type="dxa"/>
            <w:vAlign w:val="bottom"/>
            <w:gridSpan w:val="4"/>
          </w:tcPr>
          <w:p>
            <w:pPr>
              <w:spacing w:after="0"/>
              <w:rPr>
                <w:sz w:val="20"/>
                <w:szCs w:val="20"/>
                <w:color w:val="auto"/>
              </w:rPr>
            </w:pPr>
            <w:r>
              <w:rPr>
                <w:rFonts w:ascii="Arial" w:cs="Arial" w:eastAsia="Arial" w:hAnsi="Arial"/>
                <w:sz w:val="18"/>
                <w:szCs w:val="18"/>
                <w:color w:val="auto"/>
              </w:rPr>
              <w:t>Note 4- Investment Contract with Insurance Company (continued)</w:t>
            </w:r>
          </w:p>
        </w:tc>
        <w:tc>
          <w:tcPr>
            <w:tcW w:w="8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4100" w:type="dxa"/>
            <w:vAlign w:val="bottom"/>
            <w:shd w:val="clear" w:color="auto" w:fill="000000"/>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9960" w:type="dxa"/>
            <w:vAlign w:val="bottom"/>
            <w:gridSpan w:val="4"/>
          </w:tcPr>
          <w:p>
            <w:pPr>
              <w:spacing w:after="0"/>
              <w:rPr>
                <w:sz w:val="20"/>
                <w:szCs w:val="20"/>
                <w:color w:val="auto"/>
              </w:rPr>
            </w:pPr>
            <w:r>
              <w:rPr>
                <w:rFonts w:ascii="Arial" w:cs="Arial" w:eastAsia="Arial" w:hAnsi="Arial"/>
                <w:sz w:val="18"/>
                <w:szCs w:val="18"/>
                <w:color w:val="auto"/>
                <w:w w:val="88"/>
              </w:rPr>
              <w:t>The guaranteed investment contract does not permit the insurance company to terminate the agreement prior to the scheduled maturity date.</w:t>
            </w: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56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5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4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Average yields:</w:t>
            </w:r>
          </w:p>
        </w:tc>
        <w:tc>
          <w:tcPr>
            <w:tcW w:w="80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rPr>
              <w:t>2007</w:t>
            </w:r>
          </w:p>
        </w:tc>
        <w:tc>
          <w:tcPr>
            <w:tcW w:w="6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2006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gridSpan w:val="3"/>
          </w:tcPr>
          <w:p>
            <w:pPr>
              <w:spacing w:after="0"/>
              <w:rPr>
                <w:sz w:val="20"/>
                <w:szCs w:val="20"/>
                <w:color w:val="auto"/>
              </w:rPr>
            </w:pPr>
            <w:r>
              <w:rPr>
                <w:rFonts w:ascii="Arial" w:cs="Arial" w:eastAsia="Arial" w:hAnsi="Arial"/>
                <w:sz w:val="18"/>
                <w:szCs w:val="18"/>
                <w:color w:val="auto"/>
              </w:rPr>
              <w:t>Based on actual earnings</w:t>
            </w:r>
          </w:p>
        </w:tc>
        <w:tc>
          <w:tcPr>
            <w:tcW w:w="800" w:type="dxa"/>
            <w:vAlign w:val="bottom"/>
          </w:tcPr>
          <w:p>
            <w:pPr>
              <w:jc w:val="right"/>
              <w:ind w:right="72"/>
              <w:spacing w:after="0"/>
              <w:rPr>
                <w:sz w:val="20"/>
                <w:szCs w:val="20"/>
                <w:color w:val="auto"/>
              </w:rPr>
            </w:pPr>
            <w:r>
              <w:rPr>
                <w:rFonts w:ascii="Arial" w:cs="Arial" w:eastAsia="Arial" w:hAnsi="Arial"/>
                <w:sz w:val="18"/>
                <w:szCs w:val="18"/>
                <w:color w:val="auto"/>
              </w:rPr>
              <w:t>4.85%</w:t>
            </w:r>
          </w:p>
        </w:tc>
        <w:tc>
          <w:tcPr>
            <w:tcW w:w="660" w:type="dxa"/>
            <w:vAlign w:val="bottom"/>
          </w:tcPr>
          <w:p>
            <w:pPr>
              <w:jc w:val="right"/>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Based on interest rate credited to participants</w:t>
            </w:r>
          </w:p>
        </w:tc>
        <w:tc>
          <w:tcPr>
            <w:tcW w:w="8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4.15%</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0" w:type="dxa"/>
            <w:vAlign w:val="bottom"/>
          </w:tcPr>
          <w:p>
            <w:pPr>
              <w:spacing w:after="0"/>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5- </w:t>
      </w:r>
      <w:r>
        <w:rPr>
          <w:rFonts w:ascii="Arial" w:cs="Arial" w:eastAsia="Arial" w:hAnsi="Arial"/>
          <w:sz w:val="18"/>
          <w:szCs w:val="18"/>
          <w:u w:val="single" w:color="auto"/>
          <w:color w:val="auto"/>
        </w:rPr>
        <w:t>Nonparticipant Directed Investments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Information about the net assets and the significant components of the change in net assets relating to the nonparticipant directed investments is as follows:</w:t>
      </w:r>
    </w:p>
    <w:p>
      <w:pPr>
        <w:spacing w:after="0" w:line="23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940" w:type="dxa"/>
            <w:vAlign w:val="bottom"/>
          </w:tcPr>
          <w:p>
            <w:pPr>
              <w:spacing w:after="0"/>
              <w:rPr>
                <w:sz w:val="14"/>
                <w:szCs w:val="14"/>
                <w:color w:val="auto"/>
              </w:rPr>
            </w:pPr>
          </w:p>
        </w:tc>
        <w:tc>
          <w:tcPr>
            <w:tcW w:w="164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85"/>
              </w:rPr>
              <w:t>December 31,</w:t>
            </w:r>
          </w:p>
        </w:tc>
      </w:tr>
      <w:tr>
        <w:trPr>
          <w:trHeight w:val="142"/>
        </w:trPr>
        <w:tc>
          <w:tcPr>
            <w:tcW w:w="794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104"/>
              <w:spacing w:after="0" w:line="142" w:lineRule="exact"/>
              <w:rPr>
                <w:sz w:val="20"/>
                <w:szCs w:val="20"/>
                <w:color w:val="auto"/>
              </w:rPr>
            </w:pPr>
            <w:r>
              <w:rPr>
                <w:rFonts w:ascii="Arial" w:cs="Arial" w:eastAsia="Arial" w:hAnsi="Arial"/>
                <w:sz w:val="14"/>
                <w:szCs w:val="14"/>
                <w:b w:val="1"/>
                <w:bCs w:val="1"/>
                <w:color w:val="auto"/>
              </w:rPr>
              <w:t>2007</w:t>
            </w:r>
          </w:p>
        </w:tc>
        <w:tc>
          <w:tcPr>
            <w:tcW w:w="38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2"/>
                <w:szCs w:val="12"/>
                <w:color w:val="auto"/>
              </w:rPr>
            </w:pPr>
          </w:p>
        </w:tc>
      </w:tr>
      <w:tr>
        <w:trPr>
          <w:trHeight w:val="210"/>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Net assets:</w:t>
            </w: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7940" w:type="dxa"/>
            <w:vAlign w:val="bottom"/>
          </w:tcPr>
          <w:p>
            <w:pPr>
              <w:ind w:left="440"/>
              <w:spacing w:after="0"/>
              <w:rPr>
                <w:sz w:val="20"/>
                <w:szCs w:val="20"/>
                <w:color w:val="auto"/>
              </w:rPr>
            </w:pPr>
            <w:r>
              <w:rPr>
                <w:rFonts w:ascii="Arial" w:cs="Arial" w:eastAsia="Arial" w:hAnsi="Arial"/>
                <w:sz w:val="18"/>
                <w:szCs w:val="18"/>
                <w:color w:val="auto"/>
              </w:rPr>
              <w:t>Fidelity Advisor Stable Value Fund</w:t>
            </w:r>
          </w:p>
        </w:tc>
        <w:tc>
          <w:tcPr>
            <w:tcW w:w="620" w:type="dxa"/>
            <w:vAlign w:val="bottom"/>
          </w:tcPr>
          <w:p>
            <w:pPr>
              <w:jc w:val="right"/>
              <w:spacing w:after="0"/>
              <w:rPr>
                <w:sz w:val="20"/>
                <w:szCs w:val="20"/>
                <w:color w:val="auto"/>
              </w:rPr>
            </w:pPr>
            <w:r>
              <w:rPr>
                <w:rFonts w:ascii="Arial" w:cs="Arial" w:eastAsia="Arial" w:hAnsi="Arial"/>
                <w:sz w:val="18"/>
                <w:szCs w:val="18"/>
                <w:color w:val="auto"/>
                <w:w w:val="85"/>
              </w:rPr>
              <w:t>$ 44,272</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6"/>
        </w:trPr>
        <w:tc>
          <w:tcPr>
            <w:tcW w:w="7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Putnam Stable Value Fund</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30,983</w:t>
            </w:r>
          </w:p>
        </w:tc>
        <w:tc>
          <w:tcPr>
            <w:tcW w:w="60" w:type="dxa"/>
            <w:vAlign w:val="bottom"/>
            <w:shd w:val="clear" w:color="auto" w:fill="CCEEFF"/>
          </w:tcPr>
          <w:p>
            <w:pPr>
              <w:spacing w:after="0"/>
              <w:rPr>
                <w:sz w:val="18"/>
                <w:szCs w:val="18"/>
                <w:color w:val="auto"/>
              </w:rPr>
            </w:pPr>
          </w:p>
        </w:tc>
      </w:tr>
      <w:tr>
        <w:trPr>
          <w:trHeight w:val="222"/>
        </w:trPr>
        <w:tc>
          <w:tcPr>
            <w:tcW w:w="7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5"/>
              </w:rPr>
              <w:t>$ 44,272</w:t>
            </w:r>
          </w:p>
        </w:tc>
        <w:tc>
          <w:tcPr>
            <w:tcW w:w="4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30,983</w:t>
            </w:r>
          </w:p>
        </w:tc>
        <w:tc>
          <w:tcPr>
            <w:tcW w:w="60" w:type="dxa"/>
            <w:vAlign w:val="bottom"/>
          </w:tcPr>
          <w:p>
            <w:pPr>
              <w:spacing w:after="0"/>
              <w:rPr>
                <w:sz w:val="19"/>
                <w:szCs w:val="19"/>
                <w:color w:val="auto"/>
              </w:rPr>
            </w:pPr>
          </w:p>
        </w:tc>
      </w:tr>
      <w:tr>
        <w:trPr>
          <w:trHeight w:val="20"/>
        </w:trPr>
        <w:tc>
          <w:tcPr>
            <w:tcW w:w="79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60"/>
        </w:trPr>
        <w:tc>
          <w:tcPr>
            <w:tcW w:w="7940" w:type="dxa"/>
            <w:vAlign w:val="bottom"/>
          </w:tcPr>
          <w:p>
            <w:pPr>
              <w:spacing w:after="0"/>
              <w:rPr>
                <w:sz w:val="24"/>
                <w:szCs w:val="24"/>
                <w:color w:val="auto"/>
              </w:rPr>
            </w:pPr>
          </w:p>
        </w:tc>
        <w:tc>
          <w:tcPr>
            <w:tcW w:w="164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88"/>
              </w:rPr>
              <w:t>Year Ended</w:t>
            </w:r>
          </w:p>
        </w:tc>
      </w:tr>
      <w:tr>
        <w:trPr>
          <w:trHeight w:val="161"/>
        </w:trPr>
        <w:tc>
          <w:tcPr>
            <w:tcW w:w="7940" w:type="dxa"/>
            <w:vAlign w:val="bottom"/>
          </w:tcPr>
          <w:p>
            <w:pPr>
              <w:spacing w:after="0"/>
              <w:rPr>
                <w:sz w:val="14"/>
                <w:szCs w:val="14"/>
                <w:color w:val="auto"/>
              </w:rPr>
            </w:pPr>
          </w:p>
        </w:tc>
        <w:tc>
          <w:tcPr>
            <w:tcW w:w="164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86"/>
              </w:rPr>
              <w:t>December 31,2007</w:t>
            </w:r>
          </w:p>
        </w:tc>
      </w:tr>
      <w:tr>
        <w:trPr>
          <w:trHeight w:val="210"/>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Changes in Net assets:</w:t>
            </w:r>
          </w:p>
        </w:tc>
        <w:tc>
          <w:tcPr>
            <w:tcW w:w="6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7940" w:type="dxa"/>
            <w:vAlign w:val="bottom"/>
          </w:tcPr>
          <w:p>
            <w:pPr>
              <w:ind w:left="440"/>
              <w:spacing w:after="0"/>
              <w:rPr>
                <w:sz w:val="20"/>
                <w:szCs w:val="20"/>
                <w:color w:val="auto"/>
              </w:rPr>
            </w:pPr>
            <w:r>
              <w:rPr>
                <w:rFonts w:ascii="Arial" w:cs="Arial" w:eastAsia="Arial" w:hAnsi="Arial"/>
                <w:sz w:val="18"/>
                <w:szCs w:val="18"/>
                <w:color w:val="auto"/>
              </w:rPr>
              <w:t>Interest and dividend income</w:t>
            </w:r>
          </w:p>
        </w:tc>
        <w:tc>
          <w:tcPr>
            <w:tcW w:w="62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1,485</w:t>
            </w:r>
          </w:p>
        </w:tc>
        <w:tc>
          <w:tcPr>
            <w:tcW w:w="60" w:type="dxa"/>
            <w:vAlign w:val="bottom"/>
          </w:tcPr>
          <w:p>
            <w:pPr>
              <w:spacing w:after="0"/>
              <w:rPr>
                <w:sz w:val="18"/>
                <w:szCs w:val="18"/>
                <w:color w:val="auto"/>
              </w:rPr>
            </w:pPr>
          </w:p>
        </w:tc>
      </w:tr>
      <w:tr>
        <w:trPr>
          <w:trHeight w:val="216"/>
        </w:trPr>
        <w:tc>
          <w:tcPr>
            <w:tcW w:w="7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Forfeitures relating to current year distributions and Withdrawals</w:t>
            </w: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11,960</w:t>
            </w:r>
          </w:p>
        </w:tc>
      </w:tr>
      <w:tr>
        <w:trPr>
          <w:trHeight w:val="216"/>
        </w:trPr>
        <w:tc>
          <w:tcPr>
            <w:tcW w:w="7940" w:type="dxa"/>
            <w:vAlign w:val="bottom"/>
          </w:tcPr>
          <w:p>
            <w:pPr>
              <w:ind w:left="440"/>
              <w:spacing w:after="0"/>
              <w:rPr>
                <w:sz w:val="20"/>
                <w:szCs w:val="20"/>
                <w:color w:val="auto"/>
              </w:rPr>
            </w:pPr>
            <w:r>
              <w:rPr>
                <w:rFonts w:ascii="Arial" w:cs="Arial" w:eastAsia="Arial" w:hAnsi="Arial"/>
                <w:sz w:val="18"/>
                <w:szCs w:val="18"/>
                <w:color w:val="auto"/>
              </w:rPr>
              <w:t>Administrative expenses</w:t>
            </w: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(156)</w:t>
            </w:r>
          </w:p>
        </w:tc>
      </w:tr>
      <w:tr>
        <w:trPr>
          <w:trHeight w:val="27"/>
        </w:trPr>
        <w:tc>
          <w:tcPr>
            <w:tcW w:w="7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79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13,289</w:t>
            </w:r>
          </w:p>
        </w:tc>
        <w:tc>
          <w:tcPr>
            <w:tcW w:w="6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Note 6—</w:t>
      </w:r>
      <w:r>
        <w:rPr>
          <w:rFonts w:ascii="Arial" w:cs="Arial" w:eastAsia="Arial" w:hAnsi="Arial"/>
          <w:sz w:val="18"/>
          <w:szCs w:val="18"/>
          <w:u w:val="single" w:color="auto"/>
          <w:color w:val="auto"/>
        </w:rPr>
        <w:t>Risks and Uncertainties</w:t>
      </w:r>
    </w:p>
    <w:p>
      <w:pPr>
        <w:spacing w:after="0" w:line="171" w:lineRule="exact"/>
        <w:rPr>
          <w:sz w:val="20"/>
          <w:szCs w:val="20"/>
          <w:color w:val="auto"/>
        </w:rPr>
      </w:pPr>
    </w:p>
    <w:p>
      <w:pPr>
        <w:jc w:val="both"/>
        <w:ind w:right="20"/>
        <w:spacing w:after="0" w:line="335" w:lineRule="auto"/>
        <w:rPr>
          <w:sz w:val="20"/>
          <w:szCs w:val="20"/>
          <w:color w:val="auto"/>
        </w:rPr>
      </w:pPr>
      <w:r>
        <w:rPr>
          <w:rFonts w:ascii="Arial" w:cs="Arial" w:eastAsia="Arial" w:hAnsi="Arial"/>
          <w:sz w:val="15"/>
          <w:szCs w:val="15"/>
          <w:color w:val="auto"/>
        </w:rPr>
        <w:t>The Plan invests in various investment securities. Investment securities are exposed to various risks such as interest rate, market and credit risks. Due to the level of risk associated with certain investment securities, it is at least reasonably possible that changes in the values of investment securities will occur in the near term and that such changes could materially affect participants’ account balances and the amounts reported in the statements of net assets available for benefits.</w:t>
      </w:r>
    </w:p>
    <w:p>
      <w:pPr>
        <w:spacing w:after="0" w:line="7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Casual Male Retail Group, Inc. 401(k) Salaried Savings Plan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color w:val="auto"/>
        </w:rPr>
        <w:t>Note 7</w:t>
      </w:r>
      <w:r>
        <w:rPr>
          <w:rFonts w:ascii="Arial" w:cs="Arial" w:eastAsia="Arial" w:hAnsi="Arial"/>
          <w:sz w:val="18"/>
          <w:szCs w:val="18"/>
          <w:b w:val="1"/>
          <w:bCs w:val="1"/>
          <w:color w:val="auto"/>
        </w:rPr>
        <w:t>—</w:t>
      </w:r>
      <w:r>
        <w:rPr>
          <w:rFonts w:ascii="Arial" w:cs="Arial" w:eastAsia="Arial" w:hAnsi="Arial"/>
          <w:sz w:val="18"/>
          <w:szCs w:val="18"/>
          <w:u w:val="single" w:color="auto"/>
          <w:color w:val="auto"/>
        </w:rPr>
        <w:t>Income Tax Status</w:t>
      </w:r>
    </w:p>
    <w:p>
      <w:pPr>
        <w:spacing w:after="0" w:line="177" w:lineRule="exact"/>
        <w:rPr>
          <w:sz w:val="20"/>
          <w:szCs w:val="20"/>
          <w:color w:val="auto"/>
        </w:rPr>
      </w:pPr>
    </w:p>
    <w:p>
      <w:pPr>
        <w:spacing w:after="0" w:line="305" w:lineRule="auto"/>
        <w:rPr>
          <w:sz w:val="20"/>
          <w:szCs w:val="20"/>
          <w:color w:val="auto"/>
        </w:rPr>
      </w:pPr>
      <w:r>
        <w:rPr>
          <w:rFonts w:ascii="Arial" w:cs="Arial" w:eastAsia="Arial" w:hAnsi="Arial"/>
          <w:sz w:val="15"/>
          <w:szCs w:val="15"/>
          <w:color w:val="auto"/>
        </w:rPr>
        <w:t>The underlying non-standardized prototype plan has received an opinion letter from the Internal Revenue Service (IRS) dated August 9, 2002 stating that the form of the plan is qualified under Section 401 of the Internal Revenue Code and, therefore, the related trust is tax-exempt. In accordance with Revenue Procedure</w:t>
      </w:r>
    </w:p>
    <w:p>
      <w:pPr>
        <w:ind w:right="100"/>
        <w:spacing w:after="0" w:line="254" w:lineRule="auto"/>
        <w:rPr>
          <w:sz w:val="20"/>
          <w:szCs w:val="20"/>
          <w:color w:val="auto"/>
        </w:rPr>
      </w:pPr>
      <w:r>
        <w:rPr>
          <w:rFonts w:ascii="Arial" w:cs="Arial" w:eastAsia="Arial" w:hAnsi="Arial"/>
          <w:sz w:val="18"/>
          <w:szCs w:val="18"/>
          <w:color w:val="auto"/>
        </w:rPr>
        <w:t>2002-6 and Announcement 2001-77, the Plan Sponsor has determined that it is eligible to and has chosen to rely on the current IRS prototype plan opinion letter. Once qualified, the Plan is required to operate in conformity with the Code to maintain its qualification. The Plan has been amended since receiving the determination letter. However, the plan administrator believes the Plan is being operated in compliance with the applicable requirements of the Code and, therefore, believes that the Plan is qualified and the related trust is tax-exempt.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8 – </w:t>
      </w:r>
      <w:r>
        <w:rPr>
          <w:rFonts w:ascii="Arial" w:cs="Arial" w:eastAsia="Arial" w:hAnsi="Arial"/>
          <w:sz w:val="18"/>
          <w:szCs w:val="18"/>
          <w:u w:val="single" w:color="auto"/>
          <w:color w:val="auto"/>
        </w:rPr>
        <w:t>Excess Deferred Compensation Contributions</w:t>
      </w:r>
    </w:p>
    <w:p>
      <w:pPr>
        <w:spacing w:after="0" w:line="171"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Excess contributions to the Plan for the year ended December 31, 2007 were $12,370. The Company returned $4,431 of the excess contribution to the participants on March 10, 2008. Subsequent to March 15, 2008, $387 of excess contributions were returned to participants and $7,552 can be used as catch up contributions. The $4,431 is recorded as a deduction from contributions for the year ended December 31, 2007, the $7,552 will be shown as a contribution for the year ended December 31, 2008 and the $387 will be shown as distributions for the year ended December 31, 2008.</w:t>
      </w:r>
    </w:p>
    <w:p>
      <w:pPr>
        <w:spacing w:after="0" w:line="113"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Excess contributions to the Plan for the year ended December 31, 2006 were $123,253. The Company returned $100,900 of the excess contribution to the participants on March 15, 2007 and $22,353 on March 29,2007.</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9- </w:t>
      </w:r>
      <w:r>
        <w:rPr>
          <w:rFonts w:ascii="Arial" w:cs="Arial" w:eastAsia="Arial" w:hAnsi="Arial"/>
          <w:sz w:val="18"/>
          <w:szCs w:val="18"/>
          <w:u w:val="single" w:color="auto"/>
          <w:color w:val="auto"/>
        </w:rPr>
        <w:t>Subsequent Event</w:t>
      </w:r>
    </w:p>
    <w:p>
      <w:pPr>
        <w:spacing w:after="0" w:line="171"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Effective January 1, 2008, the Plan approved and adopted the Safe Harbor Matching provisions permitted under the Pension Protection Act of 2006 and the following changes were made:</w:t>
      </w:r>
    </w:p>
    <w:p>
      <w:pPr>
        <w:spacing w:after="0" w:line="51" w:lineRule="exact"/>
        <w:rPr>
          <w:sz w:val="20"/>
          <w:szCs w:val="20"/>
          <w:color w:val="auto"/>
        </w:rPr>
      </w:pPr>
    </w:p>
    <w:p>
      <w:pPr>
        <w:ind w:left="900" w:right="2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pre-tax deferral for automatic enrollment will increase annually by 1% not to exceed 10%, unless an eligible employee affirmatively elects not to contribute.</w:t>
      </w:r>
    </w:p>
    <w:p>
      <w:pPr>
        <w:spacing w:after="0" w:line="50" w:lineRule="exact"/>
        <w:rPr>
          <w:rFonts w:ascii="Arial" w:cs="Arial" w:eastAsia="Arial" w:hAnsi="Arial"/>
          <w:sz w:val="18"/>
          <w:szCs w:val="18"/>
          <w:color w:val="auto"/>
        </w:rPr>
      </w:pPr>
    </w:p>
    <w:p>
      <w:pPr>
        <w:ind w:left="900" w:right="54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will contribute a match equal to the sum of (i) 100% of the participant’s elective deferrals for the first 1% of compensation plus (ii) 50% of the participant’s elective deferrals for the next 5% of compensation.</w:t>
      </w:r>
    </w:p>
    <w:p>
      <w:pPr>
        <w:spacing w:after="0" w:line="50" w:lineRule="exact"/>
        <w:rPr>
          <w:rFonts w:ascii="Arial" w:cs="Arial" w:eastAsia="Arial" w:hAnsi="Arial"/>
          <w:sz w:val="18"/>
          <w:szCs w:val="18"/>
          <w:color w:val="auto"/>
        </w:rPr>
      </w:pPr>
    </w:p>
    <w:p>
      <w:pPr>
        <w:ind w:left="900" w:right="20" w:hanging="325"/>
        <w:spacing w:after="0" w:line="259"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participant’s vesting with respect to the Company contribution will change from the current three-year straight-line vesting to a two-year cliff vesting. Participants, who joined the Plan during fiscal 2007, will be entitled to receive a partial vesting equal to 34% for their first year of completed service.</w:t>
      </w:r>
    </w:p>
    <w:p>
      <w:pPr>
        <w:spacing w:after="0" w:line="1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right"/>
        <w:ind w:right="2779"/>
        <w:spacing w:after="0"/>
        <w:rPr>
          <w:sz w:val="20"/>
          <w:szCs w:val="20"/>
          <w:color w:val="auto"/>
        </w:rPr>
      </w:pPr>
      <w:r>
        <w:rPr>
          <w:rFonts w:ascii="Arial" w:cs="Arial" w:eastAsia="Arial" w:hAnsi="Arial"/>
          <w:sz w:val="32"/>
          <w:szCs w:val="32"/>
          <w:b w:val="1"/>
          <w:bCs w:val="1"/>
          <w:color w:val="auto"/>
        </w:rPr>
        <w:t>Supplementary Schedule</w:t>
      </w:r>
    </w:p>
    <w:p>
      <w:pPr>
        <w:sectPr>
          <w:pgSz w:w="11900" w:h="16838" w:orient="portrait"/>
          <w:cols w:equalWidth="0" w:num="1">
            <w:col w:w="10219"/>
          </w:cols>
          <w:pgMar w:left="240" w:top="459" w:right="1440"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Casual Male Retail Group, Inc. 401(k) Salaried Savings Plan</w:t>
      </w:r>
    </w:p>
    <w:p>
      <w:pPr>
        <w:spacing w:after="0" w:line="17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EIN: 04-2623104/Plan Number: 004</w:t>
      </w:r>
    </w:p>
    <w:p>
      <w:pPr>
        <w:spacing w:after="0" w:line="171"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Schedule H, Line 4i – Schedule of Assets Held For Investment Purposes at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End of Year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2007)</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20" w:type="dxa"/>
            <w:vAlign w:val="bottom"/>
          </w:tcPr>
          <w:p>
            <w:pPr>
              <w:jc w:val="center"/>
              <w:spacing w:after="0"/>
              <w:rPr>
                <w:sz w:val="20"/>
                <w:szCs w:val="20"/>
                <w:color w:val="auto"/>
              </w:rPr>
            </w:pPr>
            <w:r>
              <w:rPr>
                <w:rFonts w:ascii="Arial" w:cs="Arial" w:eastAsia="Arial" w:hAnsi="Arial"/>
                <w:sz w:val="14"/>
                <w:szCs w:val="14"/>
                <w:b w:val="1"/>
                <w:bCs w:val="1"/>
                <w:color w:val="auto"/>
                <w:w w:val="88"/>
              </w:rPr>
              <w:t>Identity of Issue,</w:t>
            </w:r>
          </w:p>
        </w:tc>
        <w:tc>
          <w:tcPr>
            <w:tcW w:w="6020" w:type="dxa"/>
            <w:vAlign w:val="bottom"/>
          </w:tcPr>
          <w:p>
            <w:pPr>
              <w:jc w:val="center"/>
              <w:ind w:left="1234"/>
              <w:spacing w:after="0"/>
              <w:rPr>
                <w:sz w:val="20"/>
                <w:szCs w:val="20"/>
                <w:color w:val="auto"/>
              </w:rPr>
            </w:pPr>
            <w:r>
              <w:rPr>
                <w:rFonts w:ascii="Arial" w:cs="Arial" w:eastAsia="Arial" w:hAnsi="Arial"/>
                <w:sz w:val="14"/>
                <w:szCs w:val="14"/>
                <w:b w:val="1"/>
                <w:bCs w:val="1"/>
                <w:color w:val="auto"/>
                <w:w w:val="86"/>
              </w:rPr>
              <w:t>Description of investment including</w:t>
            </w:r>
          </w:p>
        </w:tc>
        <w:tc>
          <w:tcPr>
            <w:tcW w:w="2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2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Borrower, Lessor,</w:t>
            </w:r>
          </w:p>
        </w:tc>
        <w:tc>
          <w:tcPr>
            <w:tcW w:w="6020" w:type="dxa"/>
            <w:vAlign w:val="bottom"/>
          </w:tcPr>
          <w:p>
            <w:pPr>
              <w:jc w:val="center"/>
              <w:ind w:left="1234"/>
              <w:spacing w:after="0" w:line="149" w:lineRule="exact"/>
              <w:rPr>
                <w:sz w:val="20"/>
                <w:szCs w:val="20"/>
                <w:color w:val="auto"/>
              </w:rPr>
            </w:pPr>
            <w:r>
              <w:rPr>
                <w:rFonts w:ascii="Arial" w:cs="Arial" w:eastAsia="Arial" w:hAnsi="Arial"/>
                <w:sz w:val="14"/>
                <w:szCs w:val="14"/>
                <w:b w:val="1"/>
                <w:bCs w:val="1"/>
                <w:color w:val="auto"/>
                <w:w w:val="88"/>
              </w:rPr>
              <w:t>maturity date, rate of interest,</w:t>
            </w:r>
          </w:p>
        </w:tc>
        <w:tc>
          <w:tcPr>
            <w:tcW w:w="2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5"/>
        </w:trPr>
        <w:tc>
          <w:tcPr>
            <w:tcW w:w="20" w:type="dxa"/>
            <w:vAlign w:val="bottom"/>
          </w:tcPr>
          <w:p>
            <w:pPr>
              <w:spacing w:after="0"/>
              <w:rPr>
                <w:sz w:val="15"/>
                <w:szCs w:val="15"/>
                <w:color w:val="auto"/>
              </w:rPr>
            </w:pPr>
          </w:p>
        </w:tc>
        <w:tc>
          <w:tcPr>
            <w:tcW w:w="2120" w:type="dxa"/>
            <w:vAlign w:val="bottom"/>
          </w:tcPr>
          <w:p>
            <w:pPr>
              <w:jc w:val="center"/>
              <w:spacing w:after="0"/>
              <w:rPr>
                <w:sz w:val="20"/>
                <w:szCs w:val="20"/>
                <w:color w:val="auto"/>
              </w:rPr>
            </w:pPr>
            <w:r>
              <w:rPr>
                <w:rFonts w:ascii="Arial" w:cs="Arial" w:eastAsia="Arial" w:hAnsi="Arial"/>
                <w:sz w:val="14"/>
                <w:szCs w:val="14"/>
                <w:b w:val="1"/>
                <w:bCs w:val="1"/>
                <w:color w:val="auto"/>
                <w:w w:val="90"/>
              </w:rPr>
              <w:t>or Similar Party</w:t>
            </w:r>
          </w:p>
        </w:tc>
        <w:tc>
          <w:tcPr>
            <w:tcW w:w="6020" w:type="dxa"/>
            <w:vAlign w:val="bottom"/>
          </w:tcPr>
          <w:p>
            <w:pPr>
              <w:jc w:val="center"/>
              <w:ind w:left="1214"/>
              <w:spacing w:after="0"/>
              <w:rPr>
                <w:sz w:val="20"/>
                <w:szCs w:val="20"/>
                <w:color w:val="auto"/>
              </w:rPr>
            </w:pPr>
            <w:r>
              <w:rPr>
                <w:rFonts w:ascii="Arial" w:cs="Arial" w:eastAsia="Arial" w:hAnsi="Arial"/>
                <w:sz w:val="14"/>
                <w:szCs w:val="14"/>
                <w:b w:val="1"/>
                <w:bCs w:val="1"/>
                <w:color w:val="auto"/>
                <w:w w:val="88"/>
              </w:rPr>
              <w:t>collateral, par, or maturity value</w:t>
            </w:r>
          </w:p>
        </w:tc>
        <w:tc>
          <w:tcPr>
            <w:tcW w:w="2160" w:type="dxa"/>
            <w:vAlign w:val="bottom"/>
          </w:tcPr>
          <w:p>
            <w:pPr>
              <w:jc w:val="right"/>
              <w:ind w:right="53"/>
              <w:spacing w:after="0"/>
              <w:rPr>
                <w:sz w:val="20"/>
                <w:szCs w:val="20"/>
                <w:color w:val="auto"/>
              </w:rPr>
            </w:pPr>
            <w:r>
              <w:rPr>
                <w:rFonts w:ascii="Arial" w:cs="Arial" w:eastAsia="Arial" w:hAnsi="Arial"/>
                <w:sz w:val="14"/>
                <w:szCs w:val="14"/>
                <w:b w:val="1"/>
                <w:bCs w:val="1"/>
                <w:color w:val="auto"/>
              </w:rPr>
              <w:t>Shares/Unis</w:t>
            </w:r>
          </w:p>
        </w:tc>
        <w:tc>
          <w:tcPr>
            <w:tcW w:w="120" w:type="dxa"/>
            <w:vAlign w:val="bottom"/>
          </w:tcPr>
          <w:p>
            <w:pPr>
              <w:spacing w:after="0"/>
              <w:rPr>
                <w:sz w:val="15"/>
                <w:szCs w:val="15"/>
                <w:color w:val="auto"/>
              </w:rPr>
            </w:pPr>
          </w:p>
        </w:tc>
        <w:tc>
          <w:tcPr>
            <w:tcW w:w="1000" w:type="dxa"/>
            <w:vAlign w:val="bottom"/>
            <w:gridSpan w:val="3"/>
          </w:tcPr>
          <w:p>
            <w:pPr>
              <w:ind w:left="80"/>
              <w:spacing w:after="0"/>
              <w:rPr>
                <w:sz w:val="20"/>
                <w:szCs w:val="20"/>
                <w:color w:val="auto"/>
              </w:rPr>
            </w:pPr>
            <w:r>
              <w:rPr>
                <w:rFonts w:ascii="Arial" w:cs="Arial" w:eastAsia="Arial" w:hAnsi="Arial"/>
                <w:sz w:val="14"/>
                <w:szCs w:val="14"/>
                <w:b w:val="1"/>
                <w:bCs w:val="1"/>
                <w:color w:val="auto"/>
                <w:w w:val="97"/>
              </w:rPr>
              <w:t>Current Value</w:t>
            </w:r>
          </w:p>
        </w:tc>
      </w:tr>
      <w:tr>
        <w:trPr>
          <w:trHeight w:val="201"/>
        </w:trPr>
        <w:tc>
          <w:tcPr>
            <w:tcW w:w="20" w:type="dxa"/>
            <w:vAlign w:val="bottom"/>
          </w:tcPr>
          <w:p>
            <w:pPr>
              <w:spacing w:after="0"/>
              <w:rPr>
                <w:sz w:val="17"/>
                <w:szCs w:val="17"/>
                <w:color w:val="auto"/>
              </w:rPr>
            </w:pPr>
          </w:p>
        </w:tc>
        <w:tc>
          <w:tcPr>
            <w:tcW w:w="212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Commingled funds held</w:t>
            </w:r>
          </w:p>
        </w:tc>
        <w:tc>
          <w:tcPr>
            <w:tcW w:w="6020" w:type="dxa"/>
            <w:vAlign w:val="bottom"/>
            <w:tcBorders>
              <w:top w:val="single" w:sz="8" w:color="auto"/>
            </w:tcBorders>
            <w:shd w:val="clear" w:color="auto" w:fill="CCEEFF"/>
          </w:tcPr>
          <w:p>
            <w:pPr>
              <w:spacing w:after="0"/>
              <w:rPr>
                <w:sz w:val="17"/>
                <w:szCs w:val="17"/>
                <w:color w:val="auto"/>
              </w:rPr>
            </w:pPr>
          </w:p>
        </w:tc>
        <w:tc>
          <w:tcPr>
            <w:tcW w:w="21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through Fidelity</w:t>
            </w:r>
          </w:p>
        </w:tc>
        <w:tc>
          <w:tcPr>
            <w:tcW w:w="60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2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Investments:</w:t>
            </w:r>
          </w:p>
        </w:tc>
        <w:tc>
          <w:tcPr>
            <w:tcW w:w="60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6020" w:type="dxa"/>
            <w:vAlign w:val="bottom"/>
          </w:tcPr>
          <w:p>
            <w:pPr>
              <w:ind w:left="240"/>
              <w:spacing w:after="0"/>
              <w:rPr>
                <w:sz w:val="20"/>
                <w:szCs w:val="20"/>
                <w:color w:val="auto"/>
              </w:rPr>
            </w:pPr>
            <w:r>
              <w:rPr>
                <w:rFonts w:ascii="Arial" w:cs="Arial" w:eastAsia="Arial" w:hAnsi="Arial"/>
                <w:sz w:val="18"/>
                <w:szCs w:val="18"/>
                <w:color w:val="auto"/>
              </w:rPr>
              <w:t>*Fidelity Advisor Stable Value Fund (1)</w:t>
            </w:r>
          </w:p>
        </w:tc>
        <w:tc>
          <w:tcPr>
            <w:tcW w:w="2160" w:type="dxa"/>
            <w:vAlign w:val="bottom"/>
          </w:tcPr>
          <w:p>
            <w:pPr>
              <w:jc w:val="right"/>
              <w:ind w:right="13"/>
              <w:spacing w:after="0"/>
              <w:rPr>
                <w:sz w:val="20"/>
                <w:szCs w:val="20"/>
                <w:color w:val="auto"/>
              </w:rPr>
            </w:pPr>
            <w:r>
              <w:rPr>
                <w:rFonts w:ascii="Arial" w:cs="Arial" w:eastAsia="Arial" w:hAnsi="Arial"/>
                <w:sz w:val="18"/>
                <w:szCs w:val="18"/>
                <w:color w:val="auto"/>
              </w:rPr>
              <w:t>3,674,041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3,659,492</w:t>
            </w:r>
          </w:p>
        </w:tc>
        <w:tc>
          <w:tcPr>
            <w:tcW w:w="2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Mutual funds held through</w:t>
            </w:r>
          </w:p>
        </w:tc>
        <w:tc>
          <w:tcPr>
            <w:tcW w:w="60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2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Fidelity Investments:</w:t>
            </w:r>
          </w:p>
        </w:tc>
        <w:tc>
          <w:tcPr>
            <w:tcW w:w="60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6020" w:type="dxa"/>
            <w:vAlign w:val="bottom"/>
          </w:tcPr>
          <w:p>
            <w:pPr>
              <w:ind w:left="240"/>
              <w:spacing w:after="0"/>
              <w:rPr>
                <w:sz w:val="20"/>
                <w:szCs w:val="20"/>
                <w:color w:val="auto"/>
              </w:rPr>
            </w:pPr>
            <w:r>
              <w:rPr>
                <w:rFonts w:ascii="Arial" w:cs="Arial" w:eastAsia="Arial" w:hAnsi="Arial"/>
                <w:sz w:val="18"/>
                <w:szCs w:val="18"/>
                <w:color w:val="auto"/>
              </w:rPr>
              <w:t>Cash-interest bearing</w:t>
            </w:r>
          </w:p>
        </w:tc>
        <w:tc>
          <w:tcPr>
            <w:tcW w:w="2160" w:type="dxa"/>
            <w:vAlign w:val="bottom"/>
          </w:tcPr>
          <w:p>
            <w:pPr>
              <w:jc w:val="right"/>
              <w:ind w:right="37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1,187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6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*Fidelity Advisor Leveraged Company Stock Fund</w:t>
            </w:r>
          </w:p>
        </w:tc>
        <w:tc>
          <w:tcPr>
            <w:tcW w:w="21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35,579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1,363,032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6020" w:type="dxa"/>
            <w:vAlign w:val="bottom"/>
          </w:tcPr>
          <w:p>
            <w:pPr>
              <w:ind w:left="240"/>
              <w:spacing w:after="0"/>
              <w:rPr>
                <w:sz w:val="20"/>
                <w:szCs w:val="20"/>
                <w:color w:val="auto"/>
              </w:rPr>
            </w:pPr>
            <w:r>
              <w:rPr>
                <w:rFonts w:ascii="Arial" w:cs="Arial" w:eastAsia="Arial" w:hAnsi="Arial"/>
                <w:sz w:val="18"/>
                <w:szCs w:val="18"/>
                <w:color w:val="auto"/>
              </w:rPr>
              <w:t>* Fidelity Advisor High Income Adv</w:t>
            </w:r>
          </w:p>
        </w:tc>
        <w:tc>
          <w:tcPr>
            <w:tcW w:w="2160" w:type="dxa"/>
            <w:vAlign w:val="bottom"/>
          </w:tcPr>
          <w:p>
            <w:pPr>
              <w:jc w:val="right"/>
              <w:ind w:right="13"/>
              <w:spacing w:after="0"/>
              <w:rPr>
                <w:sz w:val="20"/>
                <w:szCs w:val="20"/>
                <w:color w:val="auto"/>
              </w:rPr>
            </w:pPr>
            <w:r>
              <w:rPr>
                <w:rFonts w:ascii="Arial" w:cs="Arial" w:eastAsia="Arial" w:hAnsi="Arial"/>
                <w:sz w:val="18"/>
                <w:szCs w:val="18"/>
                <w:color w:val="auto"/>
              </w:rPr>
              <w:t>13,857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139,818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6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 Fidelity Advisor Strategic Income</w:t>
            </w:r>
          </w:p>
        </w:tc>
        <w:tc>
          <w:tcPr>
            <w:tcW w:w="21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28,432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330,381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6020" w:type="dxa"/>
            <w:vAlign w:val="bottom"/>
          </w:tcPr>
          <w:p>
            <w:pPr>
              <w:ind w:left="240"/>
              <w:spacing w:after="0"/>
              <w:rPr>
                <w:sz w:val="20"/>
                <w:szCs w:val="20"/>
                <w:color w:val="auto"/>
              </w:rPr>
            </w:pPr>
            <w:r>
              <w:rPr>
                <w:rFonts w:ascii="Arial" w:cs="Arial" w:eastAsia="Arial" w:hAnsi="Arial"/>
                <w:sz w:val="18"/>
                <w:szCs w:val="18"/>
                <w:color w:val="auto"/>
              </w:rPr>
              <w:t>* Fidelity Advisor Freedom 2010</w:t>
            </w:r>
          </w:p>
        </w:tc>
        <w:tc>
          <w:tcPr>
            <w:tcW w:w="2160" w:type="dxa"/>
            <w:vAlign w:val="bottom"/>
          </w:tcPr>
          <w:p>
            <w:pPr>
              <w:jc w:val="right"/>
              <w:ind w:right="13"/>
              <w:spacing w:after="0"/>
              <w:rPr>
                <w:sz w:val="20"/>
                <w:szCs w:val="20"/>
                <w:color w:val="auto"/>
              </w:rPr>
            </w:pPr>
            <w:r>
              <w:rPr>
                <w:rFonts w:ascii="Arial" w:cs="Arial" w:eastAsia="Arial" w:hAnsi="Arial"/>
                <w:sz w:val="18"/>
                <w:szCs w:val="18"/>
                <w:color w:val="auto"/>
              </w:rPr>
              <w:t>241,388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3,002,870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6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 Fidelity Advisor Freedom 2020</w:t>
            </w:r>
          </w:p>
        </w:tc>
        <w:tc>
          <w:tcPr>
            <w:tcW w:w="21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45,515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626,290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6020" w:type="dxa"/>
            <w:vAlign w:val="bottom"/>
          </w:tcPr>
          <w:p>
            <w:pPr>
              <w:ind w:left="240"/>
              <w:spacing w:after="0"/>
              <w:rPr>
                <w:sz w:val="20"/>
                <w:szCs w:val="20"/>
                <w:color w:val="auto"/>
              </w:rPr>
            </w:pPr>
            <w:r>
              <w:rPr>
                <w:rFonts w:ascii="Arial" w:cs="Arial" w:eastAsia="Arial" w:hAnsi="Arial"/>
                <w:sz w:val="18"/>
                <w:szCs w:val="18"/>
                <w:color w:val="auto"/>
              </w:rPr>
              <w:t>* Fidelity Advisor Freedom 2030</w:t>
            </w:r>
          </w:p>
        </w:tc>
        <w:tc>
          <w:tcPr>
            <w:tcW w:w="2160" w:type="dxa"/>
            <w:vAlign w:val="bottom"/>
          </w:tcPr>
          <w:p>
            <w:pPr>
              <w:jc w:val="right"/>
              <w:ind w:right="13"/>
              <w:spacing w:after="0"/>
              <w:rPr>
                <w:sz w:val="20"/>
                <w:szCs w:val="20"/>
                <w:color w:val="auto"/>
              </w:rPr>
            </w:pPr>
            <w:r>
              <w:rPr>
                <w:rFonts w:ascii="Arial" w:cs="Arial" w:eastAsia="Arial" w:hAnsi="Arial"/>
                <w:sz w:val="18"/>
                <w:szCs w:val="18"/>
                <w:color w:val="auto"/>
              </w:rPr>
              <w:t>18,444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270,199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6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 Fidelity Advisor Freedom 2040</w:t>
            </w:r>
          </w:p>
        </w:tc>
        <w:tc>
          <w:tcPr>
            <w:tcW w:w="21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13,482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203,181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6020" w:type="dxa"/>
            <w:vAlign w:val="bottom"/>
          </w:tcPr>
          <w:p>
            <w:pPr>
              <w:ind w:left="240"/>
              <w:spacing w:after="0"/>
              <w:rPr>
                <w:sz w:val="20"/>
                <w:szCs w:val="20"/>
                <w:color w:val="auto"/>
              </w:rPr>
            </w:pPr>
            <w:r>
              <w:rPr>
                <w:rFonts w:ascii="Arial" w:cs="Arial" w:eastAsia="Arial" w:hAnsi="Arial"/>
                <w:sz w:val="18"/>
                <w:szCs w:val="18"/>
                <w:color w:val="auto"/>
              </w:rPr>
              <w:t>*Fidelity Advisor Freedom Income Fund</w:t>
            </w:r>
          </w:p>
        </w:tc>
        <w:tc>
          <w:tcPr>
            <w:tcW w:w="2160" w:type="dxa"/>
            <w:vAlign w:val="bottom"/>
          </w:tcPr>
          <w:p>
            <w:pPr>
              <w:jc w:val="right"/>
              <w:ind w:right="13"/>
              <w:spacing w:after="0"/>
              <w:rPr>
                <w:sz w:val="20"/>
                <w:szCs w:val="20"/>
                <w:color w:val="auto"/>
              </w:rPr>
            </w:pPr>
            <w:r>
              <w:rPr>
                <w:rFonts w:ascii="Arial" w:cs="Arial" w:eastAsia="Arial" w:hAnsi="Arial"/>
                <w:sz w:val="18"/>
                <w:szCs w:val="18"/>
                <w:color w:val="auto"/>
              </w:rPr>
              <w:t>1,914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20,513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6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 Fidelity Advisor Freedom 2005</w:t>
            </w:r>
          </w:p>
        </w:tc>
        <w:tc>
          <w:tcPr>
            <w:tcW w:w="21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188,923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2,270,850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6020" w:type="dxa"/>
            <w:vAlign w:val="bottom"/>
          </w:tcPr>
          <w:p>
            <w:pPr>
              <w:ind w:left="240"/>
              <w:spacing w:after="0"/>
              <w:rPr>
                <w:sz w:val="20"/>
                <w:szCs w:val="20"/>
                <w:color w:val="auto"/>
              </w:rPr>
            </w:pPr>
            <w:r>
              <w:rPr>
                <w:rFonts w:ascii="Arial" w:cs="Arial" w:eastAsia="Arial" w:hAnsi="Arial"/>
                <w:sz w:val="18"/>
                <w:szCs w:val="18"/>
                <w:color w:val="auto"/>
              </w:rPr>
              <w:t>* Fidelity Advisor Freedom 2015</w:t>
            </w:r>
          </w:p>
        </w:tc>
        <w:tc>
          <w:tcPr>
            <w:tcW w:w="2160" w:type="dxa"/>
            <w:vAlign w:val="bottom"/>
          </w:tcPr>
          <w:p>
            <w:pPr>
              <w:jc w:val="right"/>
              <w:ind w:right="13"/>
              <w:spacing w:after="0"/>
              <w:rPr>
                <w:sz w:val="20"/>
                <w:szCs w:val="20"/>
                <w:color w:val="auto"/>
              </w:rPr>
            </w:pPr>
            <w:r>
              <w:rPr>
                <w:rFonts w:ascii="Arial" w:cs="Arial" w:eastAsia="Arial" w:hAnsi="Arial"/>
                <w:sz w:val="18"/>
                <w:szCs w:val="18"/>
                <w:color w:val="auto"/>
              </w:rPr>
              <w:t>54,027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680,205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6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 Fidelity Advisor Freedom 2025</w:t>
            </w:r>
          </w:p>
        </w:tc>
        <w:tc>
          <w:tcPr>
            <w:tcW w:w="21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27,767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369,855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6020" w:type="dxa"/>
            <w:vAlign w:val="bottom"/>
          </w:tcPr>
          <w:p>
            <w:pPr>
              <w:ind w:left="240"/>
              <w:spacing w:after="0"/>
              <w:rPr>
                <w:sz w:val="20"/>
                <w:szCs w:val="20"/>
                <w:color w:val="auto"/>
              </w:rPr>
            </w:pPr>
            <w:r>
              <w:rPr>
                <w:rFonts w:ascii="Arial" w:cs="Arial" w:eastAsia="Arial" w:hAnsi="Arial"/>
                <w:sz w:val="18"/>
                <w:szCs w:val="18"/>
                <w:color w:val="auto"/>
              </w:rPr>
              <w:t>* Fidelity Advisor Freedom 2035</w:t>
            </w:r>
          </w:p>
        </w:tc>
        <w:tc>
          <w:tcPr>
            <w:tcW w:w="2160" w:type="dxa"/>
            <w:vAlign w:val="bottom"/>
          </w:tcPr>
          <w:p>
            <w:pPr>
              <w:jc w:val="right"/>
              <w:ind w:right="13"/>
              <w:spacing w:after="0"/>
              <w:rPr>
                <w:sz w:val="20"/>
                <w:szCs w:val="20"/>
                <w:color w:val="auto"/>
              </w:rPr>
            </w:pPr>
            <w:r>
              <w:rPr>
                <w:rFonts w:ascii="Arial" w:cs="Arial" w:eastAsia="Arial" w:hAnsi="Arial"/>
                <w:sz w:val="18"/>
                <w:szCs w:val="18"/>
                <w:color w:val="auto"/>
              </w:rPr>
              <w:t>19,519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270,131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6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 Fidelity Advisor Freedom 2045</w:t>
            </w:r>
          </w:p>
        </w:tc>
        <w:tc>
          <w:tcPr>
            <w:tcW w:w="21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9,477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109,648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6020" w:type="dxa"/>
            <w:vAlign w:val="bottom"/>
          </w:tcPr>
          <w:p>
            <w:pPr>
              <w:ind w:left="240"/>
              <w:spacing w:after="0"/>
              <w:rPr>
                <w:sz w:val="20"/>
                <w:szCs w:val="20"/>
                <w:color w:val="auto"/>
              </w:rPr>
            </w:pPr>
            <w:r>
              <w:rPr>
                <w:rFonts w:ascii="Arial" w:cs="Arial" w:eastAsia="Arial" w:hAnsi="Arial"/>
                <w:sz w:val="18"/>
                <w:szCs w:val="18"/>
                <w:color w:val="auto"/>
              </w:rPr>
              <w:t>* Fidelity Advisor Freedom 2050</w:t>
            </w:r>
          </w:p>
        </w:tc>
        <w:tc>
          <w:tcPr>
            <w:tcW w:w="2160" w:type="dxa"/>
            <w:vAlign w:val="bottom"/>
          </w:tcPr>
          <w:p>
            <w:pPr>
              <w:jc w:val="right"/>
              <w:ind w:right="13"/>
              <w:spacing w:after="0"/>
              <w:rPr>
                <w:sz w:val="20"/>
                <w:szCs w:val="20"/>
                <w:color w:val="auto"/>
              </w:rPr>
            </w:pPr>
            <w:r>
              <w:rPr>
                <w:rFonts w:ascii="Arial" w:cs="Arial" w:eastAsia="Arial" w:hAnsi="Arial"/>
                <w:sz w:val="18"/>
                <w:szCs w:val="18"/>
                <w:color w:val="auto"/>
              </w:rPr>
              <w:t>2,514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29,038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6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Federated Bond Fund</w:t>
            </w:r>
          </w:p>
        </w:tc>
        <w:tc>
          <w:tcPr>
            <w:tcW w:w="21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150,980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1,328,624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6020" w:type="dxa"/>
            <w:vAlign w:val="bottom"/>
          </w:tcPr>
          <w:p>
            <w:pPr>
              <w:ind w:left="240"/>
              <w:spacing w:after="0"/>
              <w:rPr>
                <w:sz w:val="20"/>
                <w:szCs w:val="20"/>
                <w:color w:val="auto"/>
              </w:rPr>
            </w:pPr>
            <w:r>
              <w:rPr>
                <w:rFonts w:ascii="Arial" w:cs="Arial" w:eastAsia="Arial" w:hAnsi="Arial"/>
                <w:sz w:val="18"/>
                <w:szCs w:val="18"/>
                <w:color w:val="auto"/>
              </w:rPr>
              <w:t>Columbia Acorn USA</w:t>
            </w:r>
          </w:p>
        </w:tc>
        <w:tc>
          <w:tcPr>
            <w:tcW w:w="2160" w:type="dxa"/>
            <w:vAlign w:val="bottom"/>
          </w:tcPr>
          <w:p>
            <w:pPr>
              <w:jc w:val="right"/>
              <w:ind w:right="13"/>
              <w:spacing w:after="0"/>
              <w:rPr>
                <w:sz w:val="20"/>
                <w:szCs w:val="20"/>
                <w:color w:val="auto"/>
              </w:rPr>
            </w:pPr>
            <w:r>
              <w:rPr>
                <w:rFonts w:ascii="Arial" w:cs="Arial" w:eastAsia="Arial" w:hAnsi="Arial"/>
                <w:sz w:val="18"/>
                <w:szCs w:val="18"/>
                <w:color w:val="auto"/>
              </w:rPr>
              <w:t>17,599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479,234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6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First American Midcap Value</w:t>
            </w:r>
          </w:p>
        </w:tc>
        <w:tc>
          <w:tcPr>
            <w:tcW w:w="21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29,493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736,446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6020" w:type="dxa"/>
            <w:vAlign w:val="bottom"/>
          </w:tcPr>
          <w:p>
            <w:pPr>
              <w:ind w:left="240"/>
              <w:spacing w:after="0"/>
              <w:rPr>
                <w:sz w:val="20"/>
                <w:szCs w:val="20"/>
                <w:color w:val="auto"/>
              </w:rPr>
            </w:pPr>
            <w:r>
              <w:rPr>
                <w:rFonts w:ascii="Arial" w:cs="Arial" w:eastAsia="Arial" w:hAnsi="Arial"/>
                <w:sz w:val="18"/>
                <w:szCs w:val="18"/>
                <w:color w:val="auto"/>
              </w:rPr>
              <w:t>Columbia Acorn International</w:t>
            </w:r>
          </w:p>
        </w:tc>
        <w:tc>
          <w:tcPr>
            <w:tcW w:w="2160" w:type="dxa"/>
            <w:vAlign w:val="bottom"/>
          </w:tcPr>
          <w:p>
            <w:pPr>
              <w:jc w:val="right"/>
              <w:ind w:right="13"/>
              <w:spacing w:after="0"/>
              <w:rPr>
                <w:sz w:val="20"/>
                <w:szCs w:val="20"/>
                <w:color w:val="auto"/>
              </w:rPr>
            </w:pPr>
            <w:r>
              <w:rPr>
                <w:rFonts w:ascii="Arial" w:cs="Arial" w:eastAsia="Arial" w:hAnsi="Arial"/>
                <w:sz w:val="18"/>
                <w:szCs w:val="18"/>
                <w:color w:val="auto"/>
              </w:rPr>
              <w:t>33,824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1,468,648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6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Columbia Acorn Small Cap Value</w:t>
            </w:r>
          </w:p>
        </w:tc>
        <w:tc>
          <w:tcPr>
            <w:tcW w:w="21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32,560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438,253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6020" w:type="dxa"/>
            <w:vAlign w:val="bottom"/>
          </w:tcPr>
          <w:p>
            <w:pPr>
              <w:ind w:left="240"/>
              <w:spacing w:after="0"/>
              <w:rPr>
                <w:sz w:val="20"/>
                <w:szCs w:val="20"/>
                <w:color w:val="auto"/>
              </w:rPr>
            </w:pPr>
            <w:r>
              <w:rPr>
                <w:rFonts w:ascii="Arial" w:cs="Arial" w:eastAsia="Arial" w:hAnsi="Arial"/>
                <w:sz w:val="18"/>
                <w:szCs w:val="18"/>
                <w:color w:val="auto"/>
              </w:rPr>
              <w:t>JP Morgan Equity Index</w:t>
            </w:r>
          </w:p>
        </w:tc>
        <w:tc>
          <w:tcPr>
            <w:tcW w:w="2160" w:type="dxa"/>
            <w:vAlign w:val="bottom"/>
          </w:tcPr>
          <w:p>
            <w:pPr>
              <w:jc w:val="right"/>
              <w:ind w:right="13"/>
              <w:spacing w:after="0"/>
              <w:rPr>
                <w:sz w:val="20"/>
                <w:szCs w:val="20"/>
                <w:color w:val="auto"/>
              </w:rPr>
            </w:pPr>
            <w:r>
              <w:rPr>
                <w:rFonts w:ascii="Arial" w:cs="Arial" w:eastAsia="Arial" w:hAnsi="Arial"/>
                <w:sz w:val="18"/>
                <w:szCs w:val="18"/>
                <w:color w:val="auto"/>
              </w:rPr>
              <w:t>87,500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2,919,883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6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Columbia Acorn A</w:t>
            </w:r>
          </w:p>
        </w:tc>
        <w:tc>
          <w:tcPr>
            <w:tcW w:w="21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29,842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861,524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6020" w:type="dxa"/>
            <w:vAlign w:val="bottom"/>
          </w:tcPr>
          <w:p>
            <w:pPr>
              <w:ind w:left="240"/>
              <w:spacing w:after="0"/>
              <w:rPr>
                <w:sz w:val="20"/>
                <w:szCs w:val="20"/>
                <w:color w:val="auto"/>
              </w:rPr>
            </w:pPr>
            <w:r>
              <w:rPr>
                <w:rFonts w:ascii="Arial" w:cs="Arial" w:eastAsia="Arial" w:hAnsi="Arial"/>
                <w:sz w:val="18"/>
                <w:szCs w:val="18"/>
                <w:color w:val="auto"/>
              </w:rPr>
              <w:t>Goldman Sachs Large Cap Value</w:t>
            </w:r>
          </w:p>
        </w:tc>
        <w:tc>
          <w:tcPr>
            <w:tcW w:w="2160" w:type="dxa"/>
            <w:vAlign w:val="bottom"/>
          </w:tcPr>
          <w:p>
            <w:pPr>
              <w:jc w:val="right"/>
              <w:ind w:right="13"/>
              <w:spacing w:after="0"/>
              <w:rPr>
                <w:sz w:val="20"/>
                <w:szCs w:val="20"/>
                <w:color w:val="auto"/>
              </w:rPr>
            </w:pPr>
            <w:r>
              <w:rPr>
                <w:rFonts w:ascii="Arial" w:cs="Arial" w:eastAsia="Arial" w:hAnsi="Arial"/>
                <w:sz w:val="18"/>
                <w:szCs w:val="18"/>
                <w:color w:val="auto"/>
              </w:rPr>
              <w:t>115,144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1,590,136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6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Alliance Bernstein International Value</w:t>
            </w:r>
          </w:p>
        </w:tc>
        <w:tc>
          <w:tcPr>
            <w:tcW w:w="21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48,056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1,065,401</w:t>
            </w:r>
          </w:p>
        </w:tc>
        <w:tc>
          <w:tcPr>
            <w:tcW w:w="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6020" w:type="dxa"/>
            <w:vAlign w:val="bottom"/>
          </w:tcPr>
          <w:p>
            <w:pPr>
              <w:ind w:left="240"/>
              <w:spacing w:after="0"/>
              <w:rPr>
                <w:sz w:val="20"/>
                <w:szCs w:val="20"/>
                <w:color w:val="auto"/>
              </w:rPr>
            </w:pPr>
            <w:r>
              <w:rPr>
                <w:rFonts w:ascii="Arial" w:cs="Arial" w:eastAsia="Arial" w:hAnsi="Arial"/>
                <w:sz w:val="18"/>
                <w:szCs w:val="18"/>
                <w:color w:val="auto"/>
              </w:rPr>
              <w:t>T Rowe Price Growth Stock</w:t>
            </w:r>
          </w:p>
        </w:tc>
        <w:tc>
          <w:tcPr>
            <w:tcW w:w="2160" w:type="dxa"/>
            <w:vAlign w:val="bottom"/>
          </w:tcPr>
          <w:p>
            <w:pPr>
              <w:jc w:val="right"/>
              <w:ind w:right="13"/>
              <w:spacing w:after="0"/>
              <w:rPr>
                <w:sz w:val="20"/>
                <w:szCs w:val="20"/>
                <w:color w:val="auto"/>
              </w:rPr>
            </w:pPr>
            <w:r>
              <w:rPr>
                <w:rFonts w:ascii="Arial" w:cs="Arial" w:eastAsia="Arial" w:hAnsi="Arial"/>
                <w:sz w:val="18"/>
                <w:szCs w:val="18"/>
                <w:color w:val="auto"/>
              </w:rPr>
              <w:t>98,937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3,285,685</w:t>
            </w:r>
          </w:p>
        </w:tc>
        <w:tc>
          <w:tcPr>
            <w:tcW w:w="2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6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*Casual Male Retail Group, Inc –</w:t>
            </w:r>
          </w:p>
        </w:tc>
        <w:tc>
          <w:tcPr>
            <w:tcW w:w="2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8"/>
        </w:trPr>
        <w:tc>
          <w:tcPr>
            <w:tcW w:w="20" w:type="dxa"/>
            <w:vAlign w:val="bottom"/>
          </w:tcPr>
          <w:p>
            <w:pPr>
              <w:spacing w:after="0"/>
              <w:rPr>
                <w:sz w:val="20"/>
                <w:szCs w:val="20"/>
                <w:color w:val="auto"/>
              </w:rPr>
            </w:pPr>
          </w:p>
        </w:tc>
        <w:tc>
          <w:tcPr>
            <w:tcW w:w="2120" w:type="dxa"/>
            <w:vAlign w:val="bottom"/>
            <w:shd w:val="clear" w:color="auto" w:fill="CCEEFF"/>
          </w:tcPr>
          <w:p>
            <w:pPr>
              <w:spacing w:after="0"/>
              <w:rPr>
                <w:sz w:val="20"/>
                <w:szCs w:val="20"/>
                <w:color w:val="auto"/>
              </w:rPr>
            </w:pPr>
          </w:p>
        </w:tc>
        <w:tc>
          <w:tcPr>
            <w:tcW w:w="6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Stock</w:t>
            </w:r>
          </w:p>
        </w:tc>
        <w:tc>
          <w:tcPr>
            <w:tcW w:w="21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35,613</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184,474</w:t>
            </w:r>
          </w:p>
        </w:tc>
        <w:tc>
          <w:tcPr>
            <w:tcW w:w="2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2120" w:type="dxa"/>
            <w:vAlign w:val="bottom"/>
          </w:tcPr>
          <w:p>
            <w:pPr>
              <w:spacing w:after="0"/>
              <w:rPr>
                <w:sz w:val="20"/>
                <w:szCs w:val="20"/>
                <w:color w:val="auto"/>
              </w:rPr>
            </w:pPr>
            <w:r>
              <w:rPr>
                <w:rFonts w:ascii="Arial" w:cs="Arial" w:eastAsia="Arial" w:hAnsi="Arial"/>
                <w:sz w:val="18"/>
                <w:szCs w:val="18"/>
                <w:color w:val="auto"/>
              </w:rPr>
              <w:t>* Participant loans</w:t>
            </w:r>
          </w:p>
        </w:tc>
        <w:tc>
          <w:tcPr>
            <w:tcW w:w="6020" w:type="dxa"/>
            <w:vAlign w:val="bottom"/>
          </w:tcPr>
          <w:p>
            <w:pPr>
              <w:ind w:left="240"/>
              <w:spacing w:after="0"/>
              <w:rPr>
                <w:sz w:val="20"/>
                <w:szCs w:val="20"/>
                <w:color w:val="auto"/>
              </w:rPr>
            </w:pPr>
            <w:r>
              <w:rPr>
                <w:rFonts w:ascii="Arial" w:cs="Arial" w:eastAsia="Arial" w:hAnsi="Arial"/>
                <w:sz w:val="18"/>
                <w:szCs w:val="18"/>
                <w:color w:val="auto"/>
              </w:rPr>
              <w:t>5.0% - 9.25%</w:t>
            </w:r>
          </w:p>
        </w:tc>
        <w:tc>
          <w:tcPr>
            <w:tcW w:w="2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669,053</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60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28,374,051</w:t>
            </w:r>
          </w:p>
        </w:tc>
        <w:tc>
          <w:tcPr>
            <w:tcW w:w="20" w:type="dxa"/>
            <w:vAlign w:val="bottom"/>
          </w:tcPr>
          <w:p>
            <w:pPr>
              <w:spacing w:after="0"/>
              <w:rPr>
                <w:sz w:val="18"/>
                <w:szCs w:val="18"/>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*Indicates party-in-interest to the Plan.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 Includes $44,272 of nonparticipant- directed, unallocated forfeitures for which historical cost approximates to current value.</w:t>
      </w:r>
    </w:p>
    <w:p>
      <w:pPr>
        <w:spacing w:after="0" w:line="15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Exhibits</w:t>
      </w:r>
    </w:p>
    <w:p>
      <w:pPr>
        <w:spacing w:after="0" w:line="326"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Independent Registered Public Accounting Firm</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5"/>
          <w:szCs w:val="15"/>
          <w:color w:val="auto"/>
        </w:rPr>
        <w:t>Certification pursuant to 18 U.S.C. Section 1350, as adopted pursuant to Section 906 of the Sarbanes –Oxley Act of 2002</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w:t>
      </w:r>
    </w:p>
    <w:p>
      <w:pPr>
        <w:spacing w:after="0" w:line="171"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i w:val="1"/>
          <w:iCs w:val="1"/>
          <w:color w:val="auto"/>
        </w:rPr>
        <w:t xml:space="preserve">The Plan. </w:t>
      </w:r>
      <w:r>
        <w:rPr>
          <w:rFonts w:ascii="Arial" w:cs="Arial" w:eastAsia="Arial" w:hAnsi="Arial"/>
          <w:sz w:val="18"/>
          <w:szCs w:val="18"/>
          <w:color w:val="auto"/>
        </w:rPr>
        <w:t>Pursuant to the requirements of the Securities Exchange Act of 1934, the trustees (or other persons who administer the employee benefit plan) have</w:t>
      </w:r>
      <w:r>
        <w:rPr>
          <w:rFonts w:ascii="Arial" w:cs="Arial" w:eastAsia="Arial" w:hAnsi="Arial"/>
          <w:sz w:val="18"/>
          <w:szCs w:val="18"/>
          <w:i w:val="1"/>
          <w:iCs w:val="1"/>
          <w:color w:val="auto"/>
        </w:rPr>
        <w:t xml:space="preserve"> </w:t>
      </w:r>
      <w:r>
        <w:rPr>
          <w:rFonts w:ascii="Arial" w:cs="Arial" w:eastAsia="Arial" w:hAnsi="Arial"/>
          <w:sz w:val="18"/>
          <w:szCs w:val="18"/>
          <w:color w:val="auto"/>
        </w:rPr>
        <w:t>duly caused this annual report to be signed on its behalf by the undersigned 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Casual Male Retail Group, Inc. 401(k) Salary Savings plan</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Dennis R. Hernreich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Dennis R. Hernreich, Executive Vice President, Chief Financial</w:t>
      </w:r>
    </w:p>
    <w:p>
      <w:pPr>
        <w:spacing w:after="0" w:line="3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Officer and Chief Operating Officer of Casual Male Retail</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Group, Inc., the Plan Administrator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June 30, 2008</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7" w:name="page18"/>
    <w:bookmarkEnd w:id="17"/>
    <w:p>
      <w:pPr>
        <w:jc w:val="right"/>
        <w:spacing w:after="0"/>
        <w:rPr>
          <w:sz w:val="20"/>
          <w:szCs w:val="20"/>
          <w:color w:val="auto"/>
        </w:rPr>
      </w:pPr>
      <w:r>
        <w:rPr>
          <w:rFonts w:ascii="Arial" w:cs="Arial" w:eastAsia="Arial" w:hAnsi="Arial"/>
          <w:sz w:val="18"/>
          <w:szCs w:val="18"/>
          <w:color w:val="auto"/>
        </w:rPr>
        <w:t>Exhibit 23.1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171" w:lineRule="exact"/>
        <w:rPr>
          <w:sz w:val="20"/>
          <w:szCs w:val="20"/>
          <w:color w:val="auto"/>
        </w:rPr>
      </w:pPr>
    </w:p>
    <w:p>
      <w:pPr>
        <w:jc w:val="both"/>
        <w:ind w:right="260"/>
        <w:spacing w:after="0" w:line="306" w:lineRule="auto"/>
        <w:rPr>
          <w:sz w:val="20"/>
          <w:szCs w:val="20"/>
          <w:color w:val="auto"/>
        </w:rPr>
      </w:pPr>
      <w:r>
        <w:rPr>
          <w:rFonts w:ascii="Arial" w:cs="Arial" w:eastAsia="Arial" w:hAnsi="Arial"/>
          <w:sz w:val="16"/>
          <w:szCs w:val="16"/>
          <w:color w:val="auto"/>
        </w:rPr>
        <w:t>We consent to the incorporation by reference in the Registration Statement (Form S-8, Reg. No. 333-112218) pertaining to the Casual Male Retail Group, Inc. 401 (k) Salaried Savings Plan of Casual Male Retail Group, Inc of our report dated June 26, 2008, with respect to the financial statements and schedules of the Casual Male Retail Group, Inc. 401(k) Salaried Savings Plan included in this Annual Report on (Form 11-K) for the year ended December 31, 2007.</w:t>
      </w:r>
    </w:p>
    <w:p>
      <w:pPr>
        <w:spacing w:after="0" w:line="10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Mahoney Cohen &amp; Company, CPA, P.C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30, 2008</w:t>
      </w:r>
    </w:p>
    <w:p>
      <w:pPr>
        <w:sectPr>
          <w:pgSz w:w="11900" w:h="16838" w:orient="portrait"/>
          <w:cols w:equalWidth="0" w:num="1">
            <w:col w:w="11420"/>
          </w:cols>
          <w:pgMar w:left="240" w:top="131" w:right="239" w:bottom="144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color w:val="auto"/>
        </w:rPr>
        <w:t>Exhibit 32.1</w:t>
      </w:r>
    </w:p>
    <w:p>
      <w:pPr>
        <w:spacing w:after="0" w:line="171"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Certification Pursuant to</w:t>
      </w:r>
    </w:p>
    <w:p>
      <w:pPr>
        <w:spacing w:after="0" w:line="15"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As Adopted Pursuant to Section 906</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Of the Sarbanes-Oxley Act of 2002</w:t>
      </w:r>
    </w:p>
    <w:p>
      <w:pPr>
        <w:spacing w:after="0" w:line="367"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In connection with the Annual Report on Form 11-K of the Casual Male Retail Group, Inc. 401(k) Salaried Saving Plan (the “Plan”) for the period ending December 31, 2007 as filed with the Securities and Exchange Commission on the date hereof (the “Report”), I, Dennis R. Hernreich, Executive Vice President, Chief Financial Officer and Chief Operating Officer of Casual Male Retail Group, Inc., the Plan Administrator, certify pursuant to 18 U.S.C. Section 1350, as adopted pursuant to Section 906 of the Sarbanes-Oxley Act of 2002, that:</w:t>
      </w:r>
    </w:p>
    <w:p>
      <w:pPr>
        <w:spacing w:after="0" w:line="184" w:lineRule="exact"/>
        <w:rPr>
          <w:sz w:val="20"/>
          <w:szCs w:val="20"/>
          <w:color w:val="auto"/>
        </w:rPr>
      </w:pPr>
    </w:p>
    <w:p>
      <w:pPr>
        <w:ind w:left="900" w:hanging="446"/>
        <w:spacing w:after="0"/>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15(d) of the Securities Exchange Act of 1934, as amended (the “Exchange Act”); and</w:t>
      </w:r>
    </w:p>
    <w:p>
      <w:pPr>
        <w:spacing w:after="0" w:line="234" w:lineRule="exact"/>
        <w:rPr>
          <w:rFonts w:ascii="Arial" w:cs="Arial" w:eastAsia="Arial" w:hAnsi="Arial"/>
          <w:sz w:val="16"/>
          <w:szCs w:val="16"/>
          <w:color w:val="auto"/>
        </w:rPr>
      </w:pPr>
    </w:p>
    <w:p>
      <w:pPr>
        <w:ind w:left="900" w:right="580" w:hanging="446"/>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net assets available for benefits, and changes in net assets available for benefits of the Plan.</w:t>
      </w:r>
    </w:p>
    <w:p>
      <w:pPr>
        <w:spacing w:after="0" w:line="132" w:lineRule="exact"/>
        <w:rPr>
          <w:sz w:val="20"/>
          <w:szCs w:val="20"/>
          <w:color w:val="auto"/>
        </w:rPr>
      </w:pPr>
    </w:p>
    <w:p>
      <w:pPr>
        <w:jc w:val="both"/>
        <w:ind w:right="280"/>
        <w:spacing w:after="0" w:line="306"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Casual Male Retail Group, Inc. and will be retained by Casual Male Retail Group, Inc. and furnished to the Securities and Exchange Commission or its staff upon request.</w:t>
      </w:r>
    </w:p>
    <w:p>
      <w:pPr>
        <w:spacing w:after="0" w:line="36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Dennis R. Hernreich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Dennis R. Hernreich</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Executive Vice President, 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Operating Officer of Casual Male Retail</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Group, Inc., the Plan Administrator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June 30, 2008</w:t>
      </w:r>
    </w:p>
    <w:sectPr>
      <w:pgSz w:w="11900" w:h="16838" w:orient="portrait"/>
      <w:cols w:equalWidth="0" w:num="1">
        <w:col w:w="11420"/>
      </w:cols>
      <w:pgMar w:left="240" w:top="1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2019-12-20T18:00:04Z</dcterms:created>
  <dcterms:modified xsi:type="dcterms:W3CDTF">2019-12-20T18:00:04Z</dcterms:modified>
</cp:coreProperties>
</file>