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208280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CASUAL MALE RETAIL GROUP, INC. 401(K) HOURLY SAVINGS PLAN</w:t>
      </w:r>
    </w:p>
    <w:p>
      <w:pPr>
        <w:spacing w:after="0" w:line="18"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i w:val="1"/>
          <w:iCs w:val="1"/>
          <w:color w:val="auto"/>
        </w:rPr>
        <w:t>(Full title of the plan)</w:t>
      </w:r>
    </w:p>
    <w:p>
      <w:pPr>
        <w:spacing w:after="0" w:line="13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Canton, Massachusetts 02021</w:t>
      </w:r>
    </w:p>
    <w:p>
      <w:pPr>
        <w:jc w:val="center"/>
        <w:ind w:right="-499"/>
        <w:spacing w:after="0"/>
        <w:rPr>
          <w:sz w:val="20"/>
          <w:szCs w:val="20"/>
          <w:color w:val="auto"/>
        </w:rPr>
      </w:pPr>
      <w:r>
        <w:rPr>
          <w:rFonts w:ascii="Arial" w:cs="Arial" w:eastAsia="Arial" w:hAnsi="Arial"/>
          <w:sz w:val="14"/>
          <w:szCs w:val="14"/>
          <w:b w:val="1"/>
          <w:bCs w:val="1"/>
          <w:i w:val="1"/>
          <w:iCs w:val="1"/>
          <w:color w:val="auto"/>
        </w:rPr>
        <w:t>(Name of issuer of the securities held pursuant to the plan and the address</w:t>
      </w:r>
    </w:p>
    <w:p>
      <w:pPr>
        <w:jc w:val="center"/>
        <w:ind w:right="-499"/>
        <w:spacing w:after="0"/>
        <w:rPr>
          <w:sz w:val="20"/>
          <w:szCs w:val="20"/>
          <w:color w:val="auto"/>
        </w:rPr>
      </w:pPr>
      <w:r>
        <w:rPr>
          <w:rFonts w:ascii="Arial" w:cs="Arial" w:eastAsia="Arial" w:hAnsi="Arial"/>
          <w:sz w:val="14"/>
          <w:szCs w:val="14"/>
          <w:b w:val="1"/>
          <w:bCs w:val="1"/>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20"/>
          </w:cols>
          <w:pgMar w:left="240" w:top="230" w:right="7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401(k) Hourly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Statements and Supplemental Schedules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320" w:type="dxa"/>
            <w:vAlign w:val="bottom"/>
            <w:gridSpan w:val="5"/>
          </w:tcPr>
          <w:p>
            <w:pPr>
              <w:ind w:left="940"/>
              <w:spacing w:after="0"/>
              <w:rPr>
                <w:sz w:val="20"/>
                <w:szCs w:val="20"/>
                <w:color w:val="auto"/>
              </w:rPr>
            </w:pPr>
            <w:r>
              <w:rPr>
                <w:rFonts w:ascii="Arial" w:cs="Arial" w:eastAsia="Arial" w:hAnsi="Arial"/>
                <w:sz w:val="18"/>
                <w:szCs w:val="18"/>
                <w:b w:val="1"/>
                <w:bCs w:val="1"/>
                <w:color w:val="auto"/>
              </w:rPr>
              <w:t>Table of Contents</w:t>
            </w:r>
          </w:p>
        </w:tc>
        <w:tc>
          <w:tcPr>
            <w:tcW w:w="1980" w:type="dxa"/>
            <w:vAlign w:val="bottom"/>
          </w:tcPr>
          <w:p>
            <w:pPr>
              <w:spacing w:after="0"/>
              <w:rPr>
                <w:sz w:val="19"/>
                <w:szCs w:val="19"/>
                <w:color w:val="auto"/>
              </w:rPr>
            </w:pPr>
          </w:p>
        </w:tc>
      </w:tr>
      <w:tr>
        <w:trPr>
          <w:trHeight w:val="380"/>
        </w:trPr>
        <w:tc>
          <w:tcPr>
            <w:tcW w:w="944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2005 and 2004</w:t>
              </w:r>
            </w:hyperlink>
          </w:p>
        </w:tc>
        <w:tc>
          <w:tcPr>
            <w:tcW w:w="3580" w:type="dxa"/>
            <w:vAlign w:val="bottom"/>
            <w:gridSpan w:val="4"/>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44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2005</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940" w:type="dxa"/>
            <w:vAlign w:val="bottom"/>
            <w:tcBorders>
              <w:top w:val="single" w:sz="8" w:color="0000EE"/>
            </w:tcBorders>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500" w:type="dxa"/>
            <w:vAlign w:val="bottom"/>
            <w:gridSpan w:val="3"/>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9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Supplementary Information</w:t>
              </w:r>
            </w:hyperlink>
          </w:p>
        </w:tc>
        <w:tc>
          <w:tcPr>
            <w:tcW w:w="140" w:type="dxa"/>
            <w:vAlign w:val="bottom"/>
            <w:tcBorders>
              <w:top w:val="single" w:sz="8" w:color="0000EE"/>
            </w:tcBorders>
          </w:tcPr>
          <w:p>
            <w:pPr>
              <w:spacing w:after="0"/>
              <w:rPr>
                <w:sz w:val="24"/>
                <w:szCs w:val="24"/>
                <w:color w:val="auto"/>
              </w:rPr>
            </w:pPr>
          </w:p>
        </w:tc>
        <w:tc>
          <w:tcPr>
            <w:tcW w:w="7340" w:type="dxa"/>
            <w:vAlign w:val="bottom"/>
            <w:gridSpan w:val="6"/>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76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Schedule H, Line 4i – Schedule of Assets Held for Investment Purposes at End of Year (December 21, 2005)</w:t>
              </w:r>
            </w:hyperlink>
          </w:p>
        </w:tc>
        <w:tc>
          <w:tcPr>
            <w:tcW w:w="17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944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G, Part III – Schedule of Nonexempt Transactions For the Year Ended December 31, 2005)</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1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Hourly Savings Plan</w:t>
      </w:r>
    </w:p>
    <w:p>
      <w:pPr>
        <w:spacing w:after="0" w:line="165"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We have audited the accompanying statement of net assets available for benefits of the Casual Male Retail Group, Inc. 401 (k) Hourly Savings Plan as of December 31, 2005 and 2004, and the related statement of changes in net assets available for benefits for the year ended December 31, 2005.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2005 and 2004 and the changes in its net assets available for benefits for the year ended December 31, 2005, in conformity with accounting principles generally accepted in the United States.</w:t>
      </w:r>
    </w:p>
    <w:p>
      <w:pPr>
        <w:spacing w:after="0" w:line="14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were performed for the purpose of forming an opinion on the financial statements taken as a whole. The accompanying supplemental schedules of assets held for investment purposes at end of year (December 31, 2005) and nonexempt transactions for the year ended December 31, 2005 are presented for the purpose of additional analysis and are not a required part of the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These supplemental schedules have been subjected to the auditing procedures applied in our audits of the financial statements and, in our opinion, are fairly stated in all material respects in relation to the financial statements taken as a whole.</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Mahoney Cohen &amp; Company, CPA,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12,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Investments, at fair value (Note 2 and 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8,834,595</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9,240,065</w:t>
            </w:r>
          </w:p>
        </w:tc>
      </w:tr>
      <w:tr>
        <w:trPr>
          <w:trHeight w:val="245"/>
        </w:trPr>
        <w:tc>
          <w:tcPr>
            <w:tcW w:w="9240" w:type="dxa"/>
            <w:vAlign w:val="bottom"/>
            <w:gridSpan w:val="2"/>
          </w:tcPr>
          <w:p>
            <w:pPr>
              <w:spacing w:after="0"/>
              <w:rPr>
                <w:sz w:val="20"/>
                <w:szCs w:val="20"/>
                <w:color w:val="auto"/>
              </w:rPr>
            </w:pPr>
            <w:r>
              <w:rPr>
                <w:rFonts w:ascii="Arial" w:cs="Arial" w:eastAsia="Arial" w:hAnsi="Arial"/>
                <w:sz w:val="18"/>
                <w:szCs w:val="18"/>
                <w:color w:val="auto"/>
              </w:rPr>
              <w:t>Participant loans receivable</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162,952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148,711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8,997,547</w:t>
            </w: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9,388,776</w:t>
            </w:r>
          </w:p>
        </w:tc>
        <w:tc>
          <w:tcPr>
            <w:tcW w:w="20" w:type="dxa"/>
            <w:vAlign w:val="bottom"/>
          </w:tcPr>
          <w:p>
            <w:pPr>
              <w:spacing w:after="0"/>
              <w:rPr>
                <w:sz w:val="18"/>
                <w:szCs w:val="18"/>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contributions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Employer contributions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101,279</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108,352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receivables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101,279</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108,901</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9,098,826</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9,497,677</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400" w:type="dxa"/>
            <w:vAlign w:val="bottom"/>
            <w:gridSpan w:val="2"/>
          </w:tcPr>
          <w:p>
            <w:pPr>
              <w:jc w:val="right"/>
              <w:ind w:right="3780"/>
              <w:spacing w:after="0"/>
              <w:rPr>
                <w:sz w:val="20"/>
                <w:szCs w:val="20"/>
                <w:color w:val="auto"/>
              </w:rPr>
            </w:pPr>
            <w:r>
              <w:rPr>
                <w:rFonts w:ascii="Arial" w:cs="Arial" w:eastAsia="Arial" w:hAnsi="Arial"/>
                <w:sz w:val="18"/>
                <w:szCs w:val="18"/>
                <w:color w:val="auto"/>
              </w:rPr>
              <w:t>Year ended December 31, 2005</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9"/>
              </w:rPr>
              <w:t>Net appreciation in fair value of investments (Note 3)</w:t>
            </w:r>
          </w:p>
        </w:tc>
        <w:tc>
          <w:tcPr>
            <w:tcW w:w="6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81,497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335,568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the Plan (Note 1)</w:t>
            </w:r>
          </w:p>
        </w:tc>
        <w:tc>
          <w:tcPr>
            <w:tcW w:w="62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571,680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Contributions:</w:t>
            </w: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Employee</w:t>
            </w: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286,182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w:t>
            </w: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Rollovers</w:t>
            </w:r>
          </w:p>
        </w:tc>
        <w:tc>
          <w:tcPr>
            <w:tcW w:w="6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color w:val="auto"/>
              </w:rPr>
              <w:t>Total additions</w:t>
            </w:r>
          </w:p>
        </w:tc>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961,993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Deductions</w:t>
            </w: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Benefits paid directly to participants</w:t>
            </w: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1,186,152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the Plan (Note 1)</w:t>
            </w: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172,911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62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deductions</w:t>
            </w:r>
          </w:p>
        </w:tc>
        <w:tc>
          <w:tcPr>
            <w:tcW w:w="6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1,360,844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Decrease</w:t>
            </w:r>
          </w:p>
        </w:tc>
        <w:tc>
          <w:tcPr>
            <w:tcW w:w="6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(398,851)</w:t>
            </w:r>
          </w:p>
        </w:tc>
        <w:tc>
          <w:tcPr>
            <w:tcW w:w="0" w:type="dxa"/>
            <w:vAlign w:val="bottom"/>
          </w:tcPr>
          <w:p>
            <w:pPr>
              <w:spacing w:after="0"/>
              <w:rPr>
                <w:sz w:val="1"/>
                <w:szCs w:val="1"/>
                <w:color w:val="auto"/>
              </w:rPr>
            </w:pPr>
          </w:p>
        </w:tc>
      </w:tr>
      <w:tr>
        <w:trPr>
          <w:trHeight w:val="331"/>
        </w:trPr>
        <w:tc>
          <w:tcPr>
            <w:tcW w:w="4200" w:type="dxa"/>
            <w:vAlign w:val="bottom"/>
            <w:gridSpan w:val="2"/>
          </w:tcPr>
          <w:p>
            <w:pPr>
              <w:spacing w:after="0"/>
              <w:rPr>
                <w:sz w:val="20"/>
                <w:szCs w:val="20"/>
                <w:color w:val="auto"/>
              </w:rPr>
            </w:pPr>
            <w:r>
              <w:rPr>
                <w:rFonts w:ascii="Arial" w:cs="Arial" w:eastAsia="Arial" w:hAnsi="Arial"/>
                <w:sz w:val="18"/>
                <w:szCs w:val="18"/>
                <w:color w:val="auto"/>
                <w:w w:val="99"/>
              </w:rPr>
              <w:t>Net assets available for benefits at beginning of year</w:t>
            </w:r>
          </w:p>
        </w:tc>
        <w:tc>
          <w:tcPr>
            <w:tcW w:w="6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9,497,677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6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9,098,826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description of Casual Male Retail Group, Inc. 401(k) Hourly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Plan is a defined contribution plan covering eligible employees of the Casual Male Retail Group, Inc. (the Company). The Plan is subject to the provisions of the Employee Retirement Income Security Act of 1974 (ERISA).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regular, full-time (as defined in the Plan) employees, excluding salaried employees, of the Company who have completed six months of employment and are at least 21 years of age are eligible to participate in the Plan. After completing age and service requirements, the employee can enter the Plan on the first day of any subsequent month.</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Casual Male Retail Group, Inc. 401(k) Salaried Savings Plan during the year ended December 31, 2005 were $172,911. Assets transferred from the Casual Male Retail Group Inc. 401(k) Salaried Savings Plan during the year ended December 31, 2005 were $154,615.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employer matching contribution is discretionary at the option of the Company’s Board of Directors. For the year ended December 31, 2005, the Company’s matching contribution was 50% up to the first 6% of compensation.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participant’s account is credited with the participant’s contribution, the Company’s matching contribution, and plan earnings. Forfeitures available to reduce employer match at December 31, 2005 were $1,820. The benefit to which a participant is entitled is the benefit that can be provided from the participant’s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Participants are immediately vested in their contributions plus actual earnings thereon. Vesting in the Company contribution portion of their accounts plus actual earnings thereon is based on years of continuous service. A participant is 100% vested after three years of credited service (no service requirement prior to January 1, 2003).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Upon enrollment in the Plan, a participant may direct their elective contribution into mutual funds, common stock or common collective trust funds that are offered by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Loans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Participants may borrow the lesser of $50,000 reduced by the individual’s highest outstanding loan balance during the preceding twelve months or 50% of the individual’s vested balance with a minimum of $1,000 per loan. All loans are required to be repaid within five years of the loan unless the purpose of the loan is the purchase of a primary residence. Loans are secured by the balance in the participant’s account. Other restrictions, as specified in the Plan agreement, may apply to a participant’s loan transaction. Interest rates range from 5% to 10.5% at December 31, 2005. Principal and interest is paid ratably through payroll deductions.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termination of service for any reason, a participant shall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Investments are stated at fair value. Mutual funds and common stock are stated at fair value which equals the quoted market price on the last business day of the Plan year. The fair value of participation units owned by the Plan in the common collective trust fund is based on the redemption value of the funds on the last business day of the Plan year. Participant loans are valued at their outstanding balances, which approximate fair value.</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 (Continued)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2005, the Plan’s investments (including investments purchased, sold as well as held during the year) appreciated (depreciated) in fair value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Common collective trusts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33020</wp:posOffset>
            </wp:positionV>
            <wp:extent cx="666369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Investments that represent 5% or more of the Plan’s net assets available for benefits is as follows: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left="-659"/>
        <w:spacing w:after="0"/>
        <w:rPr>
          <w:sz w:val="20"/>
          <w:szCs w:val="20"/>
          <w:color w:val="auto"/>
        </w:rPr>
      </w:pPr>
      <w:r>
        <w:rPr>
          <w:rFonts w:ascii="Arial" w:cs="Arial" w:eastAsia="Arial" w:hAnsi="Arial"/>
          <w:sz w:val="12"/>
          <w:szCs w:val="12"/>
          <w:b w:val="1"/>
          <w:bCs w:val="1"/>
          <w:color w:val="auto"/>
        </w:rPr>
        <w:t>Net Appreciation</w:t>
      </w:r>
    </w:p>
    <w:p>
      <w:pPr>
        <w:spacing w:after="0" w:line="12" w:lineRule="exact"/>
        <w:rPr>
          <w:sz w:val="20"/>
          <w:szCs w:val="20"/>
          <w:color w:val="auto"/>
        </w:rPr>
      </w:pPr>
    </w:p>
    <w:p>
      <w:pPr>
        <w:jc w:val="center"/>
        <w:ind w:left="-659"/>
        <w:spacing w:after="0"/>
        <w:rPr>
          <w:sz w:val="20"/>
          <w:szCs w:val="20"/>
          <w:color w:val="auto"/>
        </w:rPr>
      </w:pPr>
      <w:r>
        <w:rPr>
          <w:rFonts w:ascii="Arial" w:cs="Arial" w:eastAsia="Arial" w:hAnsi="Arial"/>
          <w:sz w:val="14"/>
          <w:szCs w:val="14"/>
          <w:b w:val="1"/>
          <w:bCs w:val="1"/>
          <w:color w:val="auto"/>
        </w:rPr>
        <w:t>(depreciation) in</w:t>
      </w:r>
    </w:p>
    <w:p>
      <w:pPr>
        <w:jc w:val="center"/>
        <w:ind w:left="-659"/>
        <w:spacing w:after="0" w:line="221" w:lineRule="auto"/>
        <w:rPr>
          <w:sz w:val="20"/>
          <w:szCs w:val="20"/>
          <w:color w:val="auto"/>
        </w:rPr>
      </w:pPr>
      <w:r>
        <w:rPr>
          <w:rFonts w:ascii="Arial" w:cs="Arial" w:eastAsia="Arial" w:hAnsi="Arial"/>
          <w:sz w:val="14"/>
          <w:szCs w:val="14"/>
          <w:b w:val="1"/>
          <w:bCs w:val="1"/>
          <w:color w:val="auto"/>
        </w:rPr>
        <w:t>Fair Value of</w:t>
      </w:r>
    </w:p>
    <w:p>
      <w:pPr>
        <w:jc w:val="center"/>
        <w:ind w:left="-659"/>
        <w:spacing w:after="0"/>
        <w:rPr>
          <w:sz w:val="20"/>
          <w:szCs w:val="20"/>
          <w:color w:val="auto"/>
        </w:rPr>
      </w:pPr>
      <w:r>
        <w:rPr>
          <w:rFonts w:ascii="Arial" w:cs="Arial" w:eastAsia="Arial" w:hAnsi="Arial"/>
          <w:sz w:val="14"/>
          <w:szCs w:val="14"/>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-7620</wp:posOffset>
            </wp:positionV>
            <wp:extent cx="6261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ind w:left="1420"/>
        <w:spacing w:after="0"/>
        <w:tabs>
          <w:tab w:leader="none" w:pos="1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55,555</w:t>
      </w:r>
    </w:p>
    <w:p>
      <w:pPr>
        <w:spacing w:after="0" w:line="38"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41,443</w:t>
      </w:r>
    </w:p>
    <w:p>
      <w:pPr>
        <w:spacing w:after="0" w:line="3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(15,501)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21590</wp:posOffset>
            </wp:positionV>
            <wp:extent cx="6261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33" w:lineRule="exact"/>
        <w:rPr>
          <w:sz w:val="20"/>
          <w:szCs w:val="20"/>
          <w:color w:val="auto"/>
        </w:rPr>
      </w:pPr>
    </w:p>
    <w:p>
      <w:pPr>
        <w:ind w:left="1420"/>
        <w:spacing w:after="0"/>
        <w:tabs>
          <w:tab w:leader="none" w:pos="1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81,497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25400</wp:posOffset>
            </wp:positionV>
            <wp:extent cx="6261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906145</wp:posOffset>
            </wp:positionH>
            <wp:positionV relativeFrom="paragraph">
              <wp:posOffset>42545</wp:posOffset>
            </wp:positionV>
            <wp:extent cx="6261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0</wp:posOffset>
            </wp:positionV>
            <wp:extent cx="2143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tabs>
          <w:tab w:leader="none" w:pos="192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p>
    <w:p>
      <w:pPr>
        <w:spacing w:after="0" w:line="20" w:lineRule="exact"/>
        <w:rPr>
          <w:sz w:val="20"/>
          <w:szCs w:val="20"/>
          <w:color w:val="auto"/>
        </w:rPr>
      </w:pPr>
    </w:p>
    <w:p>
      <w:pPr>
        <w:sectPr>
          <w:pgSz w:w="11900" w:h="16838" w:orient="portrait"/>
          <w:cols w:equalWidth="0" w:num="2">
            <w:col w:w="7760" w:space="720"/>
            <w:col w:w="29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Putnam Stable Value Fund</w:t>
            </w:r>
          </w:p>
        </w:tc>
        <w:tc>
          <w:tcPr>
            <w:tcW w:w="452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rPr>
              <w:t>$4,782,124</w:t>
            </w:r>
          </w:p>
        </w:tc>
        <w:tc>
          <w:tcPr>
            <w:tcW w:w="8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w w:val="86"/>
              </w:rPr>
              <w:t>52.6%</w:t>
            </w:r>
          </w:p>
        </w:tc>
        <w:tc>
          <w:tcPr>
            <w:tcW w:w="11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w w:val="86"/>
              </w:rPr>
              <w:t>$5,119,330</w:t>
            </w:r>
          </w:p>
        </w:tc>
        <w:tc>
          <w:tcPr>
            <w:tcW w:w="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w w:val="86"/>
              </w:rPr>
              <w:t>53.9%</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Putnam S&amp;P 500 Fund</w:t>
            </w:r>
          </w:p>
        </w:tc>
        <w:tc>
          <w:tcPr>
            <w:tcW w:w="4520" w:type="dxa"/>
            <w:vAlign w:val="bottom"/>
            <w:gridSpan w:val="3"/>
          </w:tcPr>
          <w:p>
            <w:pPr>
              <w:jc w:val="right"/>
              <w:ind w:right="320"/>
              <w:spacing w:after="0"/>
              <w:rPr>
                <w:sz w:val="20"/>
                <w:szCs w:val="20"/>
                <w:color w:val="auto"/>
              </w:rPr>
            </w:pPr>
            <w:r>
              <w:rPr>
                <w:rFonts w:ascii="Arial" w:cs="Arial" w:eastAsia="Arial" w:hAnsi="Arial"/>
                <w:sz w:val="18"/>
                <w:szCs w:val="18"/>
                <w:color w:val="auto"/>
              </w:rPr>
              <w:t>1,123,576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12.3%</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1,564,625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16.4%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The George Putnam Fund of Boston</w:t>
            </w:r>
          </w:p>
        </w:tc>
        <w:tc>
          <w:tcPr>
            <w:tcW w:w="4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863,970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869,179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Casual Male Retail Group, Inc. Common Stock</w:t>
            </w:r>
          </w:p>
        </w:tc>
        <w:tc>
          <w:tcPr>
            <w:tcW w:w="3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496,415</w:t>
            </w:r>
          </w:p>
        </w:tc>
        <w:tc>
          <w:tcPr>
            <w:tcW w:w="3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7,266,085</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79.9%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7,553,134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79.4%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400" w:type="dxa"/>
            <w:vAlign w:val="bottom"/>
            <w:vMerge w:val="restart"/>
          </w:tcPr>
          <w:p>
            <w:pPr>
              <w:jc w:val="right"/>
              <w:ind w:right="2052"/>
              <w:spacing w:after="0"/>
              <w:rPr>
                <w:sz w:val="20"/>
                <w:szCs w:val="20"/>
                <w:color w:val="auto"/>
              </w:rPr>
            </w:pPr>
            <w:r>
              <w:rPr>
                <w:rFonts w:ascii="Arial" w:cs="Arial" w:eastAsia="Arial" w:hAnsi="Arial"/>
                <w:sz w:val="18"/>
                <w:szCs w:val="18"/>
                <w:color w:val="auto"/>
              </w:rPr>
              <w:t>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Income Tax Status</w:t>
      </w:r>
    </w:p>
    <w:p>
      <w:pPr>
        <w:spacing w:after="0" w:line="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underlying non-standardized prototype plan has received an opinion letter from the Internal Revenue Service (IRS) dated August 9, 2002 stating that the form of the plan is qualified under Section 401 of the Internal Revenue Code and, therefore, the related trust is tax-exempt. In accordance with Revenue Procedure</w:t>
      </w:r>
    </w:p>
    <w:p>
      <w:pPr>
        <w:spacing w:after="0" w:line="302" w:lineRule="auto"/>
        <w:rPr>
          <w:sz w:val="20"/>
          <w:szCs w:val="20"/>
          <w:color w:val="auto"/>
        </w:rPr>
      </w:pPr>
      <w:r>
        <w:rPr>
          <w:rFonts w:ascii="Arial" w:cs="Arial" w:eastAsia="Arial" w:hAnsi="Arial"/>
          <w:sz w:val="16"/>
          <w:szCs w:val="16"/>
          <w:color w:val="auto"/>
        </w:rPr>
        <w:t>2002-6 and Announcement 2001-77, the Plan Sponsor has determined that it is eligible to and has chosen to rely on the current IRS prototype plan opinion letter. Once qualified, the Plan is required to operate in conformity with the Code to maintain its qualification. The plan administrator believes the Plan is being operated in compliance with the applicable requirements of the Code and, therefore, believes that the Plan is qualified and the related trust is tax-exempt.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Non Exempt Transactions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 ended December 31, 2005, approximately $24,000 of participants’ contributions was not deposited on a timely basis. The Company has corrected the administrative problem that caused the late deposits, so that participants’ contributions can be deposited on a timely basis. The Company paid participants an earnings correction for the earnings lost on their deposits.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Supplemental Schedules</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EIN: 04-2623104/Plan Number: 005</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Schedule H, Line 4i – Schedule of Assets Held For Investment Purposes at End of Year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Identity of Issue,</w:t>
            </w:r>
          </w:p>
        </w:tc>
        <w:tc>
          <w:tcPr>
            <w:tcW w:w="220" w:type="dxa"/>
            <w:vAlign w:val="bottom"/>
          </w:tcPr>
          <w:p>
            <w:pPr>
              <w:spacing w:after="0"/>
              <w:rPr>
                <w:sz w:val="14"/>
                <w:szCs w:val="14"/>
                <w:color w:val="auto"/>
              </w:rPr>
            </w:pPr>
          </w:p>
        </w:tc>
        <w:tc>
          <w:tcPr>
            <w:tcW w:w="6260" w:type="dxa"/>
            <w:vAlign w:val="bottom"/>
          </w:tcPr>
          <w:p>
            <w:pPr>
              <w:jc w:val="center"/>
              <w:spacing w:after="0"/>
              <w:rPr>
                <w:sz w:val="20"/>
                <w:szCs w:val="20"/>
                <w:color w:val="auto"/>
              </w:rPr>
            </w:pPr>
            <w:r>
              <w:rPr>
                <w:rFonts w:ascii="Arial" w:cs="Arial" w:eastAsia="Arial" w:hAnsi="Arial"/>
                <w:sz w:val="14"/>
                <w:szCs w:val="14"/>
                <w:b w:val="1"/>
                <w:bCs w:val="1"/>
                <w:color w:val="auto"/>
                <w:w w:val="86"/>
              </w:rPr>
              <w:t>Description of investment including</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Borrower, Lessor,</w:t>
            </w:r>
          </w:p>
        </w:tc>
        <w:tc>
          <w:tcPr>
            <w:tcW w:w="220" w:type="dxa"/>
            <w:vAlign w:val="bottom"/>
          </w:tcPr>
          <w:p>
            <w:pPr>
              <w:spacing w:after="0"/>
              <w:rPr>
                <w:sz w:val="12"/>
                <w:szCs w:val="12"/>
                <w:color w:val="auto"/>
              </w:rPr>
            </w:pPr>
          </w:p>
        </w:tc>
        <w:tc>
          <w:tcPr>
            <w:tcW w:w="6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maturity date, rate of interest,</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860" w:type="dxa"/>
            <w:vAlign w:val="bottom"/>
            <w:gridSpan w:val="3"/>
          </w:tcPr>
          <w:p>
            <w:pPr>
              <w:spacing w:after="0"/>
              <w:rPr>
                <w:sz w:val="20"/>
                <w:szCs w:val="20"/>
                <w:color w:val="auto"/>
              </w:rPr>
            </w:pPr>
            <w:r>
              <w:rPr>
                <w:rFonts w:ascii="Arial" w:cs="Arial" w:eastAsia="Arial" w:hAnsi="Arial"/>
                <w:sz w:val="14"/>
                <w:szCs w:val="14"/>
                <w:b w:val="1"/>
                <w:bCs w:val="1"/>
                <w:color w:val="auto"/>
              </w:rPr>
              <w:t>or Similar Party</w:t>
            </w:r>
          </w:p>
        </w:tc>
        <w:tc>
          <w:tcPr>
            <w:tcW w:w="220" w:type="dxa"/>
            <w:vAlign w:val="bottom"/>
          </w:tcPr>
          <w:p>
            <w:pPr>
              <w:spacing w:after="0"/>
              <w:rPr>
                <w:sz w:val="14"/>
                <w:szCs w:val="14"/>
                <w:color w:val="auto"/>
              </w:rPr>
            </w:pPr>
          </w:p>
        </w:tc>
        <w:tc>
          <w:tcPr>
            <w:tcW w:w="6260" w:type="dxa"/>
            <w:vAlign w:val="bottom"/>
          </w:tcPr>
          <w:p>
            <w:pPr>
              <w:jc w:val="center"/>
              <w:spacing w:after="0"/>
              <w:rPr>
                <w:sz w:val="20"/>
                <w:szCs w:val="20"/>
                <w:color w:val="auto"/>
              </w:rPr>
            </w:pPr>
            <w:r>
              <w:rPr>
                <w:rFonts w:ascii="Arial" w:cs="Arial" w:eastAsia="Arial" w:hAnsi="Arial"/>
                <w:sz w:val="14"/>
                <w:szCs w:val="14"/>
                <w:b w:val="1"/>
                <w:bCs w:val="1"/>
                <w:color w:val="auto"/>
                <w:w w:val="88"/>
              </w:rPr>
              <w:t>collateral, par, or maturity value</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4"/>
              </w:rPr>
              <w:t>Shares/Units</w:t>
            </w: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Current Value</w:t>
            </w:r>
          </w:p>
        </w:tc>
      </w:tr>
      <w:tr>
        <w:trPr>
          <w:trHeight w:val="208"/>
        </w:trPr>
        <w:tc>
          <w:tcPr>
            <w:tcW w:w="20" w:type="dxa"/>
            <w:vAlign w:val="bottom"/>
          </w:tcPr>
          <w:p>
            <w:pPr>
              <w:spacing w:after="0"/>
              <w:rPr>
                <w:sz w:val="18"/>
                <w:szCs w:val="18"/>
                <w:color w:val="auto"/>
              </w:rPr>
            </w:pPr>
          </w:p>
        </w:tc>
        <w:tc>
          <w:tcPr>
            <w:tcW w:w="2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Commingled funds held through</w:t>
            </w:r>
          </w:p>
        </w:tc>
        <w:tc>
          <w:tcPr>
            <w:tcW w:w="220" w:type="dxa"/>
            <w:vAlign w:val="bottom"/>
            <w:shd w:val="clear" w:color="auto" w:fill="CCEEFF"/>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Putnam Investments:</w:t>
            </w:r>
          </w:p>
        </w:tc>
        <w:tc>
          <w:tcPr>
            <w:tcW w:w="220" w:type="dxa"/>
            <w:vAlign w:val="bottom"/>
            <w:shd w:val="clear" w:color="auto" w:fill="CCEEFF"/>
          </w:tcPr>
          <w:p>
            <w:pPr>
              <w:spacing w:after="0"/>
              <w:rPr>
                <w:sz w:val="19"/>
                <w:szCs w:val="19"/>
                <w:color w:val="auto"/>
              </w:rPr>
            </w:pPr>
          </w:p>
        </w:tc>
        <w:tc>
          <w:tcPr>
            <w:tcW w:w="6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*Putnam Stable Value Fund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4,782,124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4,782,124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*Putnam S&amp;P 500 Fund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1,123,576</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Mutual funds held through Putnam</w:t>
            </w:r>
          </w:p>
        </w:tc>
        <w:tc>
          <w:tcPr>
            <w:tcW w:w="2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*The George Putnam Fund of Boston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*Putnam International Equity Fund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231,985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Hotchkis &amp; Wiley Large Cap Value Fund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118,833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Victory Diversified Stock Fund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10,073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Ariel Fund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American Funds Growth Fund of America Class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12,743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388,654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MSIF Small Company Growth Fund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Janus Mid Cap Value Fund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128,086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Columbia Acorn Fund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Artisan Mid Cap Fund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Pimco Total Return Adm</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Dodge &amp; Cox International Fund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40,849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Maturity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*Putnam Retirementready 2010 Fund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2015 Fund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*Putnam Retirementready 2020 Fund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2025 Fund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*Putnam Retirementready 2030 Fund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2035 Fund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*Putnam Retirementready 2040 Fund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2045 Fund</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*Putnam Retirementready 2050 Fund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*Casual Male Retail Group, Inc – Common Stock</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496,415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*Participant loans</w:t>
            </w:r>
          </w:p>
        </w:tc>
        <w:tc>
          <w:tcPr>
            <w:tcW w:w="6480" w:type="dxa"/>
            <w:vAlign w:val="bottom"/>
            <w:gridSpan w:val="2"/>
          </w:tcPr>
          <w:p>
            <w:pPr>
              <w:ind w:left="220"/>
              <w:spacing w:after="0"/>
              <w:rPr>
                <w:sz w:val="20"/>
                <w:szCs w:val="20"/>
                <w:color w:val="auto"/>
              </w:rPr>
            </w:pPr>
            <w:r>
              <w:rPr>
                <w:rFonts w:ascii="Arial" w:cs="Arial" w:eastAsia="Arial" w:hAnsi="Arial"/>
                <w:sz w:val="18"/>
                <w:szCs w:val="18"/>
                <w:color w:val="auto"/>
              </w:rPr>
              <w:t>5.0% - 10.5%</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162,952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8,997,547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Indicates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G, Part III – Schedule of Nonexempt Transactions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300" w:type="dxa"/>
            <w:vAlign w:val="bottom"/>
          </w:tcPr>
          <w:p>
            <w:pPr>
              <w:spacing w:after="0"/>
              <w:rPr>
                <w:sz w:val="14"/>
                <w:szCs w:val="1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30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30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28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3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3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7"/>
              </w:rPr>
              <w:t>Description of</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79"/>
              </w:rPr>
              <w:t>Expenses</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Relationship to</w:t>
            </w:r>
          </w:p>
        </w:tc>
        <w:tc>
          <w:tcPr>
            <w:tcW w:w="30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transactions including</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incurred in</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 employer</w:t>
            </w:r>
          </w:p>
        </w:tc>
        <w:tc>
          <w:tcPr>
            <w:tcW w:w="30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maturity date, rate of</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connection</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Current</w:t>
            </w:r>
          </w:p>
        </w:tc>
        <w:tc>
          <w:tcPr>
            <w:tcW w:w="3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Net gain or (loss)</w:t>
            </w:r>
          </w:p>
        </w:tc>
        <w:tc>
          <w:tcPr>
            <w:tcW w:w="0" w:type="dxa"/>
            <w:vAlign w:val="bottom"/>
          </w:tcPr>
          <w:p>
            <w:pPr>
              <w:spacing w:after="0"/>
              <w:rPr>
                <w:sz w:val="1"/>
                <w:szCs w:val="1"/>
                <w:color w:val="auto"/>
              </w:rPr>
            </w:pPr>
          </w:p>
        </w:tc>
      </w:tr>
      <w:tr>
        <w:trPr>
          <w:trHeight w:val="149"/>
        </w:trPr>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Identity of</w:t>
            </w:r>
          </w:p>
        </w:tc>
        <w:tc>
          <w:tcPr>
            <w:tcW w:w="2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other party-</w:t>
            </w:r>
          </w:p>
        </w:tc>
        <w:tc>
          <w:tcPr>
            <w:tcW w:w="300" w:type="dxa"/>
            <w:vAlign w:val="bottom"/>
          </w:tcPr>
          <w:p>
            <w:pPr>
              <w:spacing w:after="0"/>
              <w:rPr>
                <w:sz w:val="12"/>
                <w:szCs w:val="12"/>
                <w:color w:val="auto"/>
              </w:rPr>
            </w:pPr>
          </w:p>
        </w:tc>
        <w:tc>
          <w:tcPr>
            <w:tcW w:w="2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 collateral, par</w:t>
            </w:r>
          </w:p>
        </w:tc>
        <w:tc>
          <w:tcPr>
            <w:tcW w:w="3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c>
          <w:tcPr>
            <w:tcW w:w="3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Selling</w:t>
            </w:r>
          </w:p>
        </w:tc>
        <w:tc>
          <w:tcPr>
            <w:tcW w:w="3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Lease</w:t>
            </w: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with</w:t>
            </w:r>
          </w:p>
        </w:tc>
        <w:tc>
          <w:tcPr>
            <w:tcW w:w="2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Cost of</w:t>
            </w:r>
          </w:p>
        </w:tc>
        <w:tc>
          <w:tcPr>
            <w:tcW w:w="3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value of</w:t>
            </w:r>
          </w:p>
        </w:tc>
        <w:tc>
          <w:tcPr>
            <w:tcW w:w="3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each</w:t>
            </w:r>
          </w:p>
        </w:tc>
        <w:tc>
          <w:tcPr>
            <w:tcW w:w="0" w:type="dxa"/>
            <w:vAlign w:val="bottom"/>
          </w:tcPr>
          <w:p>
            <w:pPr>
              <w:spacing w:after="0"/>
              <w:rPr>
                <w:sz w:val="1"/>
                <w:szCs w:val="1"/>
                <w:color w:val="auto"/>
              </w:rPr>
            </w:pPr>
          </w:p>
        </w:tc>
      </w:t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6"/>
              </w:rPr>
              <w:t>party involved</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in-interest</w:t>
            </w:r>
          </w:p>
        </w:tc>
        <w:tc>
          <w:tcPr>
            <w:tcW w:w="30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0"/>
              </w:rPr>
              <w:t>or maturity value</w:t>
            </w:r>
          </w:p>
        </w:tc>
        <w:tc>
          <w:tcPr>
            <w:tcW w:w="3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8"/>
              </w:rPr>
              <w:t>Rental</w:t>
            </w:r>
          </w:p>
        </w:tc>
        <w:tc>
          <w:tcPr>
            <w:tcW w:w="2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transaction</w:t>
            </w:r>
          </w:p>
        </w:tc>
        <w:tc>
          <w:tcPr>
            <w:tcW w:w="2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78"/>
              </w:rPr>
              <w:t>asset</w:t>
            </w:r>
          </w:p>
        </w:tc>
        <w:tc>
          <w:tcPr>
            <w:tcW w:w="3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78"/>
              </w:rPr>
              <w:t>asset</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transaction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Casual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88"/>
              </w:rPr>
              <w:t>Plan Sponsor</w:t>
            </w:r>
          </w:p>
        </w:tc>
        <w:tc>
          <w:tcPr>
            <w:tcW w:w="3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Participant contributions of $24,000 were</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9"/>
              </w:rPr>
              <w:t>Male Retail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not deposited with the custodian on a</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Group Inc.</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timely basis</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40" w:type="dxa"/>
            <w:vAlign w:val="bottom"/>
            <w:gridSpan w:val="2"/>
          </w:tcPr>
          <w:p>
            <w:pPr>
              <w:jc w:val="right"/>
              <w:ind w:right="452"/>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 401(k) Hourly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Savings plan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Dennis R. Hernreich, Executive Vice President, Chief</w:t>
      </w:r>
    </w:p>
    <w:p>
      <w:pPr>
        <w:spacing w:after="0" w:line="3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Financial Officer, Chief Operating Officer of Casual Male</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Retail Group, Inc., the Plan Administrator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June 23, 2006</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Reg. No. 333-112218) pertaining to the Casual Male Retail Group, Inc. 401(k) Hourly Savings Plan of Casual Male Retail Group, Inc. of our report dated June 12, 2006, with respect to the financial statements and schedules of the Casual Male Retail Group, Inc. 401(k) Hourly Savings Plan included in this Annual Report on (Form 11-K) for the year ended December 31, 2005.</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Mahoney Cohen &amp; Company, CPA,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23, 2006</w:t>
      </w:r>
    </w:p>
    <w:p>
      <w:pPr>
        <w:sectPr>
          <w:pgSz w:w="11900" w:h="16838" w:orient="portrait"/>
          <w:cols w:equalWidth="0" w:num="1">
            <w:col w:w="11420"/>
          </w:cols>
          <w:pgMar w:left="240" w:top="125"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Hourly Saving Plan (the “Plan”) for the period ending December 31, 2005 as filed with the Securities and Exchange Commission on the date hereof (the “Report”), I, Dennis R. Hernreich , Executive Vice President, Chief Financial Officer,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 Chief</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Operating Officer of Casual Male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Retail Group,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Plan Administrator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2019-12-20T17:43:53Z</dcterms:created>
  <dcterms:modified xsi:type="dcterms:W3CDTF">2019-12-20T17:43:53Z</dcterms:modified>
</cp:coreProperties>
</file>