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7108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710882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KANTER HARVEY 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DESTINATION XL GROUP,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TURNPIKE STREET</w:t>
      </w:r>
    </w:p>
    <w:p>
      <w:pPr>
        <w:spacing w:after="0" w:line="28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CANTON</w:t>
      </w:r>
      <w:r>
        <w:rPr>
          <w:sz w:val="20"/>
          <w:szCs w:val="20"/>
          <w:color w:val="auto"/>
        </w:rPr>
        <w:tab/>
      </w:r>
      <w:r>
        <w:rPr>
          <w:rFonts w:ascii="Times New Roman" w:cs="Times New Roman" w:eastAsia="Times New Roman" w:hAnsi="Times New Roman"/>
          <w:sz w:val="16"/>
          <w:szCs w:val="16"/>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DESTINATION XL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DXLG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line="145"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10/17/2022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0000FF"/>
              </w:rPr>
              <w:t>President and CEO</w:t>
            </w:r>
          </w:p>
        </w:tc>
        <w:tc>
          <w:tcPr>
            <w:tcW w:w="0" w:type="dxa"/>
            <w:vAlign w:val="bottom"/>
          </w:tcPr>
          <w:p>
            <w:pPr>
              <w:spacing w:after="0"/>
              <w:rPr>
                <w:sz w:val="1"/>
                <w:szCs w:val="1"/>
                <w:color w:val="auto"/>
              </w:rPr>
            </w:pPr>
          </w:p>
        </w:tc>
      </w:tr>
      <w:tr>
        <w:trPr>
          <w:trHeight w:val="30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44" w:lineRule="exact"/>
        <w:rPr>
          <w:sz w:val="24"/>
          <w:szCs w:val="24"/>
          <w:color w:val="auto"/>
        </w:rPr>
      </w:pPr>
    </w:p>
    <w:p>
      <w:pPr>
        <w:sectPr>
          <w:pgSz w:w="11900" w:h="16838"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2"/>
          </w:tcPr>
          <w:p>
            <w:pPr>
              <w:jc w:val="center"/>
              <w:ind w:left="65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820" w:type="dxa"/>
            <w:vAlign w:val="bottom"/>
            <w:gridSpan w:val="2"/>
          </w:tcPr>
          <w:p>
            <w:pPr>
              <w:jc w:val="center"/>
              <w:ind w:left="650"/>
              <w:spacing w:after="0"/>
              <w:rPr>
                <w:sz w:val="20"/>
                <w:szCs w:val="20"/>
                <w:color w:val="auto"/>
              </w:rPr>
            </w:pPr>
            <w:r>
              <w:rPr>
                <w:rFonts w:ascii="Times New Roman" w:cs="Times New Roman" w:eastAsia="Times New Roman" w:hAnsi="Times New Roman"/>
                <w:sz w:val="16"/>
                <w:szCs w:val="16"/>
                <w:color w:val="0000FF"/>
              </w:rPr>
              <w:t>10/17/2022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gridSpan w:val="2"/>
          </w:tcPr>
          <w:p>
            <w:pPr>
              <w:jc w:val="center"/>
              <w:ind w:left="72"/>
              <w:spacing w:after="0"/>
              <w:rPr>
                <w:sz w:val="20"/>
                <w:szCs w:val="20"/>
                <w:color w:val="auto"/>
              </w:rPr>
            </w:pPr>
            <w:r>
              <w:rPr>
                <w:rFonts w:ascii="Times New Roman" w:cs="Times New Roman" w:eastAsia="Times New Roman" w:hAnsi="Times New Roman"/>
                <w:sz w:val="16"/>
                <w:szCs w:val="16"/>
                <w:color w:val="0000FF"/>
                <w:w w:val="99"/>
              </w:rPr>
              <w:t>150,000</w:t>
            </w:r>
          </w:p>
        </w:tc>
        <w:tc>
          <w:tcPr>
            <w:tcW w:w="50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0.64</w:t>
            </w:r>
          </w:p>
        </w:tc>
        <w:tc>
          <w:tcPr>
            <w:tcW w:w="12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518,070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820" w:type="dxa"/>
            <w:vAlign w:val="bottom"/>
            <w:gridSpan w:val="2"/>
          </w:tcPr>
          <w:p>
            <w:pPr>
              <w:jc w:val="center"/>
              <w:ind w:left="650"/>
              <w:spacing w:after="0"/>
              <w:rPr>
                <w:sz w:val="20"/>
                <w:szCs w:val="20"/>
                <w:color w:val="auto"/>
              </w:rPr>
            </w:pPr>
            <w:r>
              <w:rPr>
                <w:rFonts w:ascii="Times New Roman" w:cs="Times New Roman" w:eastAsia="Times New Roman" w:hAnsi="Times New Roman"/>
                <w:sz w:val="16"/>
                <w:szCs w:val="16"/>
                <w:color w:val="0000FF"/>
              </w:rPr>
              <w:t>10/17/2022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gridSpan w:val="2"/>
          </w:tcPr>
          <w:p>
            <w:pPr>
              <w:jc w:val="center"/>
              <w:ind w:left="72"/>
              <w:spacing w:after="0"/>
              <w:rPr>
                <w:sz w:val="20"/>
                <w:szCs w:val="20"/>
                <w:color w:val="auto"/>
              </w:rPr>
            </w:pPr>
            <w:r>
              <w:rPr>
                <w:rFonts w:ascii="Times New Roman" w:cs="Times New Roman" w:eastAsia="Times New Roman" w:hAnsi="Times New Roman"/>
                <w:sz w:val="16"/>
                <w:szCs w:val="16"/>
                <w:color w:val="0000FF"/>
                <w:w w:val="99"/>
              </w:rPr>
              <w:t>221,020</w:t>
            </w:r>
          </w:p>
        </w:tc>
        <w:tc>
          <w:tcPr>
            <w:tcW w:w="50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0.53</w:t>
            </w:r>
          </w:p>
        </w:tc>
        <w:tc>
          <w:tcPr>
            <w:tcW w:w="12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739,090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820" w:type="dxa"/>
            <w:vAlign w:val="bottom"/>
            <w:gridSpan w:val="2"/>
          </w:tcPr>
          <w:p>
            <w:pPr>
              <w:jc w:val="center"/>
              <w:ind w:left="650"/>
              <w:spacing w:after="0"/>
              <w:rPr>
                <w:sz w:val="20"/>
                <w:szCs w:val="20"/>
                <w:color w:val="auto"/>
              </w:rPr>
            </w:pPr>
            <w:r>
              <w:rPr>
                <w:rFonts w:ascii="Times New Roman" w:cs="Times New Roman" w:eastAsia="Times New Roman" w:hAnsi="Times New Roman"/>
                <w:sz w:val="16"/>
                <w:szCs w:val="16"/>
                <w:color w:val="0000FF"/>
              </w:rPr>
              <w:t>10/17/2022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6"/>
                <w:szCs w:val="16"/>
                <w:color w:val="0000FF"/>
                <w:w w:val="99"/>
              </w:rPr>
              <w:t>83,990</w:t>
            </w:r>
          </w:p>
        </w:tc>
        <w:tc>
          <w:tcPr>
            <w:tcW w:w="10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0.69</w:t>
            </w:r>
          </w:p>
        </w:tc>
        <w:tc>
          <w:tcPr>
            <w:tcW w:w="12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823,080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820" w:type="dxa"/>
            <w:vAlign w:val="bottom"/>
            <w:gridSpan w:val="2"/>
          </w:tcPr>
          <w:p>
            <w:pPr>
              <w:jc w:val="center"/>
              <w:ind w:left="650"/>
              <w:spacing w:after="0"/>
              <w:rPr>
                <w:sz w:val="20"/>
                <w:szCs w:val="20"/>
                <w:color w:val="auto"/>
              </w:rPr>
            </w:pPr>
            <w:r>
              <w:rPr>
                <w:rFonts w:ascii="Times New Roman" w:cs="Times New Roman" w:eastAsia="Times New Roman" w:hAnsi="Times New Roman"/>
                <w:sz w:val="16"/>
                <w:szCs w:val="16"/>
                <w:color w:val="0000FF"/>
              </w:rPr>
              <w:t>10/17/2022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6"/>
                <w:szCs w:val="16"/>
                <w:color w:val="0000FF"/>
                <w:w w:val="99"/>
              </w:rPr>
              <w:t>35,422</w:t>
            </w:r>
          </w:p>
        </w:tc>
        <w:tc>
          <w:tcPr>
            <w:tcW w:w="10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0.75</w:t>
            </w:r>
          </w:p>
        </w:tc>
        <w:tc>
          <w:tcPr>
            <w:tcW w:w="128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858,502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82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16"/>
                <w:szCs w:val="16"/>
                <w:color w:val="0000FF"/>
              </w:rPr>
              <w:t>10/17/2022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gridSpan w:val="2"/>
          </w:tcPr>
          <w:p>
            <w:pPr>
              <w:jc w:val="center"/>
              <w:ind w:left="52"/>
              <w:spacing w:after="0"/>
              <w:rPr>
                <w:sz w:val="20"/>
                <w:szCs w:val="20"/>
                <w:color w:val="auto"/>
              </w:rPr>
            </w:pPr>
            <w:r>
              <w:rPr>
                <w:rFonts w:ascii="Times New Roman" w:cs="Times New Roman" w:eastAsia="Times New Roman" w:hAnsi="Times New Roman"/>
                <w:sz w:val="16"/>
                <w:szCs w:val="16"/>
                <w:color w:val="0000FF"/>
                <w:w w:val="96"/>
              </w:rPr>
              <w:t>225,226</w:t>
            </w:r>
            <w:r>
              <w:rPr>
                <w:rFonts w:ascii="Times New Roman" w:cs="Times New Roman" w:eastAsia="Times New Roman" w:hAnsi="Times New Roman"/>
                <w:sz w:val="21"/>
                <w:szCs w:val="21"/>
                <w:color w:val="008000"/>
                <w:w w:val="96"/>
                <w:vertAlign w:val="superscript"/>
              </w:rPr>
              <w:t>(1)</w:t>
            </w:r>
          </w:p>
        </w:tc>
        <w:tc>
          <w:tcPr>
            <w:tcW w:w="5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5.6</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6"/>
                <w:szCs w:val="16"/>
                <w:color w:val="0000FF"/>
              </w:rPr>
              <w:t>633,276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Expiration Date</w:t>
            </w:r>
          </w:p>
        </w:tc>
        <w:tc>
          <w:tcPr>
            <w:tcW w:w="72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06/10/2021</w:t>
            </w:r>
            <w:r>
              <w:rPr>
                <w:rFonts w:ascii="Times New Roman" w:cs="Times New Roman" w:eastAsia="Times New Roman" w:hAnsi="Times New Roman"/>
                <w:sz w:val="21"/>
                <w:szCs w:val="21"/>
                <w:color w:val="008000"/>
                <w:vertAlign w:val="superscript"/>
              </w:rPr>
              <w:t>(2)</w:t>
            </w:r>
          </w:p>
        </w:tc>
        <w:tc>
          <w:tcPr>
            <w:tcW w:w="7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rPr>
              <w:t>150,000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0.64</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10/17/2022</w:t>
            </w:r>
          </w:p>
        </w:tc>
        <w:tc>
          <w:tcPr>
            <w:tcW w:w="1060" w:type="dxa"/>
            <w:vAlign w:val="bottom"/>
          </w:tcPr>
          <w:p>
            <w:pPr>
              <w:spacing w:after="0"/>
              <w:rPr>
                <w:sz w:val="12"/>
                <w:szCs w:val="12"/>
                <w:color w:val="auto"/>
              </w:rPr>
            </w:pPr>
          </w:p>
        </w:tc>
        <w:tc>
          <w:tcPr>
            <w:tcW w:w="760" w:type="dxa"/>
            <w:vAlign w:val="bottom"/>
          </w:tcPr>
          <w:p>
            <w:pPr>
              <w:jc w:val="center"/>
              <w:ind w:right="280"/>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920" w:type="dxa"/>
            <w:vAlign w:val="bottom"/>
          </w:tcPr>
          <w:p>
            <w:pPr>
              <w:jc w:val="center"/>
              <w:ind w:left="222"/>
              <w:spacing w:after="0" w:line="139" w:lineRule="exact"/>
              <w:rPr>
                <w:sz w:val="20"/>
                <w:szCs w:val="20"/>
                <w:color w:val="auto"/>
              </w:rPr>
            </w:pPr>
            <w:r>
              <w:rPr>
                <w:rFonts w:ascii="Times New Roman" w:cs="Times New Roman" w:eastAsia="Times New Roman" w:hAnsi="Times New Roman"/>
                <w:sz w:val="13"/>
                <w:szCs w:val="13"/>
                <w:color w:val="0000FF"/>
                <w:w w:val="94"/>
              </w:rPr>
              <w:t>150,000</w:t>
            </w:r>
          </w:p>
        </w:tc>
        <w:tc>
          <w:tcPr>
            <w:tcW w:w="840" w:type="dxa"/>
            <w:vAlign w:val="bottom"/>
            <w:gridSpan w:val="2"/>
            <w:vMerge w:val="continue"/>
          </w:tcPr>
          <w:p>
            <w:pPr>
              <w:spacing w:after="0"/>
              <w:rPr>
                <w:sz w:val="12"/>
                <w:szCs w:val="12"/>
                <w:color w:val="auto"/>
              </w:rPr>
            </w:pPr>
          </w:p>
        </w:tc>
        <w:tc>
          <w:tcPr>
            <w:tcW w:w="7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06/10/2030</w:t>
            </w:r>
          </w:p>
        </w:tc>
        <w:tc>
          <w:tcPr>
            <w:tcW w:w="6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150,000</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06/11/2021</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rPr>
              <w:t>221,020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0.53</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10/17/2022</w:t>
            </w:r>
          </w:p>
        </w:tc>
        <w:tc>
          <w:tcPr>
            <w:tcW w:w="1060" w:type="dxa"/>
            <w:vAlign w:val="bottom"/>
          </w:tcPr>
          <w:p>
            <w:pPr>
              <w:spacing w:after="0"/>
              <w:rPr>
                <w:sz w:val="12"/>
                <w:szCs w:val="12"/>
                <w:color w:val="auto"/>
              </w:rPr>
            </w:pPr>
          </w:p>
        </w:tc>
        <w:tc>
          <w:tcPr>
            <w:tcW w:w="760" w:type="dxa"/>
            <w:vAlign w:val="bottom"/>
          </w:tcPr>
          <w:p>
            <w:pPr>
              <w:jc w:val="center"/>
              <w:ind w:right="280"/>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920" w:type="dxa"/>
            <w:vAlign w:val="bottom"/>
          </w:tcPr>
          <w:p>
            <w:pPr>
              <w:jc w:val="center"/>
              <w:ind w:left="222"/>
              <w:spacing w:after="0" w:line="139" w:lineRule="exact"/>
              <w:rPr>
                <w:sz w:val="20"/>
                <w:szCs w:val="20"/>
                <w:color w:val="auto"/>
              </w:rPr>
            </w:pPr>
            <w:r>
              <w:rPr>
                <w:rFonts w:ascii="Times New Roman" w:cs="Times New Roman" w:eastAsia="Times New Roman" w:hAnsi="Times New Roman"/>
                <w:sz w:val="13"/>
                <w:szCs w:val="13"/>
                <w:color w:val="0000FF"/>
                <w:w w:val="94"/>
              </w:rPr>
              <w:t>221,020</w:t>
            </w:r>
          </w:p>
        </w:tc>
        <w:tc>
          <w:tcPr>
            <w:tcW w:w="840" w:type="dxa"/>
            <w:vAlign w:val="bottom"/>
            <w:gridSpan w:val="2"/>
            <w:vMerge w:val="continue"/>
          </w:tcPr>
          <w:p>
            <w:pPr>
              <w:spacing w:after="0"/>
              <w:rPr>
                <w:sz w:val="12"/>
                <w:szCs w:val="12"/>
                <w:color w:val="auto"/>
              </w:rPr>
            </w:pPr>
          </w:p>
        </w:tc>
        <w:tc>
          <w:tcPr>
            <w:tcW w:w="7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06/11/2030</w:t>
            </w:r>
          </w:p>
        </w:tc>
        <w:tc>
          <w:tcPr>
            <w:tcW w:w="6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442,040</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04/01/2022</w:t>
            </w:r>
            <w:r>
              <w:rPr>
                <w:rFonts w:ascii="Times New Roman" w:cs="Times New Roman" w:eastAsia="Times New Roman" w:hAnsi="Times New Roman"/>
                <w:sz w:val="21"/>
                <w:szCs w:val="21"/>
                <w:color w:val="008000"/>
                <w:vertAlign w:val="superscript"/>
              </w:rPr>
              <w:t>(4)</w:t>
            </w:r>
          </w:p>
        </w:tc>
        <w:tc>
          <w:tcPr>
            <w:tcW w:w="7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83,990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0.69</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10/17/2022</w:t>
            </w:r>
          </w:p>
        </w:tc>
        <w:tc>
          <w:tcPr>
            <w:tcW w:w="1060" w:type="dxa"/>
            <w:vAlign w:val="bottom"/>
          </w:tcPr>
          <w:p>
            <w:pPr>
              <w:spacing w:after="0"/>
              <w:rPr>
                <w:sz w:val="5"/>
                <w:szCs w:val="5"/>
                <w:color w:val="auto"/>
              </w:rPr>
            </w:pPr>
          </w:p>
        </w:tc>
        <w:tc>
          <w:tcPr>
            <w:tcW w:w="760" w:type="dxa"/>
            <w:vAlign w:val="bottom"/>
            <w:vMerge w:val="restart"/>
          </w:tcPr>
          <w:p>
            <w:pPr>
              <w:jc w:val="center"/>
              <w:ind w:right="280"/>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920" w:type="dxa"/>
            <w:vAlign w:val="bottom"/>
            <w:vMerge w:val="restart"/>
          </w:tcPr>
          <w:p>
            <w:pPr>
              <w:jc w:val="center"/>
              <w:ind w:left="222"/>
              <w:spacing w:after="0" w:line="139" w:lineRule="exact"/>
              <w:rPr>
                <w:sz w:val="20"/>
                <w:szCs w:val="20"/>
                <w:color w:val="auto"/>
              </w:rPr>
            </w:pPr>
            <w:r>
              <w:rPr>
                <w:rFonts w:ascii="Times New Roman" w:cs="Times New Roman" w:eastAsia="Times New Roman" w:hAnsi="Times New Roman"/>
                <w:sz w:val="13"/>
                <w:szCs w:val="13"/>
                <w:color w:val="0000FF"/>
              </w:rPr>
              <w:t>83,990</w:t>
            </w:r>
          </w:p>
        </w:tc>
        <w:tc>
          <w:tcPr>
            <w:tcW w:w="840" w:type="dxa"/>
            <w:vAlign w:val="bottom"/>
            <w:gridSpan w:val="2"/>
            <w:vMerge w:val="continue"/>
          </w:tcPr>
          <w:p>
            <w:pPr>
              <w:spacing w:after="0"/>
              <w:rPr>
                <w:sz w:val="5"/>
                <w:szCs w:val="5"/>
                <w:color w:val="auto"/>
              </w:rPr>
            </w:pPr>
          </w:p>
        </w:tc>
        <w:tc>
          <w:tcPr>
            <w:tcW w:w="7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03/08/2031</w:t>
            </w:r>
          </w:p>
        </w:tc>
        <w:tc>
          <w:tcPr>
            <w:tcW w:w="6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251,970</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03/09/2022</w:t>
            </w:r>
            <w:r>
              <w:rPr>
                <w:rFonts w:ascii="Times New Roman" w:cs="Times New Roman" w:eastAsia="Times New Roman" w:hAnsi="Times New Roman"/>
                <w:sz w:val="21"/>
                <w:szCs w:val="21"/>
                <w:color w:val="008000"/>
                <w:vertAlign w:val="superscript"/>
              </w:rPr>
              <w:t>(5)</w:t>
            </w:r>
          </w:p>
        </w:tc>
        <w:tc>
          <w:tcPr>
            <w:tcW w:w="7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35,422</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0.75</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10/17/2022</w:t>
            </w:r>
          </w:p>
        </w:tc>
        <w:tc>
          <w:tcPr>
            <w:tcW w:w="1060" w:type="dxa"/>
            <w:vAlign w:val="bottom"/>
          </w:tcPr>
          <w:p>
            <w:pPr>
              <w:spacing w:after="0"/>
              <w:rPr>
                <w:sz w:val="5"/>
                <w:szCs w:val="5"/>
                <w:color w:val="auto"/>
              </w:rPr>
            </w:pPr>
          </w:p>
        </w:tc>
        <w:tc>
          <w:tcPr>
            <w:tcW w:w="760" w:type="dxa"/>
            <w:vAlign w:val="bottom"/>
            <w:vMerge w:val="restart"/>
          </w:tcPr>
          <w:p>
            <w:pPr>
              <w:jc w:val="center"/>
              <w:ind w:right="280"/>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920" w:type="dxa"/>
            <w:vAlign w:val="bottom"/>
            <w:vMerge w:val="restart"/>
          </w:tcPr>
          <w:p>
            <w:pPr>
              <w:jc w:val="center"/>
              <w:ind w:left="222"/>
              <w:spacing w:after="0" w:line="139" w:lineRule="exact"/>
              <w:rPr>
                <w:sz w:val="20"/>
                <w:szCs w:val="20"/>
                <w:color w:val="auto"/>
              </w:rPr>
            </w:pPr>
            <w:r>
              <w:rPr>
                <w:rFonts w:ascii="Times New Roman" w:cs="Times New Roman" w:eastAsia="Times New Roman" w:hAnsi="Times New Roman"/>
                <w:sz w:val="13"/>
                <w:szCs w:val="13"/>
                <w:color w:val="0000FF"/>
              </w:rPr>
              <w:t>35,422</w:t>
            </w:r>
          </w:p>
        </w:tc>
        <w:tc>
          <w:tcPr>
            <w:tcW w:w="840" w:type="dxa"/>
            <w:vAlign w:val="bottom"/>
            <w:gridSpan w:val="2"/>
            <w:vMerge w:val="continue"/>
          </w:tcPr>
          <w:p>
            <w:pPr>
              <w:spacing w:after="0"/>
              <w:rPr>
                <w:sz w:val="5"/>
                <w:szCs w:val="5"/>
                <w:color w:val="auto"/>
              </w:rPr>
            </w:pPr>
          </w:p>
        </w:tc>
        <w:tc>
          <w:tcPr>
            <w:tcW w:w="7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03/09/2031</w:t>
            </w:r>
          </w:p>
        </w:tc>
        <w:tc>
          <w:tcPr>
            <w:tcW w:w="6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70,843</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0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from shares otherwise issuable upon exercise of the options to cover the exercise price and withholding taxes, based on the closing price of the Issuer's common stock of $5.60 on the date immediately preceding the transaction date.</w:t>
      </w:r>
    </w:p>
    <w:p>
      <w:pPr>
        <w:spacing w:after="0" w:line="21" w:lineRule="exact"/>
        <w:rPr>
          <w:rFonts w:ascii="Times New Roman" w:cs="Times New Roman" w:eastAsia="Times New Roman" w:hAnsi="Times New Roman"/>
          <w:sz w:val="13"/>
          <w:szCs w:val="13"/>
          <w:color w:val="008000"/>
        </w:rPr>
      </w:pPr>
    </w:p>
    <w:p>
      <w:pPr>
        <w:ind w:left="40" w:right="24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("Stock Options") vests in three equal installments. 150,000 Stock Options became exercisable on June 10, 2021 and 150,000 Stock Options became exercisable on April 1, 2022. 150,000 Stock Options will become exercisable on April 1, 2023.</w:t>
      </w:r>
    </w:p>
    <w:p>
      <w:pPr>
        <w:spacing w:after="0" w:line="21" w:lineRule="exact"/>
        <w:rPr>
          <w:rFonts w:ascii="Times New Roman" w:cs="Times New Roman" w:eastAsia="Times New Roman" w:hAnsi="Times New Roman"/>
          <w:sz w:val="13"/>
          <w:szCs w:val="13"/>
          <w:color w:val="008000"/>
        </w:rPr>
      </w:pPr>
    </w:p>
    <w:p>
      <w:pPr>
        <w:ind w:left="40" w:right="42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represent the time-based portion of the 2020-2022 Long-Term Incentive Plan award to the Reporting Person. The Stock Options are exercisable in four equal installments on June 11, 2021, April 1, 2022, April 1, 2023 and April 1, 2024.</w:t>
      </w:r>
    </w:p>
    <w:p>
      <w:pPr>
        <w:spacing w:after="0" w:line="21" w:lineRule="exact"/>
        <w:rPr>
          <w:rFonts w:ascii="Times New Roman" w:cs="Times New Roman" w:eastAsia="Times New Roman" w:hAnsi="Times New Roman"/>
          <w:sz w:val="13"/>
          <w:szCs w:val="13"/>
          <w:color w:val="008000"/>
        </w:rPr>
      </w:pPr>
    </w:p>
    <w:p>
      <w:pPr>
        <w:ind w:left="40" w:right="14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represent the time-based portion of the 2021-2023 Long-Term Incentive Plan award to the Reporting Person. The Stock Options are exercisable in four equal installments on April 1, 2022, April 1, 2023, April 1, 2024 and April 1, 2025.</w:t>
      </w:r>
    </w:p>
    <w:p>
      <w:pPr>
        <w:spacing w:after="0" w:line="21" w:lineRule="exact"/>
        <w:rPr>
          <w:rFonts w:ascii="Times New Roman" w:cs="Times New Roman" w:eastAsia="Times New Roman" w:hAnsi="Times New Roman"/>
          <w:sz w:val="13"/>
          <w:szCs w:val="13"/>
          <w:color w:val="008000"/>
        </w:rPr>
      </w:pPr>
    </w:p>
    <w:p>
      <w:pPr>
        <w:ind w:left="40" w:right="26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represent a discretionary award to the Reporting Person pursuant to the Company's 2016 Incentive Compensation Plan. The Stock Options are exercisable in three equal installments on March 9, 2022, March 9, 2023 and March 9, 2024.</w:t>
      </w:r>
    </w:p>
    <w:p>
      <w:pPr>
        <w:spacing w:after="0" w:line="4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Harvey S. Kanter</w:t>
            </w:r>
          </w:p>
        </w:tc>
        <w:tc>
          <w:tcPr>
            <w:tcW w:w="86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10/18/2022</w:t>
            </w:r>
          </w:p>
        </w:tc>
      </w:tr>
      <w:tr>
        <w:trPr>
          <w:trHeight w:val="20"/>
        </w:trPr>
        <w:tc>
          <w:tcPr>
            <w:tcW w:w="1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40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2022-10-18T15:11:34Z</dcterms:created>
  <dcterms:modified xsi:type="dcterms:W3CDTF">2022-10-18T15:11:34Z</dcterms:modified>
</cp:coreProperties>
</file>