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798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9869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MESDAG WILLEM</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275" w:lineRule="auto"/>
        <w:rPr>
          <w:sz w:val="20"/>
          <w:szCs w:val="20"/>
          <w:color w:val="auto"/>
        </w:rPr>
      </w:pPr>
      <w:r>
        <w:rPr>
          <w:rFonts w:ascii="Times New Roman" w:cs="Times New Roman" w:eastAsia="Times New Roman" w:hAnsi="Times New Roman"/>
          <w:sz w:val="17"/>
          <w:szCs w:val="17"/>
          <w:color w:val="0000FF"/>
        </w:rPr>
        <w:t>C/O RED MOUNTAIN CAPITAL MANAGEMENT INC</w:t>
      </w:r>
    </w:p>
    <w:p>
      <w:pPr>
        <w:spacing w:after="0" w:line="1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1999 AVENUE OF THE STARS, STE 1100</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00" w:type="dxa"/>
            <w:vAlign w:val="bottom"/>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r>
      <w:tr>
        <w:trPr>
          <w:trHeight w:val="227"/>
        </w:trPr>
        <w:tc>
          <w:tcPr>
            <w:tcW w:w="20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LOS ANGELES  CA</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90067</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7"/>
        </w:trPr>
        <w:tc>
          <w:tcPr>
            <w:tcW w:w="3840" w:type="dxa"/>
            <w:vAlign w:val="bottom"/>
            <w:gridSpan w:val="4"/>
          </w:tcPr>
          <w:p>
            <w:pPr>
              <w:ind w:left="60"/>
              <w:spacing w:after="0" w:line="21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r>
      <w:tr>
        <w:trPr>
          <w:trHeight w:val="148"/>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8" w:lineRule="exact"/>
              <w:rPr>
                <w:sz w:val="20"/>
                <w:szCs w:val="20"/>
                <w:color w:val="auto"/>
              </w:rPr>
            </w:pPr>
            <w:r>
              <w:rPr>
                <w:rFonts w:ascii="Arial" w:cs="Arial" w:eastAsia="Arial" w:hAnsi="Arial"/>
                <w:sz w:val="13"/>
                <w:szCs w:val="13"/>
                <w:color w:val="auto"/>
              </w:rPr>
              <w:t>10% Owner</w:t>
            </w:r>
          </w:p>
        </w:tc>
      </w:tr>
      <w:tr>
        <w:trPr>
          <w:trHeight w:val="170"/>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7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6"/>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11/04/2024</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2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660" w:space="180"/>
            <w:col w:w="7240"/>
          </w:cols>
          <w:pgMar w:left="460" w:top="216" w:right="359" w:bottom="1440" w:gutter="0" w:footer="0" w:header="0"/>
          <w:type w:val="continuous"/>
        </w:sectPr>
      </w:pPr>
    </w:p>
    <w:p>
      <w:pPr>
        <w:spacing w:after="0" w:line="4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2,593,758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06"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2.69</w:t>
            </w:r>
            <w:r>
              <w:rPr>
                <w:rFonts w:ascii="Times New Roman" w:cs="Times New Roman" w:eastAsia="Times New Roman" w:hAnsi="Times New Roman"/>
                <w:sz w:val="21"/>
                <w:szCs w:val="21"/>
                <w:color w:val="008000"/>
                <w:vertAlign w:val="superscript"/>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13,475</w:t>
            </w:r>
            <w:r>
              <w:rPr>
                <w:rFonts w:ascii="Times New Roman" w:cs="Times New Roman" w:eastAsia="Times New Roman" w:hAnsi="Times New Roman"/>
                <w:sz w:val="21"/>
                <w:szCs w:val="21"/>
                <w:color w:val="008000"/>
                <w:vertAlign w:val="superscript"/>
              </w:rPr>
              <w:t>(4)</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13,475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3"/>
                <w:szCs w:val="13"/>
                <w:color w:val="auto"/>
              </w:rPr>
            </w:pP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11/04/2024</w:t>
            </w:r>
          </w:p>
        </w:tc>
        <w:tc>
          <w:tcPr>
            <w:tcW w:w="1100" w:type="dxa"/>
            <w:vAlign w:val="bottom"/>
          </w:tcPr>
          <w:p>
            <w:pPr>
              <w:spacing w:after="0"/>
              <w:rPr>
                <w:sz w:val="13"/>
                <w:szCs w:val="13"/>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479,700</w:t>
            </w:r>
          </w:p>
        </w:tc>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line="21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-1843405</wp:posOffset>
            </wp:positionV>
            <wp:extent cx="29210" cy="1849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91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jc w:val="both"/>
        <w:ind w:left="40" w:right="320"/>
        <w:spacing w:after="0" w:line="235"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ownership includes (i) 420,286 shares held by the Mesdag Family Limited Partnership, (ii) 97,529 shares held by the Mesdag Family Foundation, (iii) 44,746 shares held by the 2012 Mesdag Trust, (iv) 1,763,373 shares held by Red Mountain Capital Partners LLC, and (v) 267,824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(DSUs) issued pursuant to the Director's elected form of compensation for quarterly annual retainer and committee chairperson fee.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 share value is determined by the closing price of the Company's common stock on November 1, 2024.</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DSU is credited to the Reporting Person under the Company's Director Plan (the "Director Plan"). Each DSU represents ownership equivalent to one share of the Company's common stock.</w:t>
      </w:r>
    </w:p>
    <w:p>
      <w:pPr>
        <w:spacing w:after="0" w:line="41" w:lineRule="exact"/>
        <w:rPr>
          <w:rFonts w:ascii="Times New Roman" w:cs="Times New Roman" w:eastAsia="Times New Roman" w:hAnsi="Times New Roman"/>
          <w:sz w:val="13"/>
          <w:szCs w:val="13"/>
          <w:color w:val="008000"/>
        </w:rPr>
      </w:pPr>
    </w:p>
    <w:p>
      <w:pPr>
        <w:ind w:left="40" w:right="62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DSUs credited under the Director Plan are payable in the form elected or provided under the Director Plan on the earlier of (i) the Reporting Person's date of separation of service, or (ii) upon death, disability or change in control as defined under the Director Plan.</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Willem Mesdag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1253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of himself and the other</w:t>
      </w:r>
      <w:r>
        <w:rPr>
          <w:sz w:val="20"/>
          <w:szCs w:val="20"/>
          <w:color w:val="auto"/>
        </w:rPr>
        <w:tab/>
      </w:r>
      <w:r>
        <w:rPr>
          <w:rFonts w:ascii="Times New Roman" w:cs="Times New Roman" w:eastAsia="Times New Roman" w:hAnsi="Times New Roman"/>
          <w:sz w:val="16"/>
          <w:szCs w:val="16"/>
          <w:color w:val="0000FF"/>
        </w:rPr>
        <w:t>11/06/2024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1870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00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810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1026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4566"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2024-11-06T16:06:03Z</dcterms:created>
  <dcterms:modified xsi:type="dcterms:W3CDTF">2024-11-06T16:06:03Z</dcterms:modified>
</cp:coreProperties>
</file>