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(Amendment No.)*</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Casual Male Retail Group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148711104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2004</w:t>
      </w:r>
    </w:p>
    <w:p>
      <w:pPr>
        <w:spacing w:after="0" w:line="238" w:lineRule="auto"/>
        <w:rPr>
          <w:sz w:val="20"/>
          <w:szCs w:val="20"/>
          <w:color w:val="auto"/>
        </w:rPr>
      </w:pPr>
      <w:r>
        <w:rPr>
          <w:rFonts w:ascii="Courier New" w:cs="Courier New" w:eastAsia="Courier New" w:hAnsi="Courier New"/>
          <w:sz w:val="18"/>
          <w:szCs w:val="18"/>
          <w:color w:val="auto"/>
        </w:rPr>
        <w:t>_______________________________</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20" w:type="dxa"/>
            <w:vAlign w:val="bottom"/>
            <w:gridSpan w:val="2"/>
          </w:tcPr>
          <w:p>
            <w:pPr>
              <w:spacing w:after="0"/>
              <w:rPr>
                <w:sz w:val="20"/>
                <w:szCs w:val="20"/>
                <w:color w:val="auto"/>
              </w:rPr>
            </w:pPr>
            <w:r>
              <w:rPr>
                <w:rFonts w:ascii="Courier New" w:cs="Courier New" w:eastAsia="Courier New" w:hAnsi="Courier New"/>
                <w:sz w:val="18"/>
                <w:szCs w:val="18"/>
                <w:color w:val="auto"/>
              </w:rPr>
              <w:t>[X]</w:t>
            </w:r>
          </w:p>
        </w:tc>
        <w:tc>
          <w:tcPr>
            <w:tcW w:w="138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Rule 13d-1</w:t>
            </w:r>
          </w:p>
        </w:tc>
        <w:tc>
          <w:tcPr>
            <w:tcW w:w="520" w:type="dxa"/>
            <w:vAlign w:val="bottom"/>
          </w:tcPr>
          <w:p>
            <w:pPr>
              <w:ind w:left="200"/>
              <w:spacing w:after="0"/>
              <w:rPr>
                <w:sz w:val="20"/>
                <w:szCs w:val="20"/>
                <w:color w:val="auto"/>
              </w:rPr>
            </w:pPr>
            <w:r>
              <w:rPr>
                <w:rFonts w:ascii="Courier New" w:cs="Courier New" w:eastAsia="Courier New" w:hAnsi="Courier New"/>
                <w:sz w:val="18"/>
                <w:szCs w:val="18"/>
                <w:color w:val="auto"/>
                <w:w w:val="92"/>
              </w:rPr>
              <w:t>(b)</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Rule</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w:t>
            </w:r>
          </w:p>
        </w:tc>
        <w:tc>
          <w:tcPr>
            <w:tcW w:w="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2"/>
              </w:rPr>
              <w:t>(c)</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Rule</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w:t>
            </w:r>
          </w:p>
        </w:tc>
        <w:tc>
          <w:tcPr>
            <w:tcW w:w="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2"/>
              </w:rPr>
              <w:t>(d)</w:t>
            </w:r>
          </w:p>
        </w:tc>
      </w:tr>
    </w:tbl>
    <w:p>
      <w:pPr>
        <w:spacing w:after="0" w:line="207" w:lineRule="exact"/>
        <w:rPr>
          <w:sz w:val="24"/>
          <w:szCs w:val="24"/>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of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[Continued on the following page(s)]</w:t>
      </w:r>
    </w:p>
    <w:p>
      <w:pPr>
        <w:spacing w:after="0" w:line="238" w:lineRule="auto"/>
        <w:rPr>
          <w:sz w:val="20"/>
          <w:szCs w:val="20"/>
          <w:color w:val="auto"/>
        </w:rPr>
      </w:pPr>
      <w:r>
        <w:rPr>
          <w:rFonts w:ascii="Courier New" w:cs="Courier New" w:eastAsia="Courier New" w:hAnsi="Courier New"/>
          <w:sz w:val="18"/>
          <w:szCs w:val="18"/>
          <w:color w:val="auto"/>
        </w:rPr>
        <w:t>Page 1 of 4 Pages</w:t>
      </w:r>
    </w:p>
    <w:p>
      <w:pPr>
        <w:spacing w:after="0" w:line="202" w:lineRule="exact"/>
        <w:rPr>
          <w:sz w:val="24"/>
          <w:szCs w:val="24"/>
          <w:color w:val="auto"/>
        </w:rPr>
      </w:pPr>
    </w:p>
    <w:p>
      <w:pPr>
        <w:spacing w:after="0"/>
        <w:tabs>
          <w:tab w:leader="none" w:pos="1040" w:val="left"/>
          <w:tab w:leader="none" w:pos="2620" w:val="left"/>
        </w:tabs>
        <w:rPr>
          <w:sz w:val="20"/>
          <w:szCs w:val="20"/>
          <w:color w:val="auto"/>
        </w:rPr>
      </w:pPr>
      <w:r>
        <w:rPr>
          <w:rFonts w:ascii="Courier New" w:cs="Courier New" w:eastAsia="Courier New" w:hAnsi="Courier New"/>
          <w:sz w:val="18"/>
          <w:szCs w:val="18"/>
          <w:color w:val="auto"/>
        </w:rPr>
        <w:t>CUSIP No</w:t>
        <w:tab/>
        <w:t>148711104</w:t>
      </w:r>
      <w:r>
        <w:rPr>
          <w:sz w:val="20"/>
          <w:szCs w:val="20"/>
          <w:color w:val="auto"/>
        </w:rPr>
        <w:tab/>
      </w:r>
      <w:r>
        <w:rPr>
          <w:rFonts w:ascii="Courier New" w:cs="Courier New" w:eastAsia="Courier New" w:hAnsi="Courier New"/>
          <w:sz w:val="16"/>
          <w:szCs w:val="16"/>
          <w:color w:val="auto"/>
        </w:rPr>
        <w:t>Page 2 of 4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Babson Capital Management LLC</w:t>
      </w:r>
    </w:p>
    <w:p>
      <w:pPr>
        <w:ind w:left="860"/>
        <w:spacing w:after="0" w:line="238" w:lineRule="auto"/>
        <w:rPr>
          <w:sz w:val="20"/>
          <w:szCs w:val="20"/>
          <w:color w:val="auto"/>
        </w:rPr>
      </w:pPr>
      <w:r>
        <w:rPr>
          <w:rFonts w:ascii="Courier New" w:cs="Courier New" w:eastAsia="Courier New" w:hAnsi="Courier New"/>
          <w:sz w:val="18"/>
          <w:szCs w:val="18"/>
          <w:color w:val="auto"/>
        </w:rPr>
        <w:t>51-0504477</w:t>
      </w:r>
    </w:p>
    <w:p>
      <w:pPr>
        <w:spacing w:after="0"/>
        <w:rPr>
          <w:sz w:val="20"/>
          <w:szCs w:val="20"/>
          <w:color w:val="auto"/>
        </w:rPr>
      </w:pPr>
      <w:r>
        <w:rPr>
          <w:rFonts w:ascii="Courier New" w:cs="Courier New" w:eastAsia="Courier New" w:hAnsi="Courier New"/>
          <w:sz w:val="18"/>
          <w:szCs w:val="18"/>
          <w:color w:val="auto"/>
        </w:rPr>
        <w:t>----------------------------------------------------------------</w:t>
      </w:r>
    </w:p>
    <w:p>
      <w:pPr>
        <w:spacing w:after="0" w:line="3" w:lineRule="exact"/>
        <w:rPr>
          <w:sz w:val="24"/>
          <w:szCs w:val="24"/>
          <w:color w:val="auto"/>
        </w:rPr>
      </w:pPr>
    </w:p>
    <w:p>
      <w:pPr>
        <w:ind w:left="860" w:right="4319" w:hanging="852"/>
        <w:spacing w:after="0" w:line="235"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(a)( )</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 )</w:t>
      </w:r>
    </w:p>
    <w:p>
      <w:pPr>
        <w:spacing w:after="0"/>
        <w:rPr>
          <w:sz w:val="20"/>
          <w:szCs w:val="20"/>
          <w:color w:val="auto"/>
        </w:rPr>
      </w:pPr>
      <w:r>
        <w:rPr>
          <w:rFonts w:ascii="Courier New" w:cs="Courier New" w:eastAsia="Courier New" w:hAnsi="Courier New"/>
          <w:sz w:val="18"/>
          <w:szCs w:val="18"/>
          <w:color w:val="auto"/>
        </w:rPr>
        <w:t>----------------------------------------------------------------</w:t>
      </w:r>
    </w:p>
    <w:p>
      <w:pPr>
        <w:ind w:left="860" w:hanging="852"/>
        <w:spacing w:after="0" w:line="237"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860" w:right="5579" w:hanging="852"/>
        <w:spacing w:after="0" w:line="235"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Massachusetts</w:t>
      </w:r>
    </w:p>
    <w:p>
      <w:pPr>
        <w:spacing w:after="0"/>
        <w:rPr>
          <w:sz w:val="20"/>
          <w:szCs w:val="20"/>
          <w:color w:val="auto"/>
        </w:rPr>
      </w:pPr>
      <w:r>
        <w:rPr>
          <w:rFonts w:ascii="Courier New" w:cs="Courier New" w:eastAsia="Courier New" w:hAnsi="Courier New"/>
          <w:sz w:val="18"/>
          <w:szCs w:val="18"/>
          <w:color w:val="auto"/>
        </w:rPr>
        <w:t>----------------------------------------------------------------</w:t>
      </w:r>
    </w:p>
    <w:tbl>
      <w:tblPr>
        <w:tblLayout w:type="fixed"/>
        <w:tblInd w:w="860" w:type="dxa"/>
        <w:tblCellMar>
          <w:top w:w="0" w:type="dxa"/>
          <w:left w:w="0" w:type="dxa"/>
          <w:bottom w:w="0" w:type="dxa"/>
          <w:right w:w="0" w:type="dxa"/>
        </w:tblCellMar>
      </w:tblPr>
      <w:tr>
        <w:trPr>
          <w:trHeight w:val="203"/>
        </w:trPr>
        <w:tc>
          <w:tcPr>
            <w:tcW w:w="168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w:t>
            </w:r>
          </w:p>
        </w:tc>
        <w:tc>
          <w:tcPr>
            <w:tcW w:w="42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405"/>
        </w:trPr>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60" w:type="dxa"/>
            <w:vAlign w:val="bottom"/>
          </w:tcPr>
          <w:p>
            <w:pPr>
              <w:jc w:val="right"/>
              <w:ind w:right="2012"/>
              <w:spacing w:after="0"/>
              <w:rPr>
                <w:sz w:val="20"/>
                <w:szCs w:val="20"/>
                <w:color w:val="auto"/>
              </w:rPr>
            </w:pPr>
            <w:r>
              <w:rPr>
                <w:rFonts w:ascii="Courier New" w:cs="Courier New" w:eastAsia="Courier New" w:hAnsi="Courier New"/>
                <w:sz w:val="18"/>
                <w:szCs w:val="18"/>
                <w:color w:val="auto"/>
              </w:rPr>
              <w:t>1,024,285</w:t>
            </w: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1320" w:type="dxa"/>
            <w:vAlign w:val="bottom"/>
          </w:tcPr>
          <w:p>
            <w:pPr>
              <w:spacing w:after="0"/>
              <w:rPr>
                <w:sz w:val="17"/>
                <w:szCs w:val="17"/>
                <w:color w:val="auto"/>
              </w:rPr>
            </w:pPr>
          </w:p>
        </w:tc>
        <w:tc>
          <w:tcPr>
            <w:tcW w:w="4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580" w:type="dxa"/>
            <w:vAlign w:val="bottom"/>
            <w:gridSpan w:val="2"/>
          </w:tcPr>
          <w:p>
            <w:pPr>
              <w:jc w:val="right"/>
              <w:ind w:right="2652"/>
              <w:spacing w:after="0" w:line="203" w:lineRule="exact"/>
              <w:rPr>
                <w:sz w:val="20"/>
                <w:szCs w:val="20"/>
                <w:color w:val="auto"/>
              </w:rPr>
            </w:pPr>
            <w:r>
              <w:rPr>
                <w:rFonts w:ascii="Courier New" w:cs="Courier New" w:eastAsia="Courier New" w:hAnsi="Courier New"/>
                <w:sz w:val="18"/>
                <w:szCs w:val="18"/>
                <w:color w:val="auto"/>
              </w:rPr>
              <w:t>6.  Shared Voting Power</w:t>
            </w: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320" w:type="dxa"/>
            <w:vAlign w:val="bottom"/>
          </w:tcPr>
          <w:p>
            <w:pPr>
              <w:spacing w:after="0"/>
              <w:rPr>
                <w:sz w:val="17"/>
                <w:szCs w:val="17"/>
                <w:color w:val="auto"/>
              </w:rPr>
            </w:pPr>
          </w:p>
        </w:tc>
        <w:tc>
          <w:tcPr>
            <w:tcW w:w="4260" w:type="dxa"/>
            <w:vAlign w:val="bottom"/>
          </w:tcPr>
          <w:p>
            <w:pPr>
              <w:spacing w:after="0"/>
              <w:rPr>
                <w:sz w:val="17"/>
                <w:szCs w:val="17"/>
                <w:color w:val="auto"/>
              </w:rPr>
            </w:pP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320" w:type="dxa"/>
            <w:vAlign w:val="bottom"/>
          </w:tcPr>
          <w:p>
            <w:pPr>
              <w:spacing w:after="0"/>
              <w:rPr>
                <w:sz w:val="17"/>
                <w:szCs w:val="17"/>
                <w:color w:val="auto"/>
              </w:rPr>
            </w:pPr>
          </w:p>
        </w:tc>
        <w:tc>
          <w:tcPr>
            <w:tcW w:w="4260" w:type="dxa"/>
            <w:vAlign w:val="bottom"/>
          </w:tcPr>
          <w:p>
            <w:pPr>
              <w:jc w:val="right"/>
              <w:ind w:right="2012"/>
              <w:spacing w:after="0" w:line="203" w:lineRule="exact"/>
              <w:rPr>
                <w:sz w:val="20"/>
                <w:szCs w:val="20"/>
                <w:color w:val="auto"/>
              </w:rPr>
            </w:pPr>
            <w:r>
              <w:rPr>
                <w:rFonts w:ascii="Courier New" w:cs="Courier New" w:eastAsia="Courier New" w:hAnsi="Courier New"/>
                <w:sz w:val="18"/>
                <w:szCs w:val="18"/>
                <w:color w:val="auto"/>
              </w:rPr>
              <w:t>987,975</w:t>
            </w: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1320" w:type="dxa"/>
            <w:vAlign w:val="bottom"/>
          </w:tcPr>
          <w:p>
            <w:pPr>
              <w:spacing w:after="0"/>
              <w:rPr>
                <w:sz w:val="17"/>
                <w:szCs w:val="17"/>
                <w:color w:val="auto"/>
              </w:rPr>
            </w:pPr>
          </w:p>
        </w:tc>
        <w:tc>
          <w:tcPr>
            <w:tcW w:w="42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w:t>
            </w:r>
          </w:p>
        </w:tc>
        <w:tc>
          <w:tcPr>
            <w:tcW w:w="42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320" w:type="dxa"/>
            <w:vAlign w:val="bottom"/>
          </w:tcPr>
          <w:p>
            <w:pPr>
              <w:spacing w:after="0"/>
              <w:rPr>
                <w:sz w:val="17"/>
                <w:szCs w:val="17"/>
                <w:color w:val="auto"/>
              </w:rPr>
            </w:pPr>
          </w:p>
        </w:tc>
        <w:tc>
          <w:tcPr>
            <w:tcW w:w="4260" w:type="dxa"/>
            <w:vAlign w:val="bottom"/>
          </w:tcPr>
          <w:p>
            <w:pPr>
              <w:spacing w:after="0"/>
              <w:rPr>
                <w:sz w:val="17"/>
                <w:szCs w:val="17"/>
                <w:color w:val="auto"/>
              </w:rPr>
            </w:pP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320" w:type="dxa"/>
            <w:vAlign w:val="bottom"/>
          </w:tcPr>
          <w:p>
            <w:pPr>
              <w:spacing w:after="0"/>
              <w:rPr>
                <w:sz w:val="17"/>
                <w:szCs w:val="17"/>
                <w:color w:val="auto"/>
              </w:rPr>
            </w:pPr>
          </w:p>
        </w:tc>
        <w:tc>
          <w:tcPr>
            <w:tcW w:w="426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2,012,260</w:t>
            </w:r>
          </w:p>
        </w:tc>
      </w:tr>
    </w:tbl>
    <w:p>
      <w:pPr>
        <w:ind w:left="496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84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8"/>
          <w:szCs w:val="18"/>
          <w:color w:val="auto"/>
        </w:rPr>
        <w:t>Shared Dispositive Power</w:t>
      </w:r>
    </w:p>
    <w:p>
      <w:pPr>
        <w:ind w:left="3380"/>
        <w:spacing w:after="0" w:line="237" w:lineRule="auto"/>
        <w:rPr>
          <w:sz w:val="20"/>
          <w:szCs w:val="20"/>
          <w:color w:val="auto"/>
        </w:rPr>
      </w:pPr>
      <w:r>
        <w:rPr>
          <w:rFonts w:ascii="Courier New" w:cs="Courier New" w:eastAsia="Courier New" w:hAnsi="Courier New"/>
          <w:sz w:val="18"/>
          <w:szCs w:val="18"/>
          <w:color w:val="auto"/>
        </w:rPr>
        <w:t>0</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ectPr>
          <w:pgSz w:w="11900" w:h="16854" w:orient="portrait"/>
          <w:cols w:equalWidth="0" w:num="1">
            <w:col w:w="10219"/>
          </w:cols>
          <w:pgMar w:left="240" w:top="447" w:right="1440" w:bottom="0" w:gutter="0" w:footer="0" w:header="0"/>
        </w:sectPr>
      </w:pPr>
    </w:p>
    <w:bookmarkStart w:id="1" w:name="page2"/>
    <w:bookmarkEnd w:id="1"/>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2,012,260</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ind w:left="860" w:hanging="852"/>
        <w:spacing w:after="0" w:line="238"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1580"/>
        <w:spacing w:after="0"/>
        <w:rPr>
          <w:sz w:val="20"/>
          <w:szCs w:val="20"/>
          <w:color w:val="auto"/>
        </w:rPr>
      </w:pPr>
      <w:r>
        <w:rPr>
          <w:rFonts w:ascii="Courier New" w:cs="Courier New" w:eastAsia="Courier New" w:hAnsi="Courier New"/>
          <w:sz w:val="18"/>
          <w:szCs w:val="18"/>
          <w:color w:val="auto"/>
        </w:rPr>
        <w:t>5.88%</w:t>
      </w:r>
    </w:p>
    <w:p>
      <w:pPr>
        <w:ind w:left="640"/>
        <w:spacing w:after="0" w:line="237" w:lineRule="auto"/>
        <w:rPr>
          <w:sz w:val="20"/>
          <w:szCs w:val="20"/>
          <w:color w:val="auto"/>
        </w:rPr>
      </w:pPr>
      <w:r>
        <w:rPr>
          <w:rFonts w:ascii="Courier New" w:cs="Courier New" w:eastAsia="Courier New" w:hAnsi="Courier New"/>
          <w:sz w:val="18"/>
          <w:szCs w:val="18"/>
          <w:color w:val="auto"/>
        </w:rPr>
        <w:t>----------------------------------------------------------------</w:t>
      </w:r>
    </w:p>
    <w:p>
      <w:pPr>
        <w:ind w:left="860" w:hanging="852"/>
        <w:spacing w:after="0" w:line="238"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2"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8"/>
          <w:szCs w:val="18"/>
          <w:color w:val="auto"/>
        </w:rPr>
        <w:t>Page 3 of 4 Pages</w:t>
      </w:r>
      <w:r>
        <w:rPr>
          <w:sz w:val="20"/>
          <w:szCs w:val="20"/>
          <w:color w:val="auto"/>
        </w:rPr>
        <w:tab/>
      </w:r>
      <w:r>
        <w:rPr>
          <w:rFonts w:ascii="Courier New" w:cs="Courier New" w:eastAsia="Courier New" w:hAnsi="Courier New"/>
          <w:sz w:val="16"/>
          <w:szCs w:val="16"/>
          <w:color w:val="auto"/>
        </w:rPr>
        <w:t>Cusip #: 148711104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Casual Male Retail Group, Inc.</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555 Turnpike Street</w:t>
      </w:r>
    </w:p>
    <w:p>
      <w:pPr>
        <w:ind w:left="860"/>
        <w:spacing w:after="0"/>
        <w:tabs>
          <w:tab w:leader="none" w:pos="2100" w:val="left"/>
        </w:tabs>
        <w:rPr>
          <w:sz w:val="20"/>
          <w:szCs w:val="20"/>
          <w:color w:val="auto"/>
        </w:rPr>
      </w:pPr>
      <w:r>
        <w:rPr>
          <w:rFonts w:ascii="Courier New" w:cs="Courier New" w:eastAsia="Courier New" w:hAnsi="Courier New"/>
          <w:sz w:val="18"/>
          <w:szCs w:val="18"/>
          <w:color w:val="auto"/>
        </w:rPr>
        <w:t>Canton, MA</w:t>
      </w:r>
      <w:r>
        <w:rPr>
          <w:sz w:val="20"/>
          <w:szCs w:val="20"/>
          <w:color w:val="auto"/>
        </w:rPr>
        <w:tab/>
      </w:r>
      <w:r>
        <w:rPr>
          <w:rFonts w:ascii="Courier New" w:cs="Courier New" w:eastAsia="Courier New" w:hAnsi="Courier New"/>
          <w:sz w:val="16"/>
          <w:szCs w:val="16"/>
          <w:color w:val="auto"/>
        </w:rPr>
        <w:t>02021</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Babson Capital Management LLC (Babson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One Memorial Drive</w:t>
      </w:r>
    </w:p>
    <w:p>
      <w:pPr>
        <w:ind w:left="860"/>
        <w:spacing w:after="0"/>
        <w:tabs>
          <w:tab w:leader="none" w:pos="3560" w:val="left"/>
        </w:tabs>
        <w:rPr>
          <w:sz w:val="20"/>
          <w:szCs w:val="20"/>
          <w:color w:val="auto"/>
        </w:rPr>
      </w:pPr>
      <w:r>
        <w:rPr>
          <w:rFonts w:ascii="Courier New" w:cs="Courier New" w:eastAsia="Courier New" w:hAnsi="Courier New"/>
          <w:sz w:val="18"/>
          <w:szCs w:val="18"/>
          <w:color w:val="auto"/>
        </w:rPr>
        <w:t>Cambridge, Massachusetts</w:t>
      </w:r>
      <w:r>
        <w:rPr>
          <w:sz w:val="20"/>
          <w:szCs w:val="20"/>
          <w:color w:val="auto"/>
        </w:rPr>
        <w:tab/>
      </w:r>
      <w:r>
        <w:rPr>
          <w:rFonts w:ascii="Courier New" w:cs="Courier New" w:eastAsia="Courier New" w:hAnsi="Courier New"/>
          <w:sz w:val="16"/>
          <w:szCs w:val="16"/>
          <w:color w:val="auto"/>
        </w:rPr>
        <w:t>02142-1300</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Item 4 of Cover Page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Cover Page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Cover Page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TYPE OF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this statement is filed pursuant to Sections 240.13d-1 (b)</w:t>
      </w:r>
    </w:p>
    <w:p>
      <w:pPr>
        <w:spacing w:after="0" w:line="238" w:lineRule="auto"/>
        <w:rPr>
          <w:sz w:val="20"/>
          <w:szCs w:val="20"/>
          <w:color w:val="auto"/>
        </w:rPr>
      </w:pPr>
      <w:r>
        <w:rPr>
          <w:rFonts w:ascii="Courier New" w:cs="Courier New" w:eastAsia="Courier New" w:hAnsi="Courier New"/>
          <w:sz w:val="18"/>
          <w:szCs w:val="18"/>
          <w:color w:val="auto"/>
        </w:rPr>
        <w:t>or 240.13d-2 (b) or (c), check whether the filing person is a:</w:t>
      </w:r>
    </w:p>
    <w:p>
      <w:pPr>
        <w:spacing w:after="0" w:line="207" w:lineRule="exact"/>
        <w:rPr>
          <w:sz w:val="20"/>
          <w:szCs w:val="20"/>
          <w:color w:val="auto"/>
        </w:rPr>
      </w:pPr>
    </w:p>
    <w:p>
      <w:pPr>
        <w:ind w:left="1060" w:right="4939" w:hanging="1052"/>
        <w:spacing w:after="0" w:line="235" w:lineRule="auto"/>
        <w:tabs>
          <w:tab w:leader="none" w:pos="53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 (b) (1) (ii) (E)</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(a)AMOUNT BENEFICIALLY OWNED: Babson Capital, in its capacity as investment adviser, may be deemed the beneficial owner of 2,012,260 shares of common stock of the Issuer which are owned by investment advisory client(s).</w:t>
      </w:r>
    </w:p>
    <w:p>
      <w:pPr>
        <w:spacing w:after="0" w:line="202"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5.88%</w:t>
      </w:r>
    </w:p>
    <w:p>
      <w:pPr>
        <w:spacing w:after="0" w:line="206" w:lineRule="exact"/>
        <w:rPr>
          <w:rFonts w:ascii="Courier New" w:cs="Courier New" w:eastAsia="Courier New" w:hAnsi="Courier New"/>
          <w:sz w:val="18"/>
          <w:szCs w:val="18"/>
          <w:color w:val="auto"/>
        </w:rPr>
      </w:pPr>
    </w:p>
    <w:p>
      <w:pPr>
        <w:ind w:right="2319" w:firstLine="8"/>
        <w:spacing w:after="0" w:line="235" w:lineRule="auto"/>
        <w:tabs>
          <w:tab w:leader="none" w:pos="84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information on voting and dispositive power with respect to the above listed shares, see Items 5 - 8 of Cover Page.</w:t>
      </w:r>
    </w:p>
    <w:p>
      <w:pPr>
        <w:spacing w:after="0" w:line="203" w:lineRule="exact"/>
        <w:rPr>
          <w:sz w:val="20"/>
          <w:szCs w:val="20"/>
          <w:color w:val="auto"/>
        </w:rPr>
      </w:pPr>
    </w:p>
    <w:p>
      <w:pPr>
        <w:spacing w:after="0"/>
        <w:tabs>
          <w:tab w:leader="none" w:pos="5040" w:val="left"/>
        </w:tabs>
        <w:rPr>
          <w:sz w:val="20"/>
          <w:szCs w:val="20"/>
          <w:color w:val="auto"/>
        </w:rPr>
      </w:pPr>
      <w:r>
        <w:rPr>
          <w:rFonts w:ascii="Courier New" w:cs="Courier New" w:eastAsia="Courier New" w:hAnsi="Courier New"/>
          <w:sz w:val="18"/>
          <w:szCs w:val="18"/>
          <w:color w:val="auto"/>
        </w:rPr>
        <w:t>Page 4 of 4 Pages</w:t>
      </w:r>
      <w:r>
        <w:rPr>
          <w:sz w:val="20"/>
          <w:szCs w:val="20"/>
          <w:color w:val="auto"/>
        </w:rPr>
        <w:tab/>
      </w:r>
      <w:r>
        <w:rPr>
          <w:rFonts w:ascii="Courier New" w:cs="Courier New" w:eastAsia="Courier New" w:hAnsi="Courier New"/>
          <w:sz w:val="16"/>
          <w:szCs w:val="16"/>
          <w:color w:val="auto"/>
        </w:rPr>
        <w:t>Cusip #: 148711104</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136" w:right="1440" w:bottom="0" w:gutter="0" w:footer="0" w:header="0"/>
        </w:sectPr>
      </w:pPr>
    </w:p>
    <w:bookmarkStart w:id="2" w:name="page3"/>
    <w:bookmarkEnd w:id="2"/>
    <w:p>
      <w:pPr>
        <w:ind w:left="860" w:right="2939" w:hanging="842"/>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Date: January 18,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700"/>
        <w:spacing w:after="0"/>
        <w:tabs>
          <w:tab w:leader="none" w:pos="294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6"/>
          <w:szCs w:val="16"/>
          <w:color w:val="auto"/>
        </w:rPr>
        <w:t>--//Leslie A. Meinhart//--</w:t>
      </w:r>
    </w:p>
    <w:p>
      <w:pPr>
        <w:ind w:left="1700"/>
        <w:spacing w:after="0" w:line="238" w:lineRule="auto"/>
        <w:tabs>
          <w:tab w:leader="none" w:pos="336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LESLIE A. MEINHART</w:t>
      </w:r>
    </w:p>
    <w:p>
      <w:pPr>
        <w:ind w:left="2960"/>
        <w:spacing w:after="0"/>
        <w:rPr>
          <w:sz w:val="20"/>
          <w:szCs w:val="20"/>
          <w:color w:val="auto"/>
        </w:rPr>
      </w:pPr>
      <w:r>
        <w:rPr>
          <w:rFonts w:ascii="Courier New" w:cs="Courier New" w:eastAsia="Courier New" w:hAnsi="Courier New"/>
          <w:sz w:val="18"/>
          <w:szCs w:val="18"/>
          <w:color w:val="auto"/>
        </w:rPr>
        <w:t>Compliance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gridSpan w:val="2"/>
          </w:tcPr>
          <w:p>
            <w:pPr>
              <w:spacing w:after="0"/>
              <w:rPr>
                <w:sz w:val="20"/>
                <w:szCs w:val="20"/>
                <w:color w:val="auto"/>
              </w:rPr>
            </w:pPr>
            <w:r>
              <w:rPr>
                <w:rFonts w:ascii="Courier New" w:cs="Courier New" w:eastAsia="Courier New" w:hAnsi="Courier New"/>
                <w:sz w:val="18"/>
                <w:szCs w:val="18"/>
                <w:color w:val="auto"/>
              </w:rPr>
              <w:t>January 18,</w:t>
            </w:r>
          </w:p>
        </w:tc>
        <w:tc>
          <w:tcPr>
            <w:tcW w:w="59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2005</w:t>
            </w:r>
          </w:p>
        </w:tc>
      </w:tr>
      <w:tr>
        <w:trPr>
          <w:trHeight w:val="608"/>
        </w:trPr>
        <w:tc>
          <w:tcPr>
            <w:tcW w:w="1580" w:type="dxa"/>
            <w:vAlign w:val="bottom"/>
            <w:gridSpan w:val="3"/>
          </w:tcPr>
          <w:p>
            <w:pPr>
              <w:spacing w:after="0"/>
              <w:rPr>
                <w:sz w:val="20"/>
                <w:szCs w:val="20"/>
                <w:color w:val="auto"/>
              </w:rPr>
            </w:pPr>
            <w:r>
              <w:rPr>
                <w:rFonts w:ascii="Courier New" w:cs="Courier New" w:eastAsia="Courier New" w:hAnsi="Courier New"/>
                <w:sz w:val="18"/>
                <w:szCs w:val="18"/>
                <w:color w:val="auto"/>
              </w:rPr>
              <w:t>Securities and</w:t>
            </w:r>
          </w:p>
        </w:tc>
        <w:tc>
          <w:tcPr>
            <w:tcW w:w="5600" w:type="dxa"/>
            <w:vAlign w:val="bottom"/>
          </w:tcPr>
          <w:p>
            <w:pPr>
              <w:spacing w:after="0"/>
              <w:rPr>
                <w:sz w:val="20"/>
                <w:szCs w:val="20"/>
                <w:color w:val="auto"/>
              </w:rPr>
            </w:pPr>
            <w:r>
              <w:rPr>
                <w:rFonts w:ascii="Courier New" w:cs="Courier New" w:eastAsia="Courier New" w:hAnsi="Courier New"/>
                <w:sz w:val="18"/>
                <w:szCs w:val="18"/>
                <w:color w:val="auto"/>
              </w:rPr>
              <w:t>Exchange Commission</w:t>
            </w:r>
          </w:p>
        </w:tc>
      </w:tr>
      <w:tr>
        <w:trPr>
          <w:trHeight w:val="203"/>
        </w:trPr>
        <w:tc>
          <w:tcPr>
            <w:tcW w:w="71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Operations Center</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Attn:</w:t>
            </w:r>
          </w:p>
        </w:tc>
        <w:tc>
          <w:tcPr>
            <w:tcW w:w="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Stop</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0-7</w:t>
            </w:r>
          </w:p>
        </w:tc>
        <w:tc>
          <w:tcPr>
            <w:tcW w:w="5600" w:type="dxa"/>
            <w:vAlign w:val="bottom"/>
          </w:tcPr>
          <w:p>
            <w:pPr>
              <w:spacing w:after="0"/>
              <w:rPr>
                <w:sz w:val="17"/>
                <w:szCs w:val="17"/>
                <w:color w:val="auto"/>
              </w:rPr>
            </w:pPr>
          </w:p>
        </w:tc>
      </w:tr>
      <w:tr>
        <w:trPr>
          <w:trHeight w:val="203"/>
        </w:trPr>
        <w:tc>
          <w:tcPr>
            <w:tcW w:w="71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6432 General Green Way</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Alexandria,</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VA</w:t>
            </w:r>
          </w:p>
        </w:tc>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22312-2413</w:t>
            </w:r>
          </w:p>
        </w:tc>
      </w:tr>
      <w:tr>
        <w:trPr>
          <w:trHeight w:val="608"/>
        </w:trPr>
        <w:tc>
          <w:tcPr>
            <w:tcW w:w="580" w:type="dxa"/>
            <w:vAlign w:val="bottom"/>
          </w:tcPr>
          <w:p>
            <w:pPr>
              <w:spacing w:after="0"/>
              <w:rPr>
                <w:sz w:val="20"/>
                <w:szCs w:val="20"/>
                <w:color w:val="auto"/>
              </w:rPr>
            </w:pPr>
            <w:r>
              <w:rPr>
                <w:rFonts w:ascii="Courier New" w:cs="Courier New" w:eastAsia="Courier New" w:hAnsi="Courier New"/>
                <w:sz w:val="18"/>
                <w:szCs w:val="18"/>
                <w:color w:val="auto"/>
              </w:rPr>
              <w:t>Re:</w:t>
            </w:r>
          </w:p>
        </w:tc>
        <w:tc>
          <w:tcPr>
            <w:tcW w:w="6600" w:type="dxa"/>
            <w:vAlign w:val="bottom"/>
            <w:gridSpan w:val="3"/>
          </w:tcPr>
          <w:p>
            <w:pPr>
              <w:ind w:left="280"/>
              <w:spacing w:after="0"/>
              <w:rPr>
                <w:sz w:val="20"/>
                <w:szCs w:val="20"/>
                <w:color w:val="auto"/>
              </w:rPr>
            </w:pPr>
            <w:r>
              <w:rPr>
                <w:rFonts w:ascii="Courier New" w:cs="Courier New" w:eastAsia="Courier New" w:hAnsi="Courier New"/>
                <w:sz w:val="18"/>
                <w:szCs w:val="18"/>
                <w:color w:val="auto"/>
                <w:w w:val="97"/>
              </w:rPr>
              <w:t>SCHEDULE 13G ON BEHALF OF CASUAL MALE RETAIL GROUP, INC. FOR</w:t>
            </w:r>
          </w:p>
        </w:tc>
      </w:tr>
      <w:tr>
        <w:trPr>
          <w:trHeight w:val="203"/>
        </w:trPr>
        <w:tc>
          <w:tcPr>
            <w:tcW w:w="580" w:type="dxa"/>
            <w:vAlign w:val="bottom"/>
          </w:tcPr>
          <w:p>
            <w:pPr>
              <w:spacing w:after="0"/>
              <w:rPr>
                <w:sz w:val="17"/>
                <w:szCs w:val="17"/>
                <w:color w:val="auto"/>
              </w:rPr>
            </w:pP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THE YEAR</w:t>
            </w:r>
          </w:p>
        </w:tc>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ENDING DECEMBER 31, 2004</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 or Madam:</w:t>
      </w:r>
    </w:p>
    <w:p>
      <w:pPr>
        <w:spacing w:after="0" w:line="207"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Babson Capital is filing today an initial Schedule 13G through the EDGAR system as required by Section 240.13d-1(b) to reflect beneficial ownership of greater than 5% of the outstanding stock of the above-mentioned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839"/>
        <w:spacing w:after="0" w:line="273" w:lineRule="auto"/>
        <w:rPr>
          <w:sz w:val="20"/>
          <w:szCs w:val="20"/>
          <w:color w:val="auto"/>
        </w:rPr>
      </w:pPr>
      <w:r>
        <w:rPr>
          <w:rFonts w:ascii="Courier New" w:cs="Courier New" w:eastAsia="Courier New" w:hAnsi="Courier New"/>
          <w:sz w:val="16"/>
          <w:szCs w:val="16"/>
          <w:color w:val="auto"/>
        </w:rPr>
        <w:t>Please note that the shares as to which this Schedule is filed are owned by various investment advisory clients of Babson Capital, which may be deemed a beneficial owner of the shares only by virtue of the direct or indirect investment discretion it possesses pursuant to the provisions of investment advisory agreements with such clients.</w:t>
      </w:r>
    </w:p>
    <w:p>
      <w:pPr>
        <w:spacing w:after="0" w:line="185"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A copy of the Schedule 13G is being sent to the issuer as required by Rule 13d-7.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Comments or questions concerning the above may be directed to the</w:t>
      </w:r>
    </w:p>
    <w:p>
      <w:pPr>
        <w:sectPr>
          <w:pgSz w:w="11900" w:h="16838" w:orient="portrait"/>
          <w:cols w:equalWidth="0" w:num="1">
            <w:col w:w="10219"/>
          </w:cols>
          <w:pgMar w:left="240" w:top="142"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undersigned at (617) 761-3798.</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6"/>
          <w:szCs w:val="16"/>
          <w:color w:val="auto"/>
        </w:rPr>
        <w:t>// Leslie A. Meinhart //</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LESLIE A. MEINHART</w:t>
      </w:r>
    </w:p>
    <w:p>
      <w:pPr>
        <w:ind w:left="320"/>
        <w:spacing w:after="0" w:line="238" w:lineRule="auto"/>
        <w:rPr>
          <w:sz w:val="20"/>
          <w:szCs w:val="20"/>
          <w:color w:val="auto"/>
        </w:rPr>
      </w:pPr>
      <w:r>
        <w:rPr>
          <w:rFonts w:ascii="Courier New" w:cs="Courier New" w:eastAsia="Courier New" w:hAnsi="Courier New"/>
          <w:sz w:val="18"/>
          <w:szCs w:val="18"/>
          <w:color w:val="auto"/>
        </w:rPr>
        <w:t>Compliance Manager</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2"/>
    </w:lvl>
  </w:abstractNum>
  <w:abstractNum w:abstractNumId="2">
    <w:nsid w:val="507ED7AB"/>
    <w:multiLevelType w:val="hybridMultilevel"/>
    <w:lvl w:ilvl="0">
      <w:lvlJc w:val="left"/>
      <w:lvlText w:val="%1."/>
      <w:numFmt w:val="decimal"/>
      <w:start w:val="3"/>
    </w:lvl>
  </w:abstractNum>
  <w:abstractNum w:abstractNumId="3">
    <w:nsid w:val="2EB141F2"/>
    <w:multiLevelType w:val="hybridMultilevel"/>
    <w:lvl w:ilvl="0">
      <w:lvlJc w:val="left"/>
      <w:lvlText w:val="%1."/>
      <w:numFmt w:val="decimal"/>
      <w:start w:val="9"/>
    </w:lvl>
  </w:abstractNum>
  <w:abstractNum w:abstractNumId="4">
    <w:nsid w:val="41B71EFB"/>
    <w:multiLevelType w:val="hybridMultilevel"/>
    <w:lvl w:ilvl="0">
      <w:lvlJc w:val="left"/>
      <w:lvlText w:val="%1."/>
      <w:numFmt w:val="decimal"/>
      <w:start w:val="10"/>
    </w:lvl>
  </w:abstractNum>
  <w:abstractNum w:abstractNumId="5">
    <w:nsid w:val="79E2A9E3"/>
    <w:multiLevelType w:val="hybridMultilevel"/>
    <w:lvl w:ilvl="0">
      <w:lvlJc w:val="left"/>
      <w:lvlText w:val="%1."/>
      <w:numFmt w:val="decimal"/>
      <w:start w:val="11"/>
    </w:lvl>
  </w:abstractNum>
  <w:abstractNum w:abstractNumId="6">
    <w:nsid w:val="7545E146"/>
    <w:multiLevelType w:val="hybridMultilevel"/>
    <w:lvl w:ilvl="0">
      <w:lvlJc w:val="left"/>
      <w:lvlText w:val="%1."/>
      <w:numFmt w:val="decimal"/>
      <w:start w:val="12"/>
    </w:lvl>
  </w:abstractNum>
  <w:abstractNum w:abstractNumId="7">
    <w:nsid w:val="515F007C"/>
    <w:multiLevelType w:val="hybridMultilevel"/>
    <w:lvl w:ilvl="0">
      <w:lvlJc w:val="left"/>
      <w:lvlText w:val="(%1)"/>
      <w:numFmt w:val="lowerLetter"/>
      <w:start w:val="5"/>
    </w:lvl>
  </w:abstractNum>
  <w:abstractNum w:abstractNumId="8">
    <w:nsid w:val="5BD062C2"/>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2019-12-19T18:52:06Z</dcterms:created>
  <dcterms:modified xsi:type="dcterms:W3CDTF">2019-12-19T18:52:06Z</dcterms:modified>
</cp:coreProperties>
</file>