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34"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0" w:type="dxa"/>
            <w:vAlign w:val="bottom"/>
            <w:gridSpan w:val="15"/>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DESTINATION XL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DXLG</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restart"/>
          </w:tcPr>
          <w:p>
            <w:pPr>
              <w:ind w:left="280"/>
              <w:spacing w:after="0" w:line="195" w:lineRule="exact"/>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340" w:type="dxa"/>
            <w:vAlign w:val="bottom"/>
            <w:vMerge w:val="restart"/>
          </w:tcPr>
          <w:p>
            <w:pPr>
              <w:ind w:left="220"/>
              <w:spacing w:after="0" w:line="195" w:lineRule="exact"/>
              <w:rPr>
                <w:sz w:val="20"/>
                <w:szCs w:val="20"/>
                <w:color w:val="auto"/>
              </w:rPr>
            </w:pPr>
            <w:r>
              <w:rPr>
                <w:rFonts w:ascii="Arial" w:cs="Arial" w:eastAsia="Arial" w:hAnsi="Arial"/>
                <w:sz w:val="18"/>
                <w:szCs w:val="18"/>
                <w:color w:val="0000FF"/>
                <w:w w:val="82"/>
              </w:rPr>
              <w:t>X</w:t>
            </w: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5"/>
                <w:szCs w:val="5"/>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restart"/>
          </w:tcPr>
          <w:p>
            <w:pPr>
              <w:ind w:left="2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w w:val="97"/>
              </w:rPr>
              <w:t>C/O RED MOUNTAIN CAPITAL</w:t>
            </w:r>
          </w:p>
        </w:tc>
        <w:tc>
          <w:tcPr>
            <w:tcW w:w="1200" w:type="dxa"/>
            <w:vAlign w:val="bottom"/>
          </w:tcPr>
          <w:p>
            <w:pPr>
              <w:spacing w:after="0"/>
              <w:rPr>
                <w:sz w:val="18"/>
                <w:szCs w:val="18"/>
                <w:color w:val="auto"/>
              </w:rPr>
            </w:pPr>
          </w:p>
        </w:tc>
        <w:tc>
          <w:tcPr>
            <w:tcW w:w="1660" w:type="dxa"/>
            <w:vAlign w:val="bottom"/>
            <w:gridSpan w:val="7"/>
          </w:tcPr>
          <w:p>
            <w:pPr>
              <w:ind w:left="240"/>
              <w:spacing w:after="0"/>
              <w:rPr>
                <w:sz w:val="20"/>
                <w:szCs w:val="20"/>
                <w:color w:val="auto"/>
              </w:rPr>
            </w:pPr>
            <w:r>
              <w:rPr>
                <w:rFonts w:ascii="Arial" w:cs="Arial" w:eastAsia="Arial" w:hAnsi="Arial"/>
                <w:sz w:val="18"/>
                <w:szCs w:val="18"/>
                <w:color w:val="0000FF"/>
              </w:rPr>
              <w:t>11/30/2018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MANAGEMENT, INC</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gridSpan w:val="5"/>
          </w:tcPr>
          <w:p>
            <w:pPr>
              <w:spacing w:after="0" w:line="198" w:lineRule="exact"/>
              <w:rPr>
                <w:sz w:val="20"/>
                <w:szCs w:val="20"/>
                <w:color w:val="auto"/>
              </w:rPr>
            </w:pPr>
            <w:r>
              <w:rPr>
                <w:rFonts w:ascii="Arial" w:cs="Arial" w:eastAsia="Arial" w:hAnsi="Arial"/>
                <w:sz w:val="18"/>
                <w:szCs w:val="18"/>
                <w:color w:val="0000FF"/>
                <w:w w:val="99"/>
              </w:rPr>
              <w:t>10100 SANTA MONICA BOULEVARD, SUITE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gridSpan w:val="10"/>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7"/>
                <w:szCs w:val="17"/>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9"/>
          </w:tcPr>
          <w:p>
            <w:pPr>
              <w:ind w:left="4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7"/>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40" w:type="dxa"/>
            <w:vAlign w:val="bottom"/>
            <w:gridSpan w:val="7"/>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gridSpan w:val="5"/>
            <w:vMerge w:val="restart"/>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8,059,877</w:t>
            </w:r>
            <w:r>
              <w:rPr>
                <w:rFonts w:ascii="Arial" w:cs="Arial" w:eastAsia="Arial" w:hAnsi="Arial"/>
                <w:sz w:val="22"/>
                <w:szCs w:val="22"/>
                <w:color w:val="008000"/>
                <w:vertAlign w:val="superscript"/>
              </w:rPr>
              <w:t>(1)</w:t>
            </w:r>
          </w:p>
        </w:tc>
        <w:tc>
          <w:tcPr>
            <w:tcW w:w="34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2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9"/>
          </w:tcPr>
          <w:p>
            <w:pPr>
              <w:ind w:left="6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gridSpan w:val="17"/>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w w:val="95"/>
              </w:rPr>
              <w:t>(A)(D)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11/30/2018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5"/>
            <w:vMerge w:val="restart"/>
          </w:tcPr>
          <w:p>
            <w:pPr>
              <w:ind w:left="80"/>
              <w:spacing w:after="0"/>
              <w:rPr>
                <w:sz w:val="20"/>
                <w:szCs w:val="20"/>
                <w:color w:val="auto"/>
              </w:rPr>
            </w:pPr>
            <w:r>
              <w:rPr>
                <w:rFonts w:ascii="Arial" w:cs="Arial" w:eastAsia="Arial" w:hAnsi="Arial"/>
                <w:sz w:val="14"/>
                <w:szCs w:val="14"/>
                <w:color w:val="0000FF"/>
              </w:rPr>
              <w:t>A</w:t>
            </w:r>
          </w:p>
        </w:tc>
        <w:tc>
          <w:tcPr>
            <w:tcW w:w="920" w:type="dxa"/>
            <w:vAlign w:val="bottom"/>
            <w:vMerge w:val="restart"/>
          </w:tcPr>
          <w:p>
            <w:pPr>
              <w:ind w:left="180"/>
              <w:spacing w:after="0"/>
              <w:rPr>
                <w:sz w:val="20"/>
                <w:szCs w:val="20"/>
                <w:color w:val="auto"/>
              </w:rPr>
            </w:pPr>
            <w:r>
              <w:rPr>
                <w:rFonts w:ascii="Arial" w:cs="Arial" w:eastAsia="Arial" w:hAnsi="Arial"/>
                <w:sz w:val="14"/>
                <w:szCs w:val="14"/>
                <w:color w:val="0000FF"/>
              </w:rPr>
              <w:t>2,946</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7"/>
              <w:spacing w:after="0"/>
              <w:rPr>
                <w:sz w:val="20"/>
                <w:szCs w:val="20"/>
                <w:color w:val="auto"/>
              </w:rPr>
            </w:pPr>
            <w:r>
              <w:rPr>
                <w:rFonts w:ascii="Arial" w:cs="Arial" w:eastAsia="Arial" w:hAnsi="Arial"/>
                <w:sz w:val="18"/>
                <w:szCs w:val="18"/>
                <w:color w:val="0000FF"/>
                <w:w w:val="93"/>
              </w:rPr>
              <w:t>2,946</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2,946</w:t>
            </w:r>
          </w:p>
        </w:tc>
        <w:tc>
          <w:tcPr>
            <w:tcW w:w="340" w:type="dxa"/>
            <w:vAlign w:val="bottom"/>
          </w:tcPr>
          <w:p>
            <w:pPr>
              <w:spacing w:after="0"/>
              <w:rPr>
                <w:sz w:val="16"/>
                <w:szCs w:val="16"/>
                <w:color w:val="auto"/>
              </w:rPr>
            </w:pPr>
          </w:p>
        </w:tc>
        <w:tc>
          <w:tcPr>
            <w:tcW w:w="640" w:type="dxa"/>
            <w:vAlign w:val="bottom"/>
            <w:vMerge w:val="restart"/>
          </w:tcPr>
          <w:p>
            <w:pPr>
              <w:ind w:left="2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7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5"/>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ind w:left="60"/>
              <w:spacing w:after="0" w:line="68" w:lineRule="exact"/>
              <w:rPr>
                <w:sz w:val="20"/>
                <w:szCs w:val="20"/>
                <w:color w:val="auto"/>
              </w:rPr>
            </w:pPr>
            <w:r>
              <w:rPr>
                <w:rFonts w:ascii="Arial" w:cs="Arial" w:eastAsia="Arial" w:hAnsi="Arial"/>
                <w:sz w:val="7"/>
                <w:szCs w:val="7"/>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5"/>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40" w:type="dxa"/>
            <w:vAlign w:val="bottom"/>
            <w:tcBorders>
              <w:bottom w:val="single" w:sz="8" w:color="2C2C2C"/>
            </w:tcBorders>
            <w:gridSpan w:val="3"/>
          </w:tcPr>
          <w:p>
            <w:pPr>
              <w:spacing w:after="0"/>
              <w:rPr>
                <w:sz w:val="15"/>
                <w:szCs w:val="15"/>
                <w:color w:val="auto"/>
              </w:rPr>
            </w:pPr>
          </w:p>
        </w:tc>
        <w:tc>
          <w:tcPr>
            <w:tcW w:w="1880" w:type="dxa"/>
            <w:vAlign w:val="bottom"/>
            <w:tcBorders>
              <w:bottom w:val="single" w:sz="8" w:color="2C2C2C"/>
            </w:tcBorders>
            <w:gridSpan w:val="2"/>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C/O RED MOUNTAIN CAPITAL MANAGEMENT, INC</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10100 SANTA MONICA BOULEVARD, SUITE 925</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ind w:left="40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4" w:lineRule="exact"/>
              <w:rPr>
                <w:rFonts w:ascii="Arial" w:cs="Arial" w:eastAsia="Arial" w:hAnsi="Arial"/>
                <w:sz w:val="22"/>
                <w:szCs w:val="22"/>
                <w:color w:val="0000EE"/>
                <w:w w:val="92"/>
              </w:rPr>
            </w:pPr>
            <w:hyperlink r:id="rId14">
              <w:r>
                <w:rPr>
                  <w:rFonts w:ascii="Arial" w:cs="Arial" w:eastAsia="Arial" w:hAnsi="Arial"/>
                  <w:sz w:val="22"/>
                  <w:szCs w:val="22"/>
                  <w:color w:val="0000EE"/>
                  <w:w w:val="92"/>
                </w:rPr>
                <w:t>RMCP GP LLC</w:t>
              </w:r>
            </w:hyperlink>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ind w:left="40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-5688965</wp:posOffset>
            </wp:positionV>
            <wp:extent cx="33655" cy="2134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3655" cy="213487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1520"/>
          </w:cols>
          <w:pgMar w:left="240" w:top="226" w:right="1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5415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24175" cy="5415280"/>
                    </a:xfrm>
                    <a:prstGeom prst="rect">
                      <a:avLst/>
                    </a:prstGeom>
                    <a:noFill/>
                  </pic:spPr>
                </pic:pic>
              </a:graphicData>
            </a:graphic>
          </wp:anchor>
        </w:drawing>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RED MOUNTAIN PARTNERS,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69"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RMP and the remaining 537,523 shares are held directly by RMCP LLC. This Form 4 is jointly filed by (i) RMP, (ii) RMCP GP, (iii) RMCP LLC, (iv)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65" w:lineRule="exact"/>
        <w:rPr>
          <w:rFonts w:ascii="Arial" w:cs="Arial" w:eastAsia="Arial" w:hAnsi="Arial"/>
          <w:sz w:val="12"/>
          <w:szCs w:val="12"/>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stock issued pursuant to the Director's elected form of compensation for participation in meetings of the Board of Directors and/or its committees.</w:t>
      </w:r>
    </w:p>
    <w:p>
      <w:pPr>
        <w:spacing w:after="0" w:line="41" w:lineRule="exact"/>
        <w:rPr>
          <w:rFonts w:ascii="Arial" w:cs="Arial" w:eastAsia="Arial" w:hAnsi="Arial"/>
          <w:sz w:val="14"/>
          <w:szCs w:val="14"/>
          <w:color w:val="008000"/>
        </w:rPr>
      </w:pPr>
    </w:p>
    <w:p>
      <w:pPr>
        <w:ind w:right="40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is the economic equivalent of one share of common stock. The shares of deferred stock become payable in common stock, at the separation from service deferral period as elected by the Reporting Person under the terms of the Third Amended and Restated Non-Employee Director Compensation Plan.</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Third Amended and Restated Non-Employee Director Compensation Plan.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12/04/2018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588" TargetMode="External"/><Relationship Id="rId20"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2019-12-23T15:12:46Z</dcterms:created>
  <dcterms:modified xsi:type="dcterms:W3CDTF">2019-12-23T15:12:46Z</dcterms:modified>
</cp:coreProperties>
</file>