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Quarterly Period Ended July 29, 2006</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0-15898</w:t>
      </w:r>
    </w:p>
    <w:p>
      <w:pPr>
        <w:spacing w:after="0" w:line="13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4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520"/>
        <w:spacing w:after="0" w:line="207" w:lineRule="exact"/>
        <w:tabs>
          <w:tab w:leader="none" w:pos="5020" w:val="left"/>
          <w:tab w:leader="none" w:pos="71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right="2780" w:firstLine="5"/>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August 14, 2006 was 34,178,737.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299720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0" w:type="dxa"/>
            <w:vAlign w:val="bottom"/>
          </w:tcPr>
          <w:p>
            <w:pPr>
              <w:jc w:val="center"/>
              <w:ind w:left="1672"/>
              <w:spacing w:after="0"/>
              <w:rPr>
                <w:sz w:val="20"/>
                <w:szCs w:val="20"/>
                <w:color w:val="auto"/>
              </w:rPr>
            </w:pPr>
            <w:r>
              <w:rPr>
                <w:rFonts w:ascii="Arial" w:cs="Arial" w:eastAsia="Arial" w:hAnsi="Arial"/>
                <w:sz w:val="18"/>
                <w:szCs w:val="18"/>
                <w:b w:val="1"/>
                <w:bCs w:val="1"/>
                <w:color w:val="auto"/>
                <w:w w:val="98"/>
              </w:rPr>
              <w:t>CASUAL MALE RETAIL GROUP, INC.</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0" w:type="dxa"/>
            <w:vAlign w:val="bottom"/>
          </w:tcPr>
          <w:p>
            <w:pPr>
              <w:jc w:val="center"/>
              <w:ind w:left="1672"/>
              <w:spacing w:after="0"/>
              <w:rPr>
                <w:sz w:val="20"/>
                <w:szCs w:val="20"/>
                <w:color w:val="auto"/>
              </w:rPr>
            </w:pPr>
            <w:r>
              <w:rPr>
                <w:rFonts w:ascii="Arial" w:cs="Arial" w:eastAsia="Arial" w:hAnsi="Arial"/>
                <w:sz w:val="18"/>
                <w:szCs w:val="18"/>
                <w:b w:val="1"/>
                <w:bCs w:val="1"/>
                <w:color w:val="auto"/>
                <w:w w:val="96"/>
              </w:rPr>
              <w:t>CONSOLIDATED BALANCE SHEETS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0" w:type="dxa"/>
            <w:vAlign w:val="bottom"/>
          </w:tcPr>
          <w:p>
            <w:pPr>
              <w:jc w:val="center"/>
              <w:ind w:left="1652"/>
              <w:spacing w:after="0"/>
              <w:rPr>
                <w:sz w:val="20"/>
                <w:szCs w:val="20"/>
                <w:color w:val="auto"/>
              </w:rPr>
            </w:pPr>
            <w:r>
              <w:rPr>
                <w:rFonts w:ascii="Arial" w:cs="Arial" w:eastAsia="Arial" w:hAnsi="Arial"/>
                <w:sz w:val="18"/>
                <w:szCs w:val="18"/>
                <w:color w:val="auto"/>
                <w:w w:val="85"/>
              </w:rPr>
              <w:t>(In thousands, except share data)</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July 29, 2006</w:t>
            </w:r>
          </w:p>
        </w:tc>
        <w:tc>
          <w:tcPr>
            <w:tcW w:w="2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4,266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0"/>
              </w:rPr>
              <w:t>Inventories</w:t>
            </w: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101,031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117,560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131,959</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57,228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35,596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60" w:type="dxa"/>
            <w:vAlign w:val="bottom"/>
            <w:shd w:val="clear" w:color="auto" w:fill="CCEEFF"/>
          </w:tcPr>
          <w:p>
            <w:pPr>
              <w:spacing w:after="0"/>
              <w:rPr>
                <w:sz w:val="18"/>
                <w:szCs w:val="18"/>
                <w:color w:val="auto"/>
              </w:rPr>
            </w:pP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w w:val="84"/>
              </w:rPr>
              <w:t>Total assets</w:t>
            </w:r>
          </w:p>
        </w:tc>
        <w:tc>
          <w:tcPr>
            <w:tcW w:w="800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271,723</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283,831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20,539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61,823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98,682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94,750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 of current portion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27,110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123,187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95,992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rPr>
              <w:t>Preferred stock, $0.01 par value, 1,000,000 shares authorized, none outstanding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Common stock, $0.01 par value, 75,000,000 shares authorized, 40,695,732 and 39,635,937 shares issued at July 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2006 and January 28, 2006, respectively</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161,781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156,177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(39,093)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(43,881)</w:t>
            </w: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w w:val="97"/>
              </w:rPr>
              <w:t>Treasury stock at cost, 6,521,642 and 5,171,930 shares at July 29, 2006 and January 28, 2006, respectively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(36,504)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(23,362)</w:t>
            </w: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(gain) loss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8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271,723</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6"/>
              </w:rPr>
              <w:t>For the three months ended</w:t>
            </w:r>
          </w:p>
        </w:tc>
        <w:tc>
          <w:tcPr>
            <w:tcW w:w="140" w:type="dxa"/>
            <w:vAlign w:val="bottom"/>
          </w:tcPr>
          <w:p>
            <w:pPr>
              <w:spacing w:after="0"/>
              <w:rPr>
                <w:sz w:val="14"/>
                <w:szCs w:val="14"/>
                <w:color w:val="auto"/>
              </w:rPr>
            </w:pPr>
          </w:p>
        </w:tc>
        <w:tc>
          <w:tcPr>
            <w:tcW w:w="18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29, 2006</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30, 2005</w:t>
            </w:r>
          </w:p>
        </w:tc>
        <w:tc>
          <w:tcPr>
            <w:tcW w:w="38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29, 2006</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30,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111,802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100,620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214,666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61,179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56,947</w:t>
            </w: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119,039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43,673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36,605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2,997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39,602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6,949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4,071</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9,344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(2,051)</w:t>
            </w: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(2,570)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income –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34,284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 diluted</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45,999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36,185</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37,128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Six Months Ended</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29, 2006</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July 30,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4,788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6,690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subsidiary</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(1,483)</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(733)</w:t>
            </w:r>
          </w:p>
        </w:tc>
        <w:tc>
          <w:tcPr>
            <w:tcW w:w="2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Loss on disposal of fixed assets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(8,883)</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(1,302)</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1,452</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3,685</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(2,338)</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2,435</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for) investing activities:</w:t>
            </w:r>
          </w:p>
        </w:tc>
        <w:tc>
          <w:tcPr>
            <w:tcW w:w="1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(7,832)</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Jared M., net of cash acquired</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(2,580)</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Payment of earn-out provision for Rochester acquisition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(1,333)</w:t>
            </w:r>
          </w:p>
        </w:tc>
        <w:tc>
          <w:tcPr>
            <w:tcW w:w="2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sale-leaseback of corporate headquarters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55,937</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2,570</w:t>
            </w:r>
          </w:p>
        </w:tc>
        <w:tc>
          <w:tcPr>
            <w:tcW w:w="2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investing activities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46,762</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(6,649)</w:t>
            </w:r>
          </w:p>
        </w:tc>
        <w:tc>
          <w:tcPr>
            <w:tcW w:w="0" w:type="dxa"/>
            <w:vAlign w:val="bottom"/>
          </w:tcPr>
          <w:p>
            <w:pPr>
              <w:spacing w:after="0"/>
              <w:rPr>
                <w:sz w:val="1"/>
                <w:szCs w:val="1"/>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flows (used for) provided by financing activities:</w:t>
            </w:r>
          </w:p>
        </w:tc>
        <w:tc>
          <w:tcPr>
            <w:tcW w:w="1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(repayments) borrowings under credit facility</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(32,105)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(13,142)</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Cash proceeds from the issuance of common stock from options and warrants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5,212</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(47,035)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2,162</w:t>
            </w:r>
          </w:p>
        </w:tc>
        <w:tc>
          <w:tcPr>
            <w:tcW w:w="2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Beginning of the period</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5,568</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the period</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7,730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2006 (included in the Company’s Annual Report on Form 10-K, which was filed with the Securities and Exchange Commission on March 31, 2006).</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2006 is a 53-week period ending on February 3, 2007, with the fourth quarter containing 14 weeks.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Goodwill and Intangibles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Below is a table showing the changes in the carrying value of the Company’s goodwill and intangible assets from January 28, 2006 to July 29, 2006: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28, 2006</w:t>
            </w:r>
          </w:p>
        </w:tc>
        <w:tc>
          <w:tcPr>
            <w:tcW w:w="48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7"/>
              </w:rPr>
              <w:t>July 29, 2006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6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16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$ 3,367</w:t>
            </w:r>
            <w:r>
              <w:rPr>
                <w:rFonts w:ascii="Arial" w:cs="Arial" w:eastAsia="Arial" w:hAnsi="Arial"/>
                <w:sz w:val="11"/>
                <w:szCs w:val="11"/>
                <w:color w:val="auto"/>
              </w:rPr>
              <w:t>(1)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Trademarks</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c>
          <w:tcPr>
            <w:tcW w:w="48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161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right="400" w:hanging="452"/>
        <w:spacing w:after="0" w:line="235" w:lineRule="auto"/>
        <w:tabs>
          <w:tab w:leader="none" w:pos="46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During the first quarter of fiscal 2006, certain earn-out provisions from the Company’s Rochester acquisition were met and, accordingly, the Company made a payment of $1.3 million based on the performance of the Rochester division. In connection with the acquisition of Jared M., during the second quarter of fiscal 2006, the Company recorded goodwill of $2.0 million. See Note 5.</w:t>
      </w:r>
    </w:p>
    <w:p>
      <w:pPr>
        <w:spacing w:after="0" w:line="27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Principle - Inventory</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During the second quarter of fiscal 2006, the Company changed its inventory valuation method. Previously, inventory was principally valued at the lower of cost or market on a first in, first out (“FIFO”) basis, under the retail inventory method. Inventory for the Company’s catalog and e-commerce businesses were accounted for using the average cost method, which approximated the retail method. Commencing in the second quarter of fiscal 2006, all inventories will be valued at the lower of cost or market, using a weighted-average cost method. The Company believes that the weighted-average cost method is preferable as compared to the retail inventory method because it will provide much greater precision in the costing of sales and inventory, which will enable the Company to better manage its margins, control its promotions and value its inventory. Because the weighted-average cost values inventory based on actual quantities of specific SKUs on hand valued at an average purchase cost for a particular SKU rather than an estimate of an average cost complement for a pool of inventory, the average cost method increases the accuracy of reporting the value of inventory and improves the matching of costs with revenue. Further, it is consistent with the practices of many other retailers. In addition, since implementation of the new inventory system, the Company’s operations have been managed based on data provided from the perpetual inventory system. By valuing inventory based on the perpetual records, financial reporting of the Company is aligned with operations. Furthermore,</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perpetual inventory provides SKU level/store level shrink measures to allow for more accurate estimates of shrink reserves for periodic reporting.</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revaluation of inventory using the weighted-average cost method approximated the Company’s inventory valuation under the previous FIFO retail method at January 29, 2006, April 29, 2006 and July 29, 2006; accordingly, the impact of the change was not material to the financial statements for the three and six months ended July 29, 2006. Further, the impact of the change is not expected to have a material effect on future periods. Due to system conversions that were completed at the end of fiscal 2005, the Company was able to generate SKU-level cost detail for all locations. Prior to such conversions, the Company could not determine the impact of the change to the weighted-average cost method and therefore could not retroactively apply the change to prior year periods presented.</w:t>
      </w:r>
    </w:p>
    <w:p>
      <w:pPr>
        <w:spacing w:after="0" w:line="2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Sale-Leaseback of Corporate Offices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January 30, 2006, the Company entered into a sale-leaseback transaction with Spirit Finance Corp. (“Spirit”), a third-party real estate trust. Pursuant to the sale-leaseback transaction, the Company sold to Spirit its rights, title and interest in its headquarters and distribution center property for $56.0 million, net of transaction costs. The property consists of a 755,992 gross square foot building located on approximately 27.3 acres in Canton, MA. The transaction funded and closed on February 1, 2006.</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the closing, the Company entered into a Lease Agreement with a wholly-owned subsidiary of Spirit (the “Lease Agreement”) whereby the Company agreed to lease the property back for an annual rent of $4.6 million, payable monthly and in advance. The initial period of the Lease Agreement is for 20 years and will expire January 31, 2026 unless an option period is exercised. At that time,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Upon commencement of the third extension term, on January 26, 2036, the annual base will be revalued based on the fair market value on that date, as determined in accordance with the Lease Agreement.</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During the first quarter of fiscal 2006, the Company realized a gain of approximately $29.3 million on the sale of the property, net of approximately $1.0 million of transaction costs. The gain was deferred and is being amortized over the initial term of the related lease agreement of 20 years in accordance with SFAS No. 98, </w:t>
      </w:r>
      <w:r>
        <w:rPr>
          <w:rFonts w:ascii="Arial" w:cs="Arial" w:eastAsia="Arial" w:hAnsi="Arial"/>
          <w:sz w:val="18"/>
          <w:szCs w:val="18"/>
          <w:i w:val="1"/>
          <w:iCs w:val="1"/>
          <w:color w:val="auto"/>
        </w:rPr>
        <w:t>Accounting for Leases</w:t>
      </w:r>
      <w:r>
        <w:rPr>
          <w:rFonts w:ascii="Arial" w:cs="Arial" w:eastAsia="Arial" w:hAnsi="Arial"/>
          <w:sz w:val="18"/>
          <w:szCs w:val="18"/>
          <w:color w:val="auto"/>
        </w:rPr>
        <w:t>. The annual recognition of the gain of approximately $1.5 million will partially offset the expected annual rent pursuant to the lease of $4.6 million. For the second quarter and first six months of fiscal 2006, the Company recognized income of $366,000 and $733,000, respectively, related to the amortization of the deferred gain which was included as an offset to selling, general and administrative expenses in the Consolidated Statement of Operations for each period.</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used the net proceeds from the sale of approximately $56.0 million to reduce outstanding borrowings under its Amended Credit Facility (defined below) and to repay in full its term loan.</w:t>
      </w:r>
    </w:p>
    <w:p>
      <w:pPr>
        <w:spacing w:after="0" w:line="24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Sale of LP Innovations, Inc. subsidiary</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25, 2006, the Company sold its loss prevention subsidiary, LP Innovations, Inc. (“LPI”), to a private equity group for a purchase price of $5.2 million. The Company received $3.0 million of the purchase price in cash at the closing and received a note for the remaining purchase price of $2.2 million. The note requires LPI to make quarterly payments to the Company commencing on the first anniversary of the note. The note bears interest at 6.0% annually. Although the note is unsecured, if the principal and any accrued interest on the note are unpaid at any point during the term of the note, the Company has the right to offset amounts owed under the note against its payable to LPI for services rendered pursuant to the loss prevention contract described below. The Company recognized an initial gain on the sale of LPI in the amount of $1.5 million which is included in other income for the six months ended July 29, 2006. Due to the uncertainty regarding the collection of the note, the Company has fully reserved the balance of the note on the Consolidated Balance Sheet at July 29, 2006 and is treating the amount as a contingent gain and,</w:t>
      </w:r>
    </w:p>
    <w:p>
      <w:pPr>
        <w:sectPr>
          <w:pgSz w:w="11900" w:h="16838" w:orient="portrait"/>
          <w:cols w:equalWidth="0" w:num="1">
            <w:col w:w="11380"/>
          </w:cols>
          <w:pgMar w:left="240" w:top="280" w:right="279" w:bottom="1440" w:gutter="0" w:footer="0" w:header="0"/>
        </w:sectPr>
      </w:pPr>
    </w:p>
    <w:bookmarkStart w:id="6" w:name="page7"/>
    <w:bookmarkEnd w:id="6"/>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accordingly, will recognize income as the note is repaid to the Company. Such amounts recognized as income will be disclosed in future filings and will be included in “other income” on the Consolidated Statement of Operations.</w:t>
      </w:r>
    </w:p>
    <w:p>
      <w:pPr>
        <w:spacing w:after="0" w:line="13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As part of the sale, the Company entered into a five-year contract with LPI whereby the Company will continue to use LPI for its loss prevention needs. The Company’s current fees to LPI will remain in effect for the first three years of the contract with normal CPI index increases after that.</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entered into an agreement with LPI to provide, for a fee, transitional services to LPI for a period of six months from the date of the sale. These transitional services include enabling LPI to maintain its space at the Company’s corporate headquarters and utilize the facilities, as well as support from the Company’s human resource and information technology staff.</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Jared M.</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May 2, 2006, the Company purchased from JM Leather, Inc., Jared M., an apparel company specializing in selling custom clothing to professional athletes, almost all of whom are big &amp; tall. The Company sees this acquisition as a future growth opportunity for its Rochester division. Initially, the Company plans to open several Jared M. shops within the Company’s existing Rochester Big &amp; Tall stores and then expand the business to catalog and internet. This acquisition fits into the Company’s long-term strategy to gain market share in the big &amp; tall market.</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Pursuant to the terms of the asset purchase agreement, the Company paid a purchase price of approximately $2.6 million, plus assumed liabilities. In addition, the Company is subject to pay an earn-out provision of up to an additional $1.0 million over the next twelve to twenty-four months if the Jared M. business achieves certain earning levels specified in the agreement. The acquisition was accounted for under the purchase method of accounting, with the purchase price being allocated to the assets acquired based on relative fair values. The purchase price of $2.6 million resulted in the preliminary allocation of goodwill of $2.0 million. Pro forma results have not been presented as the acquisition was not deemed to be material.</w:t>
      </w:r>
    </w:p>
    <w:p>
      <w:pPr>
        <w:spacing w:after="0" w:line="1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accordance with the terms of the agreement, the Company also issued to Jared Margolis, the founder of Jared M. and currently an employee of the Company, an option to acquire 100,000 shares of the Company’s common stock at an exercise price of $9.42 per share. The option will vest ratably over four-years with the first one-fourth vesting on May 2, 2007. The fair value of the option based on the Black-Scholes model was $413,000 and is being expensed over its respective vesting period. See Note 7 – Equity for additional information regarding the Company’s accounting and valuation assumptions for stock-based compensation.</w:t>
      </w:r>
    </w:p>
    <w:p>
      <w:pPr>
        <w:spacing w:after="0" w:line="21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Effective May 19, 2006, the Company amended its credit facility with Bank of America Retail Group, LLC (formerly known as Fleet Retail Group, Inc.) by executing the Fourth Amendment to the Fourth Amended and Restated Loan and Security Agreement (the “Amendments”). The Amendment amended the credit facility (the “Amended Credit Facility”) to allow the Company to repurchase, redeem or acquire its common stock provided that the Company maintains certain excess availability levels, as defined in the Amended Credit Facility.</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Amended Credit Facility continues to principally provide for a total commitment of $90 million with the ability to issue documentary and standby letters of credits of up to $20 million. The maturity date of the Amended Credit Facility is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Company’s ability to borrow under the Amended Credit Facility is determined using an availability formula based on eligible assets, with increased advance rates based on seasonality.</w:t>
      </w:r>
    </w:p>
    <w:p>
      <w:pPr>
        <w:spacing w:after="0" w:line="1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Company’s obligations under the Amended Credit Facility are secured by a lien on all of its assets. The Amended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a minimum excess availability level of $12.5 million is not maintained. The Company was in compliance with all debt covenants under the Amended Credit Facility at July 29, 2006.</w:t>
      </w:r>
    </w:p>
    <w:p>
      <w:pPr>
        <w:sectPr>
          <w:pgSz w:w="11900" w:h="16838" w:orient="portrait"/>
          <w:cols w:equalWidth="0" w:num="1">
            <w:col w:w="11380"/>
          </w:cols>
          <w:pgMar w:left="240" w:top="280" w:right="279" w:bottom="1440" w:gutter="0" w:footer="0" w:header="0"/>
        </w:sectPr>
      </w:pPr>
    </w:p>
    <w:bookmarkStart w:id="7" w:name="page8"/>
    <w:bookmarkEnd w:id="7"/>
    <w:p>
      <w:pPr>
        <w:jc w:val="both"/>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had $5.3 million in borrowings under the Amended Credit Facility at July 29, 2006. Outstanding standby letters of credit were $4.4 million and outstanding documentary letters of credit were $2.9 million. Average borrowings outstanding under this facility during the first six months of fiscal 2006 were approximately $2.2 million, resulting in an average unused excess availability of approximately $69.5 million. Unused excess availability at July 29, 2006 was $64.9 million.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amounts outstanding under the Amended Credit Facility approximates the carrying value at July 29, 2006. At the Company’s option, any portion of the outstanding borrowings can be converted to LIBOR-based contracts; the remainder bears interest based on prime. At July 29, 2006, the prime-based interest rate was 8.25%. The Company had no outstanding LIBOR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Convertible Senior Subordinated Notes due 2024</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fiscal 2003, the Company sold $100 million principal amount of convertible senior subordinated notes due 2024 (the “Convertible Notes”). The Convertible Notes were sold in a private transaction to qualified institutional buyers (as such term is defined in Rule 144A under the Securities Act of 1933, as amended). The Convertible Notes, which bear interest at a rate of 5% per year, payable semi-annually, are convertible into the Company’s common stock, at any time, at a conversion price of $10.65 per share and constitute general unsecured obligations of the Company, subordinate to all existing and future designated senior indebtedness. At July 29, 2006, $94.8 million of the Convertible Notes were outstanding.</w:t>
      </w:r>
    </w:p>
    <w:p>
      <w:pPr>
        <w:spacing w:after="0" w:line="1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Each Convertible Note holder has the right to require the Company to redeem the Convertible Notes for cash or delivery of shares of our common stock, at the Company’s option, on January 1, 2009, 2014, or 2019. The purchase price payable for each Convertible Note will be equal to 100% of its principal amount plus accrued and unpaid interest and additional interest, if any, to, but excluding, the repurchase date. In addition, on or after January 6, 2007, the Company has the option to redeem the Convertible Notes, for cash or delivery of shares at the option of the Convertible Note holder, in whole or in part, at the redemption price, which is 100% of the principal amount plus accrued and unpaid interest and additional interest, if any, to, but excluding, the redemption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other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July 29, 2006</w:t>
            </w:r>
          </w:p>
        </w:tc>
        <w:tc>
          <w:tcPr>
            <w:tcW w:w="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senior subordinated notes due 2007</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2,750</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(2,750)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5% senior subordinated notes due 2007</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$2.8 million principal amount of its 5% senior subordinated notes due 2007 outstanding at July 29, 2006. These notes were issued in May 2002 through a private placement with the Kellwood Company. The Company makes quarterly principal payments in the amount of $687,500. The final quarterly payment is due April 29, 2007. Accrued interest is payable quarterly.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Term loan</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Company’s acquisition of Rochester Big &amp; Tall Clothing in October 2004, the Company had entered into a 3-year term loan for $7.5 million with Bank of America Retail Group, LLC, the proceeds of which were used for the acquisition. The loan required principal payments in the amount of approximately $1.9 million on each of</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two anniversaries of the loan with the remaining balance due at maturity. The term loan accrued interest at the prevailing LIBOR rate plus 5% per annum.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2006, the Company prepaid in full the remaining balance of $5.6 million.</w:t>
      </w:r>
    </w:p>
    <w:p>
      <w:pPr>
        <w:spacing w:after="0" w:line="280" w:lineRule="exact"/>
        <w:rPr>
          <w:sz w:val="20"/>
          <w:szCs w:val="20"/>
          <w:color w:val="auto"/>
        </w:rPr>
      </w:pPr>
    </w:p>
    <w:p>
      <w:pPr>
        <w:jc w:val="center"/>
        <w:ind w:left="20" w:right="10060" w:hanging="12"/>
        <w:spacing w:after="0" w:line="417" w:lineRule="auto"/>
        <w:tabs>
          <w:tab w:leader="none" w:pos="461"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by the weighted average number of shares of common stock outstanding during the respective period. Diluted earnings per share is determined by giving effect to the exercise of stock options and warrants using the treasury stock method and convertible notes using the “if-converted” method. The “if-converted” method assumes conversion of the convertible notes if the impact of the conversion is more dilutive to earnings after considering the impact of reversing interest expense and increasing the common stock outstanding. The following table provides a reconciliation of the net income and number of shares outstanding for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18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29, 2006</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30, 2005</w:t>
            </w:r>
          </w:p>
        </w:tc>
        <w:tc>
          <w:tcPr>
            <w:tcW w:w="48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29, 2006</w:t>
            </w: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30, 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income – Basic</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3,401</w:t>
            </w:r>
          </w:p>
        </w:tc>
        <w:tc>
          <w:tcPr>
            <w:tcW w:w="4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4,788</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w w:val="91"/>
              </w:rPr>
              <w:t xml:space="preserve">Add back of interest costs, tax effected, assuming conversion of convertible notes </w:t>
            </w:r>
            <w:r>
              <w:rPr>
                <w:rFonts w:ascii="Arial" w:cs="Arial" w:eastAsia="Arial" w:hAnsi="Arial"/>
                <w:sz w:val="22"/>
                <w:szCs w:val="22"/>
                <w:color w:val="auto"/>
                <w:w w:val="91"/>
                <w:vertAlign w:val="superscript"/>
              </w:rPr>
              <w:t>(1)</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Net income - Diluted</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4,118</w:t>
            </w: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4,788</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34,719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34,284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34,801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Stock options and warrants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upon conversion of convertible notes at $10.65 per share</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45,999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36,185</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37,128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36,011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380" w:hanging="452"/>
        <w:spacing w:after="0" w:line="23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Shares issuable upon the conversion of the convertible notes of 8.9 million for the six months ended July 29, 2006 and 9.4 million for the three and six months ended July 30, 2005 were excluded from the calculation of diluted earnings per share because they were anti-dilutive to earnings using the “if-converted” method.</w:t>
      </w:r>
    </w:p>
    <w:p>
      <w:pPr>
        <w:spacing w:after="0" w:line="15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 Convertible notes for the six months ended July 29, 2006 and for the three and six months ended July 30, 2005 were also excluded as discussed above in note 1 to the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exercise prices)</w:t>
            </w:r>
          </w:p>
        </w:tc>
        <w:tc>
          <w:tcPr>
            <w:tcW w:w="250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5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126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July 29, 2006</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July 30, 2005</w:t>
            </w:r>
          </w:p>
        </w:tc>
        <w:tc>
          <w:tcPr>
            <w:tcW w:w="1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July 29, 2006</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July 30, 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6"/>
              </w:rPr>
              <w:t>351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Warrants</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8"/>
                <w:szCs w:val="18"/>
                <w:color w:val="auto"/>
              </w:rPr>
            </w:pPr>
          </w:p>
        </w:tc>
        <w:tc>
          <w:tcPr>
            <w:tcW w:w="126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Range of exercise prices of such options, warrants and convertible notes</w:t>
            </w:r>
          </w:p>
        </w:tc>
        <w:tc>
          <w:tcPr>
            <w:tcW w:w="1260" w:type="dxa"/>
            <w:vAlign w:val="bottom"/>
          </w:tcPr>
          <w:p>
            <w:pPr>
              <w:ind w:left="140"/>
              <w:spacing w:after="0"/>
              <w:rPr>
                <w:sz w:val="20"/>
                <w:szCs w:val="20"/>
                <w:color w:val="auto"/>
              </w:rPr>
            </w:pPr>
            <w:r>
              <w:rPr>
                <w:rFonts w:ascii="Arial" w:cs="Arial" w:eastAsia="Arial" w:hAnsi="Arial"/>
                <w:sz w:val="18"/>
                <w:szCs w:val="18"/>
                <w:color w:val="auto"/>
                <w:w w:val="87"/>
              </w:rPr>
              <w:t>$10.15 - $10.30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$7.11 - $10.65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$10.15 - $10.65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$6.66 - $10.65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above options, warrants and convertible notes which were outstanding and out-of-the-money at July 29, 2006 expire from March 29, 2014 to April 27,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July 29, 2006, the Company had one share-based compensation plan, the 1992 Stock Incentive Plan, as amended most recently on August 7, 2003 (the “1992 Plan”). Under the terms of the 1992 Plan, up to 6,930,000 shares of common stock could have been issued pursuant to “incentive stock options” (as defined in Section 422 of the Internal Revenue Code of 1986, as amended), options which are not “incentive stock options,” conditioned stock awards, unrestricted stock awards and performance share awards.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Subsequent to the end of the quarter, at the Company’s 2006 Annual Meeting of Stockholders held on July 31, 2006, the Company’s stockholders approved the adoption of the 2006 Incentive Compensation Plan (the “2006 Plan”). As a result of such approval, no further grants will be made under the 1992 Plan. The terms of the 2006 Plan provide for grants of stock options, stock appreciation rights, or SARs, restricted stock, deferred stock, other stock-related awards and performance awards that may be settled in cash, stock or other property.</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Under the terms of the 2006 Plan, 2,500,000 shares of common stock are available for the granting of awards; provided, however, that the maximum number of shares available for the granting of awards other than stock options and SARs cannot exceed 1,250,000 shares.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Both the 1992 Plan and the 2006 Plan are administered by the Compensation Committee, all of the members of which are non-employee directors who qualify as independent under the listing standards of the Nasdaq Global Market. The Compensation Committee makes all determinations with respect to amounts and conditions covering awards under both plans. Options are not granted at a price less than fair value on the date of the grant. Options granted to employees and executives typically vest over three years and options granted to non-employee directors vest over two years. Options expire ten years from the date of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Adoption of SFAS 123R, Share-Based Payment</w:t>
      </w:r>
    </w:p>
    <w:p>
      <w:pPr>
        <w:spacing w:after="0" w:line="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Prior to January 29, 2006, the Company’s share-based payments to its employees and directors were accounted for in accordance with Accounting Principles Board Opinion No. 25, “Accounting for Stock Issued to Employees” (“APB 25”) and related interpretations. Under this method, no compensation expense was recognized as long as the exercise price equaled or exceeded the market price of the underlying stock on the date of the grant. The Company elected the disclosure-only alternative permitted under SFAS No. 123, “Accounting for Stock-Based Compensation” (“SFAS 123”), as amended by SFAS No. 148, “Accounting for Stock-Based Compensation — Transition and Disclosure” (“SFAS 148”), for fixed stock-based awards to employees.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27, 2006, the Company’s Board of Directors approved the accelerated vesting of 965,000 outstanding and unvested options held by directors, officers and employees under our 1992 Plan. As a result of the acceleration, these options to acquire 965,000 shares of the Company’s common stock, which otherwise would have vested from time to time over the following three years, became immediately exercisable. This action was taken to eliminate, to the extent permitted, the transition expense that the Company otherwise would incur in connection with the adoption of SFAS No. 123R. Under the accounting guidance of APB Opinion No. 25, the accelerated vesting resulted in a charge for stock-based compensation of approximately $30,000, which was recognized in the fourth quarter of fiscal 2005.</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January 29, 2006, the Company adopted SFAS 123R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our valuation techniques previously utilized for options in footnote disclosures required under SFAS 123, as amended by SFAS 148, and requires the input of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w:t>
      </w:r>
    </w:p>
    <w:p>
      <w:pPr>
        <w:sectPr>
          <w:pgSz w:w="11900" w:h="16838" w:orient="portrait"/>
          <w:cols w:equalWidth="0" w:num="1">
            <w:col w:w="11360"/>
          </w:cols>
          <w:pgMar w:left="240" w:top="280" w:right="299" w:bottom="1440" w:gutter="0" w:footer="0" w:header="0"/>
        </w:sectPr>
      </w:pPr>
    </w:p>
    <w:bookmarkStart w:id="10" w:name="page11"/>
    <w:bookmarkEnd w:id="1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subjective assumptions can materially affect the estimate of fair value of stock-based compensation and consequently, the related amount recognized as an expense on the consolidated statements of operations.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 Prior periods have not been restated to incorporate the stock-based compensation charge.</w:t>
      </w:r>
    </w:p>
    <w:p>
      <w:pPr>
        <w:spacing w:after="0" w:line="12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The initial compensation expense recognized in the first quarter of fiscal 2006 in connection with the initial adoption of SFAS 123R decreased the Company’s income before taxes and net income by $52,000 and $31,000, respectively, with no impact to earnings per share. There was no impact on cash flows from operations, investment, or financing in connection with the adoption of SFAS 123R. For the second quarter and six months ended July 29, 2006, the Company recognized total compensation expense of $196,000 and $248,000, respectively. The total compensation cost related to nonvested awards not yet recognized is approximately $2.4 million which will be expensed over a weighted average remaining life of 34.4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 for Stock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fiscal 2006, 670,000 stock options were granted. The fair value of each option was estimated on the date of grant using the Black-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with the following assumptions used for grants for the six months ended July 29, 2006 and July 30, 2005:</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July 29, 2006</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July 30, 2005</w:t>
            </w: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4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65.0%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4.48% - 5.02%</w:t>
            </w:r>
          </w:p>
        </w:tc>
        <w:tc>
          <w:tcPr>
            <w:tcW w:w="14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3.97% - 4.14%</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4.0 - 4.5 yrs.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r>
      <w:tr>
        <w:trPr>
          <w:trHeight w:val="222"/>
        </w:trPr>
        <w:tc>
          <w:tcPr>
            <w:tcW w:w="7760" w:type="dxa"/>
            <w:vAlign w:val="bottom"/>
          </w:tcPr>
          <w:p>
            <w:pPr>
              <w:spacing w:after="0"/>
              <w:rPr>
                <w:sz w:val="20"/>
                <w:szCs w:val="20"/>
                <w:color w:val="auto"/>
              </w:rPr>
            </w:pPr>
            <w:r>
              <w:rPr>
                <w:rFonts w:ascii="Arial" w:cs="Arial" w:eastAsia="Arial" w:hAnsi="Arial"/>
                <w:sz w:val="18"/>
                <w:szCs w:val="18"/>
                <w:color w:val="auto"/>
              </w:rPr>
              <w:t>Dividend rate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Disclosures — Prior to SFAS 123R Adoption</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For the first three and six months of fiscal 2005, if compensation costs for the Company’s grants for stock-based compensation had been determined consistent with SFAS 123, the Company’s net income (loss) and net income (loss) per share would have been as indicated below:</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85"/>
              </w:rPr>
              <w:t>For the three months</w:t>
            </w:r>
          </w:p>
        </w:tc>
        <w:tc>
          <w:tcPr>
            <w:tcW w:w="10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9"/>
              </w:rPr>
              <w:t>For the six months</w:t>
            </w:r>
          </w:p>
        </w:tc>
      </w:tr>
      <w:tr>
        <w:trPr>
          <w:trHeight w:val="144"/>
        </w:trPr>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359"/>
              <w:spacing w:after="0" w:line="144" w:lineRule="exact"/>
              <w:rPr>
                <w:sz w:val="20"/>
                <w:szCs w:val="20"/>
                <w:color w:val="auto"/>
              </w:rPr>
            </w:pPr>
            <w:r>
              <w:rPr>
                <w:rFonts w:ascii="Arial" w:cs="Arial" w:eastAsia="Arial" w:hAnsi="Arial"/>
                <w:sz w:val="14"/>
                <w:szCs w:val="14"/>
                <w:b w:val="1"/>
                <w:bCs w:val="1"/>
                <w:color w:val="auto"/>
              </w:rPr>
              <w:t>ended</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40"/>
              <w:spacing w:after="0" w:line="144" w:lineRule="exact"/>
              <w:rPr>
                <w:sz w:val="20"/>
                <w:szCs w:val="20"/>
                <w:color w:val="auto"/>
              </w:rPr>
            </w:pPr>
            <w:r>
              <w:rPr>
                <w:rFonts w:ascii="Arial" w:cs="Arial" w:eastAsia="Arial" w:hAnsi="Arial"/>
                <w:sz w:val="14"/>
                <w:szCs w:val="14"/>
                <w:b w:val="1"/>
                <w:bCs w:val="1"/>
                <w:color w:val="auto"/>
              </w:rPr>
              <w:t>ended</w:t>
            </w:r>
          </w:p>
        </w:tc>
      </w:tr>
      <w:tr>
        <w:trPr>
          <w:trHeight w:val="193"/>
        </w:trPr>
        <w:tc>
          <w:tcPr>
            <w:tcW w:w="7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79"/>
              <w:spacing w:after="0" w:line="193" w:lineRule="exact"/>
              <w:rPr>
                <w:sz w:val="20"/>
                <w:szCs w:val="20"/>
                <w:color w:val="auto"/>
              </w:rPr>
            </w:pPr>
            <w:r>
              <w:rPr>
                <w:rFonts w:ascii="Arial" w:cs="Arial" w:eastAsia="Arial" w:hAnsi="Arial"/>
                <w:sz w:val="14"/>
                <w:szCs w:val="14"/>
                <w:b w:val="1"/>
                <w:bCs w:val="1"/>
                <w:color w:val="auto"/>
                <w:w w:val="86"/>
              </w:rPr>
              <w:t>July 30, 2005</w:t>
            </w:r>
            <w:r>
              <w:rPr>
                <w:rFonts w:ascii="Arial" w:cs="Arial" w:eastAsia="Arial" w:hAnsi="Arial"/>
                <w:sz w:val="22"/>
                <w:szCs w:val="22"/>
                <w:b w:val="1"/>
                <w:bCs w:val="1"/>
                <w:color w:val="auto"/>
                <w:w w:val="86"/>
                <w:vertAlign w:val="superscript"/>
              </w:rPr>
              <w:t>(1)</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60"/>
              <w:spacing w:after="0" w:line="193" w:lineRule="exact"/>
              <w:rPr>
                <w:sz w:val="20"/>
                <w:szCs w:val="20"/>
                <w:color w:val="auto"/>
              </w:rPr>
            </w:pPr>
            <w:r>
              <w:rPr>
                <w:rFonts w:ascii="Arial" w:cs="Arial" w:eastAsia="Arial" w:hAnsi="Arial"/>
                <w:sz w:val="14"/>
                <w:szCs w:val="14"/>
                <w:b w:val="1"/>
                <w:bCs w:val="1"/>
                <w:color w:val="auto"/>
                <w:w w:val="84"/>
              </w:rPr>
              <w:t>July 30, 2005</w:t>
            </w:r>
            <w:r>
              <w:rPr>
                <w:rFonts w:ascii="Arial" w:cs="Arial" w:eastAsia="Arial" w:hAnsi="Arial"/>
                <w:sz w:val="22"/>
                <w:szCs w:val="22"/>
                <w:b w:val="1"/>
                <w:bCs w:val="1"/>
                <w:color w:val="auto"/>
                <w:w w:val="84"/>
                <w:vertAlign w:val="superscript"/>
              </w:rPr>
              <w:t>(1)</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income (loss) – as reported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1140" w:type="dxa"/>
            <w:vAlign w:val="bottom"/>
            <w:gridSpan w:val="2"/>
          </w:tcPr>
          <w:p>
            <w:pPr>
              <w:ind w:left="10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pro forma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14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Income (loss) per share – diluted as reported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1140" w:type="dxa"/>
            <w:vAlign w:val="bottom"/>
            <w:gridSpan w:val="2"/>
          </w:tcPr>
          <w:p>
            <w:pPr>
              <w:ind w:left="10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 diluted pro-forma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14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r>
    </w:tbl>
    <w:p>
      <w:pPr>
        <w:spacing w:after="0" w:line="194" w:lineRule="exact"/>
        <w:rPr>
          <w:sz w:val="20"/>
          <w:szCs w:val="20"/>
          <w:color w:val="auto"/>
        </w:rPr>
      </w:pPr>
    </w:p>
    <w:p>
      <w:pPr>
        <w:ind w:left="460" w:right="240" w:hanging="452"/>
        <w:spacing w:after="0" w:line="228"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Company accelerated all options outstanding as of January 27, 2005. Accordingly, the only pro forma adjustment for the second quarter and first six months of fiscal 2005 related to options granted since January 27, 2005.</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Activity-1992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1992 Plan for the six months ended July 29,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Weighted-average</w:t>
            </w:r>
          </w:p>
        </w:tc>
        <w:tc>
          <w:tcPr>
            <w:tcW w:w="4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Weighted-average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4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3"/>
              </w:rPr>
              <w:t>of Shares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Option</w:t>
            </w:r>
          </w:p>
        </w:tc>
        <w:tc>
          <w:tcPr>
            <w:tcW w:w="4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Contractual Term</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Value (in 000’s)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4,241,997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Options and shares granted</w:t>
            </w:r>
          </w:p>
        </w:tc>
        <w:tc>
          <w:tcPr>
            <w:tcW w:w="2520" w:type="dxa"/>
            <w:vAlign w:val="bottom"/>
            <w:gridSpan w:val="3"/>
          </w:tcPr>
          <w:p>
            <w:pPr>
              <w:jc w:val="right"/>
              <w:ind w:right="300"/>
              <w:spacing w:after="0"/>
              <w:rPr>
                <w:sz w:val="20"/>
                <w:szCs w:val="20"/>
                <w:color w:val="auto"/>
              </w:rPr>
            </w:pPr>
            <w:r>
              <w:rPr>
                <w:rFonts w:ascii="Arial" w:cs="Arial" w:eastAsia="Arial" w:hAnsi="Arial"/>
                <w:sz w:val="18"/>
                <w:szCs w:val="18"/>
                <w:color w:val="auto"/>
              </w:rPr>
              <w:t>675,943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9.13</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Options exercised</w:t>
            </w:r>
          </w:p>
        </w:tc>
        <w:tc>
          <w:tcPr>
            <w:tcW w:w="15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(405,359)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2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4,490,581</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 years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Vested and expected to vest at end of quarter</w:t>
            </w:r>
          </w:p>
        </w:tc>
        <w:tc>
          <w:tcPr>
            <w:tcW w:w="2520" w:type="dxa"/>
            <w:vAlign w:val="bottom"/>
            <w:gridSpan w:val="3"/>
          </w:tcPr>
          <w:p>
            <w:pPr>
              <w:jc w:val="right"/>
              <w:ind w:right="300"/>
              <w:spacing w:after="0"/>
              <w:rPr>
                <w:sz w:val="20"/>
                <w:szCs w:val="20"/>
                <w:color w:val="auto"/>
              </w:rPr>
            </w:pPr>
            <w:r>
              <w:rPr>
                <w:rFonts w:ascii="Arial" w:cs="Arial" w:eastAsia="Arial" w:hAnsi="Arial"/>
                <w:sz w:val="18"/>
                <w:szCs w:val="18"/>
                <w:color w:val="auto"/>
              </w:rPr>
              <w:t>4,488,581</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6.36</w:t>
            </w:r>
          </w:p>
        </w:tc>
        <w:tc>
          <w:tcPr>
            <w:tcW w:w="4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7.7 years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quarter</w:t>
            </w:r>
          </w:p>
        </w:tc>
        <w:tc>
          <w:tcPr>
            <w:tcW w:w="2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3,805,581</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 years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weighted-average grant-date fair value of options granted were $3.80 and $3.35 per share for the first six months of fiscal 2006 and 2005, respectively. The total intrinsic value of options exercised during the first six months of fiscal 2006 and fiscal 2005 were $1.5 million and $372,000,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Options granted outside of the Company’s 1992 Plan</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Below is a summary of options granted outside of the Company’s 1992 Plan. These outstanding options represent options which have been granted to consultants of the Company prior to August 2003 and options granted to its executives in excess of the 1992 Plan’s annual maximum grant which was 500,000 as of August 7, 2003.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Number</w:t>
            </w: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 per</w:t>
            </w: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0"/>
              </w:rPr>
              <w:t>of Shares</w:t>
            </w:r>
          </w:p>
        </w:tc>
        <w:tc>
          <w:tcPr>
            <w:tcW w:w="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Option</w:t>
            </w:r>
          </w:p>
        </w:tc>
        <w:tc>
          <w:tcPr>
            <w:tcW w:w="56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Contractual Term</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Value (in 000’s)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1,140,000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3.21</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(27,186)</w:t>
            </w:r>
          </w:p>
        </w:tc>
        <w:tc>
          <w:tcPr>
            <w:tcW w:w="2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3.68</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1,112,814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 years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Vested and expected to vest at end of quarter</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1,112,814</w:t>
            </w:r>
          </w:p>
        </w:tc>
        <w:tc>
          <w:tcPr>
            <w:tcW w:w="6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3.20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5.1 years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quarter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1,112,814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 years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during the first six months of fiscal 2006 was $163,700. There were no such exercises during the first six months of fiscal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Performance Share Bonus Plan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fiscal 2005, the Company adopted a Long-Term Performance Share Bonus Plan pursuant to which certain key members of senior management are eligible to participate. Pursuant to the plan, if the Company achieves certain operating income targets by the end of fiscal 2007, each participant in the plan will be entitled to receive restricted shares of the Company’s common stock, valued at 75% to 120%, depending of the target level achieved, of the participant’s cumulative salary during the incentive period of fiscal 2005-2007 (discounted at a rate of 30%, 70% or 90% depending on the participant’s respective tier level). The actual number of restricted shares granted, if any, will be such value divided by the closing price of the Company’s common stock on the date of grant. Upon grant, the restricted shares will vest ratably over eighteen months. Assuming a fair market closing price of $10.00 per share on the date of grant and current salary levels, if the Company were to achieve the operating income targets established in the plan, the Company may be required to issue an estimated 700,000 to 1.1 million shares from its 2006 Plan and record total compensation expense ranging from $7.0 million to $11.0 million over the service period; however, because the achievement of the targets is not considered probable at this time no compensation expense has been recorded to date.</w:t>
      </w:r>
    </w:p>
    <w:p>
      <w:pPr>
        <w:spacing w:after="0" w:line="23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Program</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June 6, 2006, the Company’s Board of Directors approved a stock repurchase program whereby the Company was authorized to repurchase up to $30 million of its common stock through open market and privately negotiated transactions pursuant to Rule 10b-18 of the Securities and Exchange Act of 1934, as amended. The stock repurchase program will expire on June 6, 2007 and may be terminated earlier at any time without prior notice. The funding for the stock repurchases will be from the Company’s operating cash flow and/or borrowings under its Amended Credit Facility.</w:t>
      </w:r>
    </w:p>
    <w:p>
      <w:pPr>
        <w:sectPr>
          <w:pgSz w:w="11900" w:h="16838" w:orient="portrait"/>
          <w:cols w:equalWidth="0" w:num="1">
            <w:col w:w="11420"/>
          </w:cols>
          <w:pgMar w:left="240" w:top="280" w:right="23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second quarter of fiscal 2006, the Company repurchased 1.3 million shares pursuant to this repurchase program for an aggregate cost, including broker commissions, of $13.1 million, or at an average price of $9.74 per share. At July 29, 2006, the Company has 6.5 million shares of repurchased stock, which include shares acquired from past stock repurchase programs. The aggregate cost of these shares is $36.5 million and is reported by the Company as treasury stock and as a reduction in stockholders’ equity.</w:t>
      </w:r>
    </w:p>
    <w:p>
      <w:pPr>
        <w:spacing w:after="0" w:line="25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During the fourth quarter of fiscal 2005, the Company determined that it is more likely than not that it will be able to realize the benefits of a portion of its deferred tax assets and a portion of the Company’s valuation allowance was reversed at that time. For fiscal 2006, the Company began recording an income tax provision on its pretax earnings at its effective rate of 39.5%. Based on the net operating loss carryforwards available to the Company, management expects that cash payments for taxes will continue to be minimal at this time. As such, the Company utilized these net loss carryforwards toward a portion of its income tax provision for the first six months of fiscal 2006, which resulted in a reduction of its deferred tax assets of approximately $2 million.</w:t>
      </w:r>
    </w:p>
    <w:p>
      <w:pPr>
        <w:spacing w:after="0" w:line="231" w:lineRule="exact"/>
        <w:rPr>
          <w:sz w:val="20"/>
          <w:szCs w:val="20"/>
          <w:color w:val="auto"/>
        </w:rPr>
      </w:pPr>
    </w:p>
    <w:p>
      <w:pPr>
        <w:jc w:val="center"/>
        <w:ind w:right="9320" w:firstLine="8"/>
        <w:spacing w:after="0" w:line="391" w:lineRule="auto"/>
        <w:tabs>
          <w:tab w:leader="none" w:pos="44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Parties Jewelcor Management, Inc.</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15.8% of the outstanding common stock of the Company (principally held by JMI). He is also the president and chief executive officer, and indirectly, with his wife, the primary shareholder of JMI.</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consulting agreement dated April 29, 2003, and most recently amended by a letter agreement dated May 26, 2006, is for a three-year term and automatically renews on each anniversary of the agreement’s commencement date for additional one-year periods, unless ninety-days notice by either party is otherwise given. The initial three-year term was from April 29, 2003 until April 28, 2006. On each anniversary of the agreement’s commencement date, the term was extended for a one-year period. Accordingly, as of April 26, 2006, the most recent anniversary of the consulting agreement, the term was extended to April 28, 2009. The consulting agreement with JMI includes a significant disincentive for non-performance, which would require JMI to pay to the Company a penalty equal to 150% of any unearned consulting services.</w:t>
      </w:r>
    </w:p>
    <w:p>
      <w:pPr>
        <w:spacing w:after="0" w:line="14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During the first quarter of fiscal 2006, the Company paid JMI a cash bonus, pursuant to the Executive Incentive Plan for fiscal 2005, for services rendered in fiscal 2005 of $375,000.</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first quarter of fiscal 2006, the Company’s Board of Directors approved (1) the payment to JMI of approximately $320,000 as reimbursement of legal costs incurred by JMI in connection with JMI’s successful defense of a Section 16 claim involving the Company’s securities and (2) the payment to JMI of approximately $50,000 as consideration for the upward adjustment of the exercise price of warrants issued to JMI in connection with the fiscal 2003 private placement of the Company’s 12% senior subordinated notes due 2010.</w:t>
      </w:r>
    </w:p>
    <w:p>
      <w:pPr>
        <w:spacing w:after="0" w:line="14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On May 26, 2006, the Compensation Committee of the Board of Directors increased JMI’s annual consulting fees from $412,000 to $527,000. JMI will continue to receive $24,000 annually as reimbursement of expenses. JMI will also be entitled to receive a cash bonus for fiscal 2006 ranging from 80% to 150% of a bonus base of $575,000 if the Company achieves a certain range of EBITDA (earnings before interest, taxes and depreciation and amortization) for fiscal 2006.</w:t>
      </w:r>
    </w:p>
    <w:p>
      <w:pPr>
        <w:sectPr>
          <w:pgSz w:w="11900" w:h="16838" w:orient="portrait"/>
          <w:cols w:equalWidth="0" w:num="1">
            <w:col w:w="11400"/>
          </w:cols>
          <w:pgMar w:left="240" w:top="280" w:right="259" w:bottom="1440" w:gutter="0" w:footer="0" w:header="0"/>
        </w:sectPr>
      </w:pPr>
    </w:p>
    <w:bookmarkStart w:id="13" w:name="page14"/>
    <w:bookmarkEnd w:id="13"/>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Accounting Pronouncements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2006, the Financial Accounting Standards Board (FASB) issued FASB Interpretation No. 48, Accounting for Uncertainty in Income Taxes—an interpretation of FASB Statement No. 109 (“FIN 48”), which clarifies the accounting for uncertainty in tax positions. This Interpretation requires that the Company recognize in its financial statements the impact of a tax position, if that position is more likely than not of being sustained on audit, based on the technical merits of the position. The provisions of FIN 48 are effective as of the beginning of fiscal 2007, with the cumulative effect of the change in accounting principle recorded as an adjustment to opening retained earnings. The Company is in the process of determining the effect, if any, the adoption of FIN 48 will have on its financial statements.</w:t>
      </w:r>
    </w:p>
    <w:p>
      <w:pPr>
        <w:sectPr>
          <w:pgSz w:w="11900" w:h="16838" w:orient="portrait"/>
          <w:cols w:equalWidth="0" w:num="1">
            <w:col w:w="11260"/>
          </w:cols>
          <w:pgMar w:left="240" w:top="274" w:right="399" w:bottom="1440" w:gutter="0" w:footer="0" w:header="0"/>
        </w:sectPr>
      </w:pPr>
    </w:p>
    <w:bookmarkStart w:id="14" w:name="page15"/>
    <w:bookmarkEnd w:id="1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Part I, Item 1A of the Company’s Annual Report on Form 10-K for the year ended January 28, 2006, previously filed with the Securities and Exchange Commission on March 31, 2006, which identifies certain risks and uncertainties that may have an impact on future earnings and the direction of the Company.</w:t>
      </w:r>
    </w:p>
    <w:p>
      <w:pPr>
        <w:spacing w:after="0" w:line="3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Casual Male Retail Group, Inc. together with its subsidiaries (the “Company”) is the largest specialty retailer of big and tall men’s apparel with retail operations throughout the United States, Canada and London, England. The Company operates 484 Casual Male XL stores, 12 Casual Male at Sears Canada stores, 24 Rochester Big &amp; Tall stores and a direct to consumer business, which includes a catalog business and two e-commerce sites.</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February 3, 2007 and January 28, 2006 as “fiscal 2006” and “fiscal 2005,”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SUMMARY</w:t>
      </w:r>
    </w:p>
    <w:p>
      <w:pPr>
        <w:spacing w:after="0" w:line="9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The Company’s operating income during its first six months of 2006 has more than doubled from the prior year. Thus far, overall results have exceeded the Company’s expectations for fiscal 2006, with strong comparable sales performance for the first six months of fiscal 2006 of 8.1% and continued gross margin improvement. These results are consistent with the Company’s strategic initiatives to drive operating margin performance. The Company’s strategic objective continues to be in growing its market share of the big &amp; tall men’s market and improving its overall profitability. During the second quarter of fiscal 2006, the Company engaged in several strategic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Re-Branding Initiative</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second quarter of fiscal 2006, the Company completed its initiative of re-branding all of its full-price Casual Male Big &amp; Tall business to “Casual Male XL” as part of its strategy to remove the stigma associated with “big &amp; tall” so as to appeal to a broader group of its target market, a younger demographic and the smaller and taller market segment of the big &amp; tall market. This re-branding included the re-engineering of the look and feel of its Casual Male brand in all communications, including its store fronts and in-store signage, as well as throughout its catalog and website. The Company tested this re-branding during the third quarter of fiscal 2005 in six markets, representing 24 stores, and based on the positive performance of these stores during the fourth quarter of fiscal 2005, the Company continued the roll-out to all stores, its website and catalog.</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 of Jared M.</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2, 2006, the Company acquired Jared M., an apparel company specializing in selling custom clothing to professional athletes, almost all of whom are big &amp; tall, for a purchase price of approximately $2.6 million, plus assumed liabilities. There is a potential payment over a two-year period of an additional $1.0 million, which is subject to an earn-out provision. The Company sees this acquisition as a future growth vehicle for its Rochester division. Utilizing the Company’s existing real estate and sourcing capabilities, the Company sees significant growth opportunities from this business. Initially, the Company plans to open several Jared M. shops within the Company’s existing Rochester Big &amp; Tall stores and then expand the business to catalog and internet. This acquisition fits into the Company’s long-term strategy to gain market share in the big &amp; tall market. See Note 5 of the Notes to the Consolidated Financial Statements for a complete description of the acquisition.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6, 2006, the Company’s Board of Directors approved a $30 million stock repurchase program. The Company believes that a stock repurchase program is a good investment of its available funds and reflects its commitment to shareholders and its confidence in the Company’s earnings growth and accelerating cash flow. The stock repurchase program will expire on June 6, 2007 but may be terminated earlier without prior notice. Through the end of the second quarter of fiscal 2006, the Company has repurchased 1.3 million shares of common stock at an aggregate cost, including broker commissions, of $13.1 million, resulting in an average purchase price of $9.74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the second quarter of fiscal 2006, sales, which include the Company’s e-commerce and catalog businesses, increased 11.1% to $111.8 million as compared to $100.6 million for the second quarter of fiscal 2005. The sales increase was primarily due to an increase of 10.6%, or $10.4 million, in comparable sales. Comparable sales include stores that have been open for at least one full year, e-commerce and catalog sales. This increase of $10.4 million was driven by increases among all channels, with the Casual Male retail store operations representing approximately 50% of this increase. The primary reason for this increase is the result of the Company’s improved merchandise assortments and overall improved product offerings, which is supported by the Company’s overall increase in its items per transaction and dollars per transaction statistics.</w:t>
      </w:r>
    </w:p>
    <w:p>
      <w:pPr>
        <w:spacing w:after="0" w:line="120"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The Company’s direct business, which contributed approximately $2.6 million to the comparable sales increase this quarter, continues to perform strongly as a result of increased catalog circulation, its new co-branded Sears-Casual Male catalog and its continued internet growth of approximately 60%, or $1.8 million, this quarter compared to the second quarter of fiscal 2005. The Company’s Rochester direct business also performed strongly during the second quarter with an increase of approximately 45% over the comparable quarter of fiscal 2005 due primarily to improved catalog productivity and internet growth.</w:t>
      </w:r>
    </w:p>
    <w:p>
      <w:pPr>
        <w:spacing w:after="0" w:line="11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For the six months ended July 29, 2006, total sales increased 8.5% to $214.7 million from $197.9 million for the six months ended July 30, 2005. Comparable sales for the first six months of fiscal 2006 increased 8.1% when compared with the first six months of the prior year. Similar to the second quarter results, the increase in sales was attributed to all business channels with the Casual Male stores contributing 50% of the comparable sales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second quarter of fiscal 2006, the Company’s gross margin rate, inclusive of occupancy costs, was 45.3%, which was an increase of 1.9 percentage points as compared to a gross margin rate of 43.4% for the second quarter of fiscal 2005. This increase was primarily attributable to the leveraging of occupancy costs of 1.1 percentage points and improved merchandise margins of approximately 0.5 percentage points. The merchandise margin improvement was due to less markdowns and promotional activity as well improved initial margins from the Casual Male direct sourcing.</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six months ended July 29, 2006, the Company’s gross margin rate was 44.5% as compared to 42.4% for the six months ended July 30, 2005 of the prior year. This increase of 2.1 percentage points was primarily attributable to</w:t>
      </w:r>
    </w:p>
    <w:p>
      <w:pPr>
        <w:sectPr>
          <w:pgSz w:w="11900" w:h="16838" w:orient="portrait"/>
          <w:cols w:equalWidth="0" w:num="1">
            <w:col w:w="11400"/>
          </w:cols>
          <w:pgMar w:left="240" w:top="280" w:right="259" w:bottom="1440" w:gutter="0" w:footer="0" w:header="0"/>
        </w:sectPr>
      </w:pPr>
    </w:p>
    <w:bookmarkStart w:id="16" w:name="page17"/>
    <w:bookmarkEnd w:id="16"/>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improved merchandise margins of approximately 1.2 percentage points over the prior year and leveraging of occupancy costs of 0.8 percentage points. Similar to the second quarter improvement, the increase in merchandise margin was due to a decrease in promotional markdowns, less clearance of its fashion inventory and improved initial margins related to the Company’s direct sourcing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Selling, general and administrative (“SG&amp;A”) expenses as a percentage of sales for the second quarter of fiscal 2006 were 36.0% as compared to 36.4% for the second quarter of fiscal 2005. For the six months ended July 29, 2006, SG&amp;A expenses were 37.1% of sales as compared to 37.3% of sales for the six months ended July 30, 2005. The increase in SG&amp;A expenses of $3.6 million and $5.8 million for the second quarter and first six months of fiscal 2006, respectively, is primarily due to four factors; (1) occupancy costs of $0.9 million and $1.8 million, respectively, for the second quarter and first six months of fiscal 2006 associated with the Company’s new lease on its corporate headquarters which was part of the sale-leaseback that occurred on January 30, 2006, (2) expense accruals of $0.8 million and $1.4 million, respectively, for the second quarter and first six months of fiscal 2006 related to performance bonuses previously not earned, (3) incremental marketing expenses of $1.0 million and $2.0 million, respectively, for the second quarter and first six months of fiscal 2006 related to new customer prospecting and (4) operational expenses of $0.4 million for both the second quarter and first six months of fiscal 2006 associated with the Company’s newly acquired Jared M. business. SG&amp;A expenses for the second quarter and first six months of fiscal 2006, without consideration of these incremental costs, increased approximately 1.4% and 0.3%, respectively, primarily related to the increased operational expenses necessary to support the sales growth. Although SG&amp;A expenses increased for the second quarter and first six months of fiscal 2006 as compared to fiscal 2005, SG&amp;A expenses as a percent of sales have decreased for both the second quarter and six month periods as compared to the prior year.</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Similar to the factors described above that contributed to the Company’s increase in SG&amp;A expenses for the first six months of fiscal 2006, the Company expects to incur an incremental $5.0-$6.0 million in SG&amp;A expenses during the second half of fiscal 2006 related to these items. Included in these incremental expenses are anticipated costs that the Company expects to incur related to its newly acquired Jared M. business in order to integrate the business into the existing Rochester infrastructure.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For the second quarter of fiscal 2006, depreciation and amortization increased approximately $0.4 million to $3.4 million as compared to $3.0 million for the second quarter of fiscal 2005. For the first six months of fiscal 2006, depreciation and amortization increased $0.7 million to $6.7 million as compared to $6.0 million for the first six months of fiscal 2005 as a result of capital expenditures associated with new and remodeled stores, the Company’s rebranding initiatives and other corporate capital expenditures.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first quarter of fiscal 2006, the Company sold its loss prevention subsidiary, LP Innovations, Inc. (“LPI”). The Company realized an initial gain on the sale of LPI in the amount of $1.5 million which is included as part of other income (expense), net on the Consolidated Statement of Operations for the first six months of fiscal 2006. This gain was offset slightly by an accrual of approximately $0.4 million primarily related to the reimbursement to Jewelcor Management, Inc. (“JMI”) for certain legal costs incurred by JMI related to the Company. See Note 10 to the Notes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Net interest expense was $1.4 million for the second quarter of fiscal 2006 as compared to $2.1 million for the second quarter of fiscal 2005. For the first six months of fiscal 2006, interest expense was $2.6 million as compared to $4.0 million for the first six months of fiscal 2005. This decrease in interest expense is due to the repayment of approximately $22.1 million of long-term debt in addition to a decrease in average borrowings under the Company’s credit facility of approximately $23.3 million for the first six months of fiscal 2006 as compared to the prior year.</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During the fourth quarter of fiscal 2005, the Company determined that it is more likely than not that it will be able to realize the benefits of a portion of its deferred tax assets and a portion of the Company’s valuation allowance was reversed at that time. For fiscal 2006, the Company began recording an income tax provision on its pretax earnings at its effective rate of 39.5%. Based on the net operating loss carryforwards available to the Company, management expects that cash payments for taxes will continue to be minimal at this time. As such, the Company utilized these net loss carryforwards toward a portion of its income tax provision for the first six months of fiscal 2006, which resulted in a reduction of its deferred tax assets of approximately $2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For the second quarter of fiscal 2006, the Company had net income of $3.4 million, or $0.09 per diluted share, as compared to net income of $2.0 million, or $0.06 per diluted share, for the second quarter of fiscal 2005. For the first six months of fiscal 2006, the Company had net income of $4.8 million, or $0.13 per diluted share, as compared to net income of $139,000, or $0.00 per diluted share, for the first six months of fiscal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July 29, 2006, total inventory equaled $101.0 million as compared to $91.5 million at January 28, 2006 and $86.5 million at July 30, 2005. The Company has increased its inventory, primarily in core product, to ensure that it is well-positioned with adequate stock by size in both its Casual Male and Rochester retail stores. The Company has also increased its inventory for its direct businesses to support the increased sales volumes.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second quarter of fiscal 2006, the Company changed its inventory valuation method from lower of cost or market, on a FIFO basis, using the retail method to lower of cost or market, on a weighted-average cost basis, using the cost method. The effect of this change in accounting principle was not material at January 29, 2006, April 29, 2006 and July 29,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and debt offerings. The Company’s objective is to maintain a positive cash flow after capital expenditures such that it can support its growth activities with operational cash flows and without incurring any additional debt.</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the first six months of fiscal 2006, cash provided by operating activities was $2.4 million as compared to $0.6 million for the corresponding period of the prior year. The primary reason for the increase in cash flows from operating activities was due to the substantial improvement in operating income for the first six months of fiscal 2006 as compared to fiscal 2005, offset slightly by the timing of cash flows among the Company’s working capital accounts.</w:t>
      </w:r>
    </w:p>
    <w:p>
      <w:pPr>
        <w:spacing w:after="0" w:line="1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to cash flow from operations, the Company’s other primary source of working capital is its credit facility with Bank of America Retail Group, Inc., which was most recently amended effective May 19, 2006 (the “Amended</w:t>
      </w:r>
    </w:p>
    <w:p>
      <w:pPr>
        <w:sectPr>
          <w:pgSz w:w="11900" w:h="16838" w:orient="portrait"/>
          <w:cols w:equalWidth="0" w:num="1">
            <w:col w:w="11400"/>
          </w:cols>
          <w:pgMar w:left="240" w:top="280" w:right="259" w:bottom="1440" w:gutter="0" w:footer="0" w:header="0"/>
        </w:sectPr>
      </w:pPr>
    </w:p>
    <w:bookmarkStart w:id="18" w:name="page19"/>
    <w:bookmarkEnd w:id="18"/>
    <w:p>
      <w:pPr>
        <w:jc w:val="both"/>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Bank of America’s prime rate or the London Interbank Offering Rate and vary depending on the Company’s levels of excess availability.</w:t>
      </w:r>
    </w:p>
    <w:p>
      <w:pPr>
        <w:spacing w:after="0" w:line="11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Company had $5.3 million in borrowings under the Amended Credit Facility at July 29, 2006. Outstanding standby letters of credit were $4.4 million and outstanding documentary letters of credit were $2.9 million. Average borrowings outstanding under this facility during the first six months of fiscal 2006 were approximately $2.2 million, resulting in an average unused excess availability of approximately $69.5 million. Unused excess availability at July 29, 2006 was $64.9 million.</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As part of the Company’s approved $30 million stock repurchase program discussed above, during the second quarter of fiscal 2006, the Company repurchased 1.3 million shares for an aggregate cost, including broker commissions, of $13.1 million, resulting in an average price of $9.74 per share. The Company utilized funds available from its operating cash and borrowings under its Amended Credit Facility.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At January 28, 2006, the Company had approximately $103.3 million of net operating loss carryforwards available for federal tax purposes and approximately</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$91.0 million for state income tax purposes to offset future taxable income, subject to certain annual limitations, through fiscal 2024. Based on these net operating loss carryforwards, management expects that cash payments for taxes will continue to be minimal at this time. In addition, the Company will be able to utilize these net operating loss carryforwards to offset the gain of $29.3 million that the Company recognized during the first quarter of fiscal 2006 in connection with the sale-leaseback transaction discussed above.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July 29, 2006 and July 30, 2005,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At July 29, 2006</w:t>
            </w:r>
          </w:p>
        </w:tc>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rPr>
              <w:t>At July 30, 2005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Number of</w:t>
            </w: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Square</w:t>
            </w:r>
          </w:p>
        </w:tc>
        <w:tc>
          <w:tcPr>
            <w:tcW w:w="42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Square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98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640" w:type="dxa"/>
            <w:vAlign w:val="bottom"/>
          </w:tcPr>
          <w:p>
            <w:pPr>
              <w:jc w:val="right"/>
              <w:ind w:right="61"/>
              <w:spacing w:after="0"/>
              <w:rPr>
                <w:sz w:val="20"/>
                <w:szCs w:val="20"/>
                <w:color w:val="auto"/>
              </w:rPr>
            </w:pPr>
            <w:r>
              <w:rPr>
                <w:rFonts w:ascii="Arial" w:cs="Arial" w:eastAsia="Arial" w:hAnsi="Arial"/>
                <w:sz w:val="14"/>
                <w:szCs w:val="14"/>
                <w:b w:val="1"/>
                <w:bCs w:val="1"/>
                <w:color w:val="auto"/>
              </w:rPr>
              <w:t>Stores</w:t>
            </w:r>
          </w:p>
        </w:tc>
        <w:tc>
          <w:tcPr>
            <w:tcW w:w="4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0"/>
              </w:rPr>
              <w:t>Footage</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Stores</w:t>
            </w: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Footage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Casual Male Big &amp; Tall retail and outlet stores</w:t>
            </w:r>
          </w:p>
        </w:tc>
        <w:tc>
          <w:tcPr>
            <w:tcW w:w="640" w:type="dxa"/>
            <w:vAlign w:val="bottom"/>
          </w:tcPr>
          <w:p>
            <w:pPr>
              <w:jc w:val="right"/>
              <w:spacing w:after="0"/>
              <w:rPr>
                <w:sz w:val="20"/>
                <w:szCs w:val="20"/>
                <w:color w:val="auto"/>
              </w:rPr>
            </w:pPr>
            <w:r>
              <w:rPr>
                <w:rFonts w:ascii="Arial" w:cs="Arial" w:eastAsia="Arial" w:hAnsi="Arial"/>
                <w:sz w:val="18"/>
                <w:szCs w:val="18"/>
                <w:color w:val="auto"/>
              </w:rPr>
              <w:t>484</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1,662</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Big &amp; Tall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Sears Canada</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1,857</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Total cash outlays for capital expenditures for the first six months of fiscal 2006 were $7.8 million as compared to $6.6 million for the first six months of fiscal 2005. Below is a summary of store openings and closings since January 28,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Casual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Rochester</w:t>
            </w: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Sears</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Total</w:t>
            </w:r>
          </w:p>
        </w:tc>
      </w:tr>
      <w:tr>
        <w:trPr>
          <w:trHeight w:val="175"/>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Male</w:t>
            </w:r>
          </w:p>
        </w:tc>
        <w:tc>
          <w:tcPr>
            <w:tcW w:w="38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Big &amp;Tall</w:t>
            </w:r>
          </w:p>
        </w:tc>
        <w:tc>
          <w:tcPr>
            <w:tcW w:w="3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Canada</w:t>
            </w:r>
          </w:p>
        </w:tc>
        <w:tc>
          <w:tcPr>
            <w:tcW w:w="38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stores</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At January 28, 2006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New outlet stores</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retail stores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Closed stores</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At July 29, 2006</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Remodels</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bl>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expects that its total capital expenditures for fiscal 2006 will be approximately $20.0 - $22.0 million, of which $8.0 - $10.0 million relates to its re-branding of the Casual Male Big &amp; Tall retail stores to Casual Male XL. The Company expects to incur approximately $6.0-$7.0 million for store capital related to new stores as well as</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remodels and relocations, with the remainder for system enhancements, distribution and corporate facilities and other corporate level expenditures.</w:t>
      </w:r>
    </w:p>
    <w:p>
      <w:pPr>
        <w:spacing w:after="0" w:line="19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For the remainder of fiscal 2006, the Company intends to open two additional Casual Male stores, close up to 12 of its older Casual Male stores as their respective leases expire and relocate five other Casual Male stores to more desirable locations. The Company also plans to open two new Rochester Big &amp; Tall retail stores.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the adoption of SFAS 123R at the beginning of the Company’s first quarter of fiscal 2006, “Stock-Based Compensation” was added as a critical accounting policy. Also, the Company has updated its critical accounting policy for Inventory for its change in accounting principle. There have been no other material changes to the critical accounting policies and estimates disclosed in the Company’s Annual Report on Form 10-K for the year ended January 28, 2006, filed with the SEC on March 31, 2006.</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9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As of January 29, 2006, the Company adopted SFAS 123R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our valuation techniques previously utilized for options in footnote disclosures required under SFAS 123, as amended by SFAS 148, and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Prior periods have not been restated to incorporate the stock-based compensation charge. The initial compensation expense recognized in the first quarter of fiscal 2006 in connection with the adoption of SFAS 123R decreased the Company’s income before taxes and net income by $52,000 and $31,000, respectively, with no impact to earnings per share. There was no impact on cash flows from operations, investment, or financing in connection with the adoption of SFAS 123R. For the second quarter and six months ended July 29, 2006, the Company recognized total compensation expense of $196,000 and $248,000,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second quarter of fiscal 2006, the Company changed its inventory valuation method. Previously, inventory was principally valued at the lower of cost or market on a first in, first out, or FIFO, basis under the retail inventory method. Inventory for the Company’s catalog and e-commerce businesses were accounted for using the average cost method. Commencing in the second quarter of fiscal 2006, all inventories will be valued at the lower of cost or market, using a weighted-average cost method. The Company believes that the weighted-average cost method is preferable as compared to the retail inventory method because it will provide much greater precision in the costing of sales and inventory, which will enable the Company to better manage its margins, control its promotions and value its inventory. Because the weighted-average cost values inventory based on actual quantities of specific SKUs on hand valued at an average purchase cost for a particular SKU rather than an estimate of an average cost complement for a pool of inventory, the average cost method increases the accuracy of reporting the value of inventory and improves the matching of costs with revenue. Further, it is consistent with the practices of many other retailers. In addition, since implementation of the new inventory system, the Company’s operations have been managed based on data provided from the perpetual inventory system. By valuing inventory based on the perpetual records, financial reporting of the Company is aligned with operations. Furthermore, the perpetual inventory provides SKU level/store level shrink measures to allow for more accurate estimates of shrink reserves for periodic reporting.</w:t>
      </w:r>
    </w:p>
    <w:p>
      <w:pPr>
        <w:sectPr>
          <w:pgSz w:w="11900" w:h="16838" w:orient="portrait"/>
          <w:cols w:equalWidth="0" w:num="1">
            <w:col w:w="11420"/>
          </w:cols>
          <w:pgMar w:left="240" w:top="280" w:right="239" w:bottom="1440" w:gutter="0" w:footer="0" w:header="0"/>
        </w:sectPr>
      </w:pPr>
    </w:p>
    <w:bookmarkStart w:id="20" w:name="page21"/>
    <w:bookmarkEnd w:id="2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revaluation of inventory using the weighted-average cost method approximated the Company’s inventory valuation under the previous FIFO retail method at January 29, 2006, April 29, 2006 and July 29, 2006; accordingly, the impact of the change was not material to the financial statements for the three and six months ended July 29, 2006. Further, the impact of the change is not expected to have a material effect on future periods. Due to system conversions that were completed at the end of fiscal 2005, the Company was able to generate SKU-level cost detail for all locations. Prior to such conversions, the Company could not determine the impact of the change to the weighted-average cost method and therefore could not retroactively apply the change to prior year periods presented.</w:t>
      </w:r>
    </w:p>
    <w:p>
      <w:pPr>
        <w:sectPr>
          <w:pgSz w:w="11900" w:h="16838" w:orient="portrait"/>
          <w:cols w:equalWidth="0" w:num="1">
            <w:col w:w="11340"/>
          </w:cols>
          <w:pgMar w:left="240" w:top="280" w:right="31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and foreign currency fluctuations. The Company regularly assesses these risks and has established policies and business practices to protect against the adverse effects of these and other potential exposures.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utilizes cash from operations and the Amended Credit Facility to fund its working capital needs. The Amended Credit Facility is not used for trading or speculative purposes. In addition, the Company has available letters of credit as sources of financing for its working capital requirements. Borrowings under the Amended Credit Facility, which expires in October 29, 2007, bear interest at variable rates based on Bank of America’s prime rate or the London Interbank Offering Rate (“LIBOR”). At July 29, 2006, the prime interest rate on borrowings was 8.25% and the Company had no outstanding LIBOR contracts. Based upon a sensitivity analysis as of July 29, 2006, assuming average outstanding borrowing during fiscal 2006 of $2.2 million, a 50 basis point increase in the prime based interest rates would have resulted in a potential increase in interest expense of approximately $11,000.</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Sears Canada store locations conduct business in Canadian dollars and the Company’s Rochester Big &amp; Tall Clothing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to U.S. dollars may decline. As of July 29, 2006, sales from the Company’s Sears Canada stores and its London Rochester Big &amp; Tall store were immaterial to consolidated sales. As such, the Company believes that movement in foreign currency exchange rates will not have a material adverse affect on the financial position or results of operations of the Company.</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July 29, 2006.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the Company’s Chief Executive Officer and Chief Financial Officer concluded that, as of July 29, 2006,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No change in the Company’s internal control over financial reporting (as defined in Rules 13a-15(f) and 15d-15(f) under the Exchange Act) occurred during the quarter ended July 29, 2006 that has materially affected, or is reasonably likely to materially affect, the Company’s internal control over financial reporting.</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We are subject to various legal proceedings and claims that may arise in the ordinary course of business. We believe that the resolution of these matters will not have an adverse impact on our results of operations or our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the Company’s Annual Report on Form 10-K for the year ended January 28, 2006 filed with the SEC on March 31 2006.</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share repurchase activity for the three months ended July 29,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(b)</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(c)</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Maximum Number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 Number of</w:t>
            </w:r>
          </w:p>
        </w:tc>
        <w:tc>
          <w:tcPr>
            <w:tcW w:w="260" w:type="dxa"/>
            <w:vAlign w:val="bottom"/>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Total Number</w:t>
            </w:r>
          </w:p>
        </w:tc>
        <w:tc>
          <w:tcPr>
            <w:tcW w:w="240" w:type="dxa"/>
            <w:vAlign w:val="bottom"/>
          </w:tcPr>
          <w:p>
            <w:pPr>
              <w:spacing w:after="0"/>
              <w:rPr>
                <w:sz w:val="15"/>
                <w:szCs w:val="15"/>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Average Price</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Shares Purchased as</w:t>
            </w:r>
          </w:p>
        </w:tc>
        <w:tc>
          <w:tcPr>
            <w:tcW w:w="260" w:type="dxa"/>
            <w:vAlign w:val="bottom"/>
          </w:tcPr>
          <w:p>
            <w:pPr>
              <w:spacing w:after="0"/>
              <w:rPr>
                <w:sz w:val="15"/>
                <w:szCs w:val="15"/>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4"/>
              </w:rPr>
              <w:t>of 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0"/>
              </w:rPr>
              <w:t>Paid per</w:t>
            </w:r>
          </w:p>
        </w:tc>
        <w:tc>
          <w:tcPr>
            <w:tcW w:w="1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Part of Publicly</w:t>
            </w:r>
          </w:p>
        </w:tc>
        <w:tc>
          <w:tcPr>
            <w:tcW w:w="260" w:type="dxa"/>
            <w:vAlign w:val="bottom"/>
          </w:tcPr>
          <w:p>
            <w:pPr>
              <w:spacing w:after="0"/>
              <w:rPr>
                <w:sz w:val="11"/>
                <w:szCs w:val="11"/>
                <w:color w:val="auto"/>
              </w:rPr>
            </w:pPr>
          </w:p>
        </w:tc>
        <w:tc>
          <w:tcPr>
            <w:tcW w:w="114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88"/>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gridSpan w:val="2"/>
          </w:tcPr>
          <w:p>
            <w:pPr>
              <w:jc w:val="center"/>
              <w:ind w:right="260"/>
              <w:spacing w:after="0" w:line="182" w:lineRule="exact"/>
              <w:rPr>
                <w:sz w:val="20"/>
                <w:szCs w:val="20"/>
                <w:color w:val="auto"/>
              </w:rPr>
            </w:pPr>
            <w:r>
              <w:rPr>
                <w:rFonts w:ascii="Arial" w:cs="Arial" w:eastAsia="Arial" w:hAnsi="Arial"/>
                <w:sz w:val="13"/>
                <w:szCs w:val="13"/>
                <w:b w:val="1"/>
                <w:bCs w:val="1"/>
                <w:color w:val="auto"/>
                <w:w w:val="87"/>
              </w:rPr>
              <w:t xml:space="preserve">Purchased </w:t>
            </w:r>
            <w:r>
              <w:rPr>
                <w:rFonts w:ascii="Arial" w:cs="Arial" w:eastAsia="Arial" w:hAnsi="Arial"/>
                <w:sz w:val="21"/>
                <w:szCs w:val="21"/>
                <w:b w:val="1"/>
                <w:bCs w:val="1"/>
                <w:color w:val="auto"/>
                <w:w w:val="87"/>
                <w:vertAlign w:val="superscript"/>
              </w:rPr>
              <w:t>(2)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Share</w:t>
            </w:r>
          </w:p>
        </w:tc>
        <w:tc>
          <w:tcPr>
            <w:tcW w:w="1420" w:type="dxa"/>
            <w:vAlign w:val="bottom"/>
            <w:gridSpan w:val="2"/>
          </w:tcPr>
          <w:p>
            <w:pPr>
              <w:jc w:val="center"/>
              <w:ind w:right="260"/>
              <w:spacing w:after="0" w:line="182" w:lineRule="exact"/>
              <w:rPr>
                <w:sz w:val="20"/>
                <w:szCs w:val="20"/>
                <w:color w:val="auto"/>
              </w:rPr>
            </w:pPr>
            <w:r>
              <w:rPr>
                <w:rFonts w:ascii="Arial" w:cs="Arial" w:eastAsia="Arial" w:hAnsi="Arial"/>
                <w:sz w:val="13"/>
                <w:szCs w:val="13"/>
                <w:b w:val="1"/>
                <w:bCs w:val="1"/>
                <w:color w:val="auto"/>
                <w:w w:val="90"/>
              </w:rPr>
              <w:t xml:space="preserve">Announced Plan </w:t>
            </w:r>
            <w:r>
              <w:rPr>
                <w:rFonts w:ascii="Arial" w:cs="Arial" w:eastAsia="Arial" w:hAnsi="Arial"/>
                <w:sz w:val="21"/>
                <w:szCs w:val="21"/>
                <w:b w:val="1"/>
                <w:bCs w:val="1"/>
                <w:color w:val="auto"/>
                <w:w w:val="90"/>
                <w:vertAlign w:val="superscript"/>
              </w:rPr>
              <w:t>(1)</w:t>
            </w:r>
          </w:p>
        </w:tc>
        <w:tc>
          <w:tcPr>
            <w:tcW w:w="260" w:type="dxa"/>
            <w:vAlign w:val="bottom"/>
          </w:tcPr>
          <w:p>
            <w:pPr>
              <w:spacing w:after="0"/>
              <w:rPr>
                <w:sz w:val="16"/>
                <w:szCs w:val="16"/>
                <w:color w:val="auto"/>
              </w:rPr>
            </w:pPr>
          </w:p>
        </w:tc>
        <w:tc>
          <w:tcPr>
            <w:tcW w:w="1140" w:type="dxa"/>
            <w:vAlign w:val="bottom"/>
            <w:gridSpan w:val="3"/>
          </w:tcPr>
          <w:p>
            <w:pPr>
              <w:jc w:val="center"/>
              <w:ind w:right="20"/>
              <w:spacing w:after="0" w:line="182" w:lineRule="exact"/>
              <w:rPr>
                <w:sz w:val="20"/>
                <w:szCs w:val="20"/>
                <w:color w:val="auto"/>
              </w:rPr>
            </w:pPr>
            <w:r>
              <w:rPr>
                <w:rFonts w:ascii="Arial" w:cs="Arial" w:eastAsia="Arial" w:hAnsi="Arial"/>
                <w:sz w:val="13"/>
                <w:szCs w:val="13"/>
                <w:b w:val="1"/>
                <w:bCs w:val="1"/>
                <w:color w:val="auto"/>
                <w:w w:val="92"/>
              </w:rPr>
              <w:t xml:space="preserve">Under the Plan </w:t>
            </w:r>
            <w:r>
              <w:rPr>
                <w:rFonts w:ascii="Arial" w:cs="Arial" w:eastAsia="Arial" w:hAnsi="Arial"/>
                <w:sz w:val="21"/>
                <w:szCs w:val="21"/>
                <w:b w:val="1"/>
                <w:bCs w:val="1"/>
                <w:color w:val="auto"/>
                <w:w w:val="92"/>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30, 2006 – May 27, 2006</w:t>
            </w:r>
          </w:p>
        </w:tc>
        <w:tc>
          <w:tcPr>
            <w:tcW w:w="5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May 28, 2006 – July 1, 2006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1,349,712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9.74</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1,349,712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16,858,112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2006 – July 29, 2006</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1,349,712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9.74</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1,349,712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16,858,112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On June 7, 2006, the Company publicly announced a $30 million stock repurchase program.</w:t>
      </w:r>
    </w:p>
    <w:p>
      <w:pPr>
        <w:spacing w:after="0" w:line="62" w:lineRule="exact"/>
        <w:rPr>
          <w:rFonts w:ascii="Arial" w:cs="Arial" w:eastAsia="Arial" w:hAnsi="Arial"/>
          <w:sz w:val="22"/>
          <w:szCs w:val="22"/>
          <w:color w:val="auto"/>
          <w:vertAlign w:val="superscript"/>
        </w:rPr>
      </w:pPr>
    </w:p>
    <w:p>
      <w:pPr>
        <w:ind w:left="460" w:hanging="452"/>
        <w:spacing w:after="0" w:line="222" w:lineRule="auto"/>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Share repurchases under the program were made pursuant to open-market purchases.</w:t>
      </w:r>
    </w:p>
    <w:p>
      <w:pPr>
        <w:spacing w:after="0" w:line="2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During the second quarter of fiscal 2006, the Company notified George Foreman Productions, Inc. that it would not be exercising its option to extend its License Agreement, Endorsement Agreement and Footwear Agreement when the initial terms expire December 31, 2006.</w:t>
      </w:r>
    </w:p>
    <w:p>
      <w:pPr>
        <w:sectPr>
          <w:pgSz w:w="11900" w:h="16838" w:orient="portrait"/>
          <w:cols w:equalWidth="0" w:num="1">
            <w:col w:w="11420"/>
          </w:cols>
          <w:pgMar w:left="240" w:top="274" w:right="2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Casual Male Retail Group, Inc. 2006 Incentive Compensation Plan.</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Non-Qualified Stock Option Agreement for the Chairman and Executive Officers.</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Incentive Stock Option Agreement for the Chairman and Executive Officers.</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Non-Qualified Stock Option Agreement for Non-Employee Directors.</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Preferability Letter from Ernst &amp; Young LLP, Independent Public Accounting Firm.</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19"/>
                <w:szCs w:val="19"/>
                <w:color w:val="auto"/>
              </w:rPr>
            </w:pPr>
          </w:p>
        </w:tc>
        <w:tc>
          <w:tcPr>
            <w:tcW w:w="7600" w:type="dxa"/>
            <w:vAlign w:val="bottom"/>
            <w:gridSpan w:val="2"/>
          </w:tcPr>
          <w:p>
            <w:pPr>
              <w:ind w:left="2220"/>
              <w:spacing w:after="0"/>
              <w:rPr>
                <w:sz w:val="20"/>
                <w:szCs w:val="20"/>
                <w:color w:val="auto"/>
              </w:rPr>
            </w:pPr>
            <w:r>
              <w:rPr>
                <w:rFonts w:ascii="Arial" w:cs="Arial" w:eastAsia="Arial" w:hAnsi="Arial"/>
                <w:sz w:val="18"/>
                <w:szCs w:val="18"/>
                <w:color w:val="auto"/>
              </w:rPr>
              <w:t>CASUAL MALE RETAIL GROUP, INC.</w:t>
            </w:r>
          </w:p>
        </w:tc>
      </w:tr>
      <w:tr>
        <w:trPr>
          <w:trHeight w:val="433"/>
        </w:trPr>
        <w:tc>
          <w:tcPr>
            <w:tcW w:w="3820" w:type="dxa"/>
            <w:vAlign w:val="bottom"/>
          </w:tcPr>
          <w:p>
            <w:pPr>
              <w:spacing w:after="0"/>
              <w:rPr>
                <w:sz w:val="20"/>
                <w:szCs w:val="20"/>
                <w:color w:val="auto"/>
              </w:rPr>
            </w:pPr>
            <w:r>
              <w:rPr>
                <w:rFonts w:ascii="Arial" w:cs="Arial" w:eastAsia="Arial" w:hAnsi="Arial"/>
                <w:sz w:val="18"/>
                <w:szCs w:val="18"/>
                <w:color w:val="auto"/>
              </w:rPr>
              <w:t>Date: August 18, 2006</w:t>
            </w:r>
          </w:p>
        </w:tc>
        <w:tc>
          <w:tcPr>
            <w:tcW w:w="7600" w:type="dxa"/>
            <w:vAlign w:val="bottom"/>
            <w:gridSpan w:val="2"/>
          </w:tcPr>
          <w:p>
            <w:pPr>
              <w:ind w:left="2220"/>
              <w:spacing w:after="0"/>
              <w:rPr>
                <w:sz w:val="20"/>
                <w:szCs w:val="20"/>
                <w:color w:val="auto"/>
              </w:rPr>
            </w:pPr>
            <w:r>
              <w:rPr>
                <w:rFonts w:ascii="Arial" w:cs="Arial" w:eastAsia="Arial" w:hAnsi="Arial"/>
                <w:sz w:val="18"/>
                <w:szCs w:val="18"/>
                <w:color w:val="auto"/>
              </w:rPr>
              <w:t>By:  /s/ DENNIS R. HERNREICH</w:t>
            </w:r>
          </w:p>
        </w:tc>
      </w:tr>
      <w:tr>
        <w:trPr>
          <w:trHeight w:val="202"/>
        </w:trPr>
        <w:tc>
          <w:tcPr>
            <w:tcW w:w="3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27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CASUAL MALE RETAIL GROUP,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2006 INCENTIVE COMPENSATION PLAN</w:t>
      </w:r>
    </w:p>
    <w:p>
      <w:pPr>
        <w:sectPr>
          <w:pgSz w:w="11900" w:h="16838" w:orient="portrait"/>
          <w:cols w:equalWidth="0" w:num="1">
            <w:col w:w="10220"/>
          </w:cols>
          <w:pgMar w:left="1440" w:top="12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740" w:type="dxa"/>
            <w:vAlign w:val="bottom"/>
          </w:tcPr>
          <w:p>
            <w:pPr>
              <w:jc w:val="right"/>
              <w:ind w:right="4052"/>
              <w:spacing w:after="0"/>
              <w:rPr>
                <w:sz w:val="20"/>
                <w:szCs w:val="20"/>
                <w:color w:val="auto"/>
              </w:rPr>
            </w:pPr>
            <w:r>
              <w:rPr>
                <w:rFonts w:ascii="Arial" w:cs="Arial" w:eastAsia="Arial" w:hAnsi="Arial"/>
                <w:sz w:val="18"/>
                <w:szCs w:val="18"/>
                <w:b w:val="1"/>
                <w:bCs w:val="1"/>
                <w:color w:val="auto"/>
              </w:rPr>
              <w:t>CASUAL MALE RETAIL GROUP, INC.</w:t>
            </w:r>
          </w:p>
        </w:tc>
      </w:tr>
      <w:tr>
        <w:trPr>
          <w:trHeight w:val="378"/>
        </w:trPr>
        <w:tc>
          <w:tcPr>
            <w:tcW w:w="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740" w:type="dxa"/>
            <w:vAlign w:val="bottom"/>
          </w:tcPr>
          <w:p>
            <w:pPr>
              <w:jc w:val="right"/>
              <w:ind w:right="3912"/>
              <w:spacing w:after="0"/>
              <w:rPr>
                <w:sz w:val="20"/>
                <w:szCs w:val="20"/>
                <w:color w:val="auto"/>
              </w:rPr>
            </w:pPr>
            <w:r>
              <w:rPr>
                <w:rFonts w:ascii="Arial" w:cs="Arial" w:eastAsia="Arial" w:hAnsi="Arial"/>
                <w:sz w:val="18"/>
                <w:szCs w:val="18"/>
                <w:b w:val="1"/>
                <w:bCs w:val="1"/>
                <w:color w:val="auto"/>
              </w:rPr>
              <w:t>2006 INCENTIVE COMPENSATION PLAN</w:t>
            </w:r>
          </w:p>
        </w:tc>
      </w:tr>
      <w:tr>
        <w:trPr>
          <w:trHeight w:val="419"/>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Purpose</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Definitions</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Administration</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Shares Subject to Plan</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5"/>
              </w:rPr>
              <w:t>Eligibility; Per-Person Award Limitations</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Specific Terms of Awards</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5"/>
              </w:rPr>
              <w:t>Certain Provisions Applicable to Awards</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Code Section 162(m) Provisions</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Change in Control</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3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General Provisions</w:t>
            </w:r>
          </w:p>
        </w:tc>
        <w:tc>
          <w:tcPr>
            <w:tcW w:w="7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18</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INCENTIVE COMPENSATION PLAN</w:t>
      </w:r>
    </w:p>
    <w:p>
      <w:pPr>
        <w:spacing w:after="0" w:line="177" w:lineRule="exact"/>
        <w:rPr>
          <w:sz w:val="20"/>
          <w:szCs w:val="20"/>
          <w:color w:val="auto"/>
        </w:rPr>
      </w:pPr>
    </w:p>
    <w:p>
      <w:pPr>
        <w:ind w:right="40" w:firstLine="464"/>
        <w:spacing w:after="0" w:line="254"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this CASUAL MALE RETAIL GROUP, INC. 2006 INCENTIVE COMPENSATION PLAN (the “Plan”) is to assist CASUAL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MALE RETAIL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For purposes of the Plan, the following terms shall be defined as set forth below, in addition to such terms defined in Section 1 hereof.</w:t>
      </w:r>
    </w:p>
    <w:p>
      <w:pPr>
        <w:spacing w:after="0" w:line="113" w:lineRule="exact"/>
        <w:rPr>
          <w:rFonts w:ascii="Arial" w:cs="Arial" w:eastAsia="Arial" w:hAnsi="Arial"/>
          <w:sz w:val="16"/>
          <w:szCs w:val="16"/>
          <w:color w:val="auto"/>
        </w:rPr>
      </w:pPr>
    </w:p>
    <w:p>
      <w:pPr>
        <w:ind w:firstLine="921"/>
        <w:spacing w:after="0" w:line="259" w:lineRule="auto"/>
        <w:tabs>
          <w:tab w:leader="none" w:pos="11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 by the Committee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4" w:lineRule="exact"/>
        <w:rPr>
          <w:rFonts w:ascii="Arial" w:cs="Arial" w:eastAsia="Arial" w:hAnsi="Arial"/>
          <w:sz w:val="16"/>
          <w:szCs w:val="16"/>
          <w:color w:val="auto"/>
        </w:rPr>
      </w:pPr>
    </w:p>
    <w:p>
      <w:pPr>
        <w:ind w:right="240" w:firstLine="921"/>
        <w:spacing w:after="0" w:line="323" w:lineRule="auto"/>
        <w:tabs>
          <w:tab w:leader="none" w:pos="1152" w:val="left"/>
        </w:tabs>
        <w:numPr>
          <w:ilvl w:val="1"/>
          <w:numId w:val="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Beneficiary</w:t>
      </w:r>
      <w:r>
        <w:rPr>
          <w:rFonts w:ascii="Arial" w:cs="Arial" w:eastAsia="Arial" w:hAnsi="Arial"/>
          <w:sz w:val="15"/>
          <w:szCs w:val="15"/>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97" w:lineRule="exact"/>
        <w:rPr>
          <w:rFonts w:ascii="Arial" w:cs="Arial" w:eastAsia="Arial" w:hAnsi="Arial"/>
          <w:sz w:val="15"/>
          <w:szCs w:val="15"/>
          <w:color w:val="auto"/>
        </w:rPr>
      </w:pPr>
    </w:p>
    <w:p>
      <w:pPr>
        <w:ind w:left="1160" w:hanging="239"/>
        <w:spacing w:after="0"/>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13d-3 under the Exchange Act and any successor to such Rule.</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71" w:lineRule="exact"/>
        <w:rPr>
          <w:rFonts w:ascii="Arial" w:cs="Arial" w:eastAsia="Arial" w:hAnsi="Arial"/>
          <w:sz w:val="18"/>
          <w:szCs w:val="18"/>
          <w:color w:val="auto"/>
        </w:rPr>
      </w:pPr>
    </w:p>
    <w:p>
      <w:pPr>
        <w:ind w:right="60" w:firstLine="921"/>
        <w:spacing w:after="0" w:line="254" w:lineRule="auto"/>
        <w:tabs>
          <w:tab w:leader="none" w:pos="11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w:t>
      </w:r>
    </w:p>
    <w:p>
      <w:pPr>
        <w:sectPr>
          <w:pgSz w:w="11900" w:h="16838" w:orient="portrait"/>
          <w:cols w:equalWidth="0" w:num="1">
            <w:col w:w="11420"/>
          </w:cols>
          <w:pgMar w:left="240" w:top="274" w:right="239" w:bottom="1440" w:gutter="0" w:footer="0" w:header="0"/>
        </w:sectPr>
      </w:pPr>
    </w:p>
    <w:bookmarkStart w:id="27" w:name="page28"/>
    <w:bookmarkEnd w:id="2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16" w:lineRule="exact"/>
        <w:rPr>
          <w:sz w:val="20"/>
          <w:szCs w:val="20"/>
          <w:color w:val="auto"/>
        </w:rPr>
      </w:pPr>
    </w:p>
    <w:p>
      <w:pPr>
        <w:ind w:left="1160" w:hanging="239"/>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71" w:lineRule="exact"/>
        <w:rPr>
          <w:rFonts w:ascii="Arial" w:cs="Arial" w:eastAsia="Arial" w:hAnsi="Arial"/>
          <w:sz w:val="18"/>
          <w:szCs w:val="18"/>
          <w:color w:val="auto"/>
        </w:rPr>
      </w:pPr>
    </w:p>
    <w:p>
      <w:pPr>
        <w:ind w:right="60" w:firstLine="921"/>
        <w:spacing w:after="0" w:line="268" w:lineRule="auto"/>
        <w:tabs>
          <w:tab w:leader="none" w:pos="1162"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31" w:lineRule="exact"/>
        <w:rPr>
          <w:rFonts w:ascii="Arial" w:cs="Arial" w:eastAsia="Arial" w:hAnsi="Arial"/>
          <w:sz w:val="18"/>
          <w:szCs w:val="18"/>
          <w:color w:val="auto"/>
        </w:rPr>
      </w:pPr>
    </w:p>
    <w:p>
      <w:pPr>
        <w:ind w:firstLine="921"/>
        <w:spacing w:after="0" w:line="294" w:lineRule="auto"/>
        <w:tabs>
          <w:tab w:leader="none" w:pos="1123"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w:t>
      </w:r>
    </w:p>
    <w:p>
      <w:pPr>
        <w:spacing w:after="0" w:line="115" w:lineRule="exact"/>
        <w:rPr>
          <w:rFonts w:ascii="Arial" w:cs="Arial" w:eastAsia="Arial" w:hAnsi="Arial"/>
          <w:sz w:val="16"/>
          <w:szCs w:val="16"/>
          <w:color w:val="auto"/>
        </w:rPr>
      </w:pPr>
    </w:p>
    <w:p>
      <w:pPr>
        <w:ind w:right="280" w:firstLine="921"/>
        <w:spacing w:after="0" w:line="332" w:lineRule="auto"/>
        <w:tabs>
          <w:tab w:leader="none" w:pos="1123"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85" w:lineRule="exact"/>
        <w:rPr>
          <w:rFonts w:ascii="Arial" w:cs="Arial" w:eastAsia="Arial" w:hAnsi="Arial"/>
          <w:sz w:val="16"/>
          <w:szCs w:val="16"/>
          <w:color w:val="auto"/>
        </w:rPr>
      </w:pPr>
    </w:p>
    <w:p>
      <w:pPr>
        <w:ind w:right="440" w:firstLine="921"/>
        <w:spacing w:after="0" w:line="305" w:lineRule="auto"/>
        <w:tabs>
          <w:tab w:leader="none" w:pos="1162" w:val="left"/>
        </w:tabs>
        <w:numPr>
          <w:ilvl w:val="1"/>
          <w:numId w:val="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transfers among the Company, any Related Entities, or any successor entities, in any capacity of Employee, Director, Consultant or other service provider, or</w:t>
      </w:r>
    </w:p>
    <w:p>
      <w:pPr>
        <w:spacing w:after="0" w:line="32" w:lineRule="exact"/>
        <w:rPr>
          <w:rFonts w:ascii="Arial" w:cs="Arial" w:eastAsia="Arial" w:hAnsi="Arial"/>
          <w:sz w:val="16"/>
          <w:szCs w:val="16"/>
          <w:color w:val="auto"/>
        </w:rPr>
      </w:pPr>
    </w:p>
    <w:p>
      <w:pPr>
        <w:jc w:val="both"/>
        <w:ind w:firstLine="8"/>
        <w:spacing w:after="0" w:line="255" w:lineRule="auto"/>
        <w:tabs>
          <w:tab w:leader="none" w:pos="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44" w:lineRule="exact"/>
        <w:rPr>
          <w:rFonts w:ascii="Arial" w:cs="Arial" w:eastAsia="Arial" w:hAnsi="Arial"/>
          <w:sz w:val="18"/>
          <w:szCs w:val="18"/>
          <w:color w:val="auto"/>
        </w:rPr>
      </w:pPr>
    </w:p>
    <w:p>
      <w:pPr>
        <w:ind w:right="500" w:firstLine="921"/>
        <w:spacing w:after="0" w:line="268" w:lineRule="auto"/>
        <w:tabs>
          <w:tab w:leader="none" w:pos="11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31" w:lineRule="exact"/>
        <w:rPr>
          <w:rFonts w:ascii="Arial" w:cs="Arial" w:eastAsia="Arial" w:hAnsi="Arial"/>
          <w:sz w:val="18"/>
          <w:szCs w:val="18"/>
          <w:color w:val="auto"/>
        </w:rPr>
      </w:pPr>
    </w:p>
    <w:p>
      <w:pPr>
        <w:ind w:right="180" w:firstLine="921"/>
        <w:spacing w:after="0" w:line="268" w:lineRule="auto"/>
        <w:tabs>
          <w:tab w:leader="none" w:pos="12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8" w:name="page29"/>
    <w:bookmarkEnd w:id="28"/>
    <w:p>
      <w:pPr>
        <w:ind w:left="1140" w:hanging="239"/>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71" w:lineRule="exact"/>
        <w:rPr>
          <w:rFonts w:ascii="Arial" w:cs="Arial" w:eastAsia="Arial" w:hAnsi="Arial"/>
          <w:sz w:val="18"/>
          <w:szCs w:val="18"/>
          <w:color w:val="auto"/>
        </w:rPr>
      </w:pPr>
    </w:p>
    <w:p>
      <w:pPr>
        <w:ind w:left="-20" w:right="580" w:firstLine="921"/>
        <w:spacing w:after="0" w:line="268" w:lineRule="auto"/>
        <w:tabs>
          <w:tab w:leader="none" w:pos="114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31" w:lineRule="exact"/>
        <w:rPr>
          <w:rFonts w:ascii="Arial" w:cs="Arial" w:eastAsia="Arial" w:hAnsi="Arial"/>
          <w:sz w:val="18"/>
          <w:szCs w:val="18"/>
          <w:color w:val="auto"/>
        </w:rPr>
      </w:pPr>
    </w:p>
    <w:p>
      <w:pPr>
        <w:ind w:left="-20" w:right="100" w:firstLine="921"/>
        <w:spacing w:after="0" w:line="268" w:lineRule="auto"/>
        <w:tabs>
          <w:tab w:leader="none" w:pos="114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31" w:lineRule="exact"/>
        <w:rPr>
          <w:rFonts w:ascii="Arial" w:cs="Arial" w:eastAsia="Arial" w:hAnsi="Arial"/>
          <w:sz w:val="18"/>
          <w:szCs w:val="18"/>
          <w:color w:val="auto"/>
        </w:rPr>
      </w:pPr>
    </w:p>
    <w:p>
      <w:pPr>
        <w:ind w:left="1120" w:hanging="21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171" w:lineRule="exact"/>
        <w:rPr>
          <w:rFonts w:ascii="Arial" w:cs="Arial" w:eastAsia="Arial" w:hAnsi="Arial"/>
          <w:sz w:val="18"/>
          <w:szCs w:val="18"/>
          <w:color w:val="auto"/>
        </w:rPr>
      </w:pPr>
    </w:p>
    <w:p>
      <w:pPr>
        <w:ind w:left="-20" w:right="140" w:firstLine="921"/>
        <w:spacing w:after="0" w:line="298" w:lineRule="auto"/>
        <w:tabs>
          <w:tab w:leader="none" w:pos="11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Person</w:t>
      </w:r>
      <w:r>
        <w:rPr>
          <w:rFonts w:ascii="Arial" w:cs="Arial" w:eastAsia="Arial" w:hAnsi="Arial"/>
          <w:sz w:val="16"/>
          <w:szCs w:val="16"/>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112" w:lineRule="exact"/>
        <w:rPr>
          <w:rFonts w:ascii="Arial" w:cs="Arial" w:eastAsia="Arial" w:hAnsi="Arial"/>
          <w:sz w:val="16"/>
          <w:szCs w:val="16"/>
          <w:color w:val="auto"/>
        </w:rPr>
      </w:pPr>
    </w:p>
    <w:p>
      <w:pPr>
        <w:ind w:left="-20" w:right="300" w:firstLine="921"/>
        <w:spacing w:after="0" w:line="268" w:lineRule="auto"/>
        <w:tabs>
          <w:tab w:leader="none" w:pos="11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31" w:lineRule="exact"/>
        <w:rPr>
          <w:rFonts w:ascii="Arial" w:cs="Arial" w:eastAsia="Arial" w:hAnsi="Arial"/>
          <w:sz w:val="18"/>
          <w:szCs w:val="18"/>
          <w:color w:val="auto"/>
        </w:rPr>
      </w:pPr>
    </w:p>
    <w:p>
      <w:pPr>
        <w:ind w:left="-20" w:right="40" w:firstLine="921"/>
        <w:spacing w:after="0" w:line="268" w:lineRule="auto"/>
        <w:tabs>
          <w:tab w:leader="none" w:pos="114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31" w:lineRule="exact"/>
        <w:rPr>
          <w:rFonts w:ascii="Arial" w:cs="Arial" w:eastAsia="Arial" w:hAnsi="Arial"/>
          <w:sz w:val="18"/>
          <w:szCs w:val="18"/>
          <w:color w:val="auto"/>
        </w:rPr>
      </w:pPr>
    </w:p>
    <w:p>
      <w:pPr>
        <w:jc w:val="both"/>
        <w:ind w:left="-20" w:right="280" w:firstLine="921"/>
        <w:spacing w:after="0" w:line="323" w:lineRule="auto"/>
        <w:tabs>
          <w:tab w:leader="none" w:pos="1142" w:val="left"/>
        </w:tabs>
        <w:numPr>
          <w:ilvl w:val="0"/>
          <w:numId w:val="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Fair Market Value</w:t>
      </w:r>
      <w:r>
        <w:rPr>
          <w:rFonts w:ascii="Arial" w:cs="Arial" w:eastAsia="Arial" w:hAnsi="Arial"/>
          <w:sz w:val="15"/>
          <w:szCs w:val="15"/>
          <w:color w:val="auto"/>
        </w:rPr>
        <w:t>” means the fair market value of Shares, Awards or other property as determined by the Committee, or under procedures established by the Committee. Unless otherwise 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97" w:lineRule="exact"/>
        <w:rPr>
          <w:rFonts w:ascii="Arial" w:cs="Arial" w:eastAsia="Arial" w:hAnsi="Arial"/>
          <w:sz w:val="15"/>
          <w:szCs w:val="15"/>
          <w:color w:val="auto"/>
        </w:rPr>
      </w:pPr>
    </w:p>
    <w:p>
      <w:pPr>
        <w:ind w:left="-20" w:firstLine="921"/>
        <w:spacing w:after="0" w:line="25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9" w:name="page30"/>
    <w:bookmarkEnd w:id="2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20" w:lineRule="exact"/>
        <w:rPr>
          <w:sz w:val="20"/>
          <w:szCs w:val="20"/>
          <w:color w:val="auto"/>
        </w:rPr>
      </w:pPr>
    </w:p>
    <w:p>
      <w:pPr>
        <w:ind w:right="360" w:firstLine="921"/>
        <w:spacing w:after="0" w:line="268"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31"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of the Plan.</w:t>
      </w:r>
    </w:p>
    <w:p>
      <w:pPr>
        <w:spacing w:after="0" w:line="171" w:lineRule="exact"/>
        <w:rPr>
          <w:sz w:val="20"/>
          <w:szCs w:val="20"/>
          <w:color w:val="auto"/>
        </w:rPr>
      </w:pPr>
    </w:p>
    <w:p>
      <w:pPr>
        <w:ind w:right="560" w:firstLine="921"/>
        <w:spacing w:after="0" w:line="332" w:lineRule="auto"/>
        <w:tabs>
          <w:tab w:leader="none" w:pos="12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 right granted to a Participant under Section 6(b) hereof, to purchase Shares or other Awards at a specified price during specified time periods.</w:t>
      </w:r>
    </w:p>
    <w:p>
      <w:pPr>
        <w:spacing w:after="0" w:line="85" w:lineRule="exact"/>
        <w:rPr>
          <w:rFonts w:ascii="Arial" w:cs="Arial" w:eastAsia="Arial" w:hAnsi="Arial"/>
          <w:sz w:val="16"/>
          <w:szCs w:val="16"/>
          <w:color w:val="auto"/>
        </w:rPr>
      </w:pPr>
    </w:p>
    <w:p>
      <w:pPr>
        <w:ind w:left="1260" w:hanging="339"/>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left="1240" w:hanging="319"/>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71" w:lineRule="exact"/>
        <w:rPr>
          <w:rFonts w:ascii="Arial" w:cs="Arial" w:eastAsia="Arial" w:hAnsi="Arial"/>
          <w:sz w:val="18"/>
          <w:szCs w:val="18"/>
          <w:color w:val="auto"/>
        </w:rPr>
      </w:pPr>
    </w:p>
    <w:p>
      <w:pPr>
        <w:ind w:right="160" w:firstLine="921"/>
        <w:spacing w:after="0" w:line="268" w:lineRule="auto"/>
        <w:tabs>
          <w:tab w:leader="none" w:pos="1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31" w:lineRule="exact"/>
        <w:rPr>
          <w:rFonts w:ascii="Arial" w:cs="Arial" w:eastAsia="Arial" w:hAnsi="Arial"/>
          <w:sz w:val="18"/>
          <w:szCs w:val="18"/>
          <w:color w:val="auto"/>
        </w:rPr>
      </w:pPr>
    </w:p>
    <w:p>
      <w:pPr>
        <w:ind w:left="1240" w:hanging="319"/>
        <w:spacing w:after="0"/>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shall mean any Award of Performance Shares or Performance Units granted pursuant to Section 6(h).</w:t>
      </w:r>
    </w:p>
    <w:p>
      <w:pPr>
        <w:spacing w:after="0" w:line="194" w:lineRule="exact"/>
        <w:rPr>
          <w:rFonts w:ascii="Arial" w:cs="Arial" w:eastAsia="Arial" w:hAnsi="Arial"/>
          <w:sz w:val="16"/>
          <w:szCs w:val="16"/>
          <w:color w:val="auto"/>
        </w:rPr>
      </w:pPr>
    </w:p>
    <w:p>
      <w:pPr>
        <w:ind w:right="180" w:firstLine="921"/>
        <w:spacing w:after="0" w:line="268" w:lineRule="auto"/>
        <w:tabs>
          <w:tab w:leader="none" w:pos="11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31" w:lineRule="exact"/>
        <w:rPr>
          <w:rFonts w:ascii="Arial" w:cs="Arial" w:eastAsia="Arial" w:hAnsi="Arial"/>
          <w:sz w:val="18"/>
          <w:szCs w:val="18"/>
          <w:color w:val="auto"/>
        </w:rPr>
      </w:pPr>
    </w:p>
    <w:p>
      <w:pPr>
        <w:ind w:right="80" w:firstLine="921"/>
        <w:spacing w:after="0" w:line="306" w:lineRule="auto"/>
        <w:tabs>
          <w:tab w:leader="none" w:pos="1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Share</w:t>
      </w:r>
      <w:r>
        <w:rPr>
          <w:rFonts w:ascii="Arial" w:cs="Arial" w:eastAsia="Arial" w:hAnsi="Arial"/>
          <w:sz w:val="16"/>
          <w:szCs w:val="16"/>
          <w:color w:val="auto"/>
        </w:rPr>
        <w:t>” means any grant pursuant to Section 6(h)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0" w:name="page31"/>
    <w:bookmarkEnd w:id="30"/>
    <w:p>
      <w:pPr>
        <w:ind w:left="-20" w:right="40" w:firstLine="921"/>
        <w:spacing w:after="0" w:line="256" w:lineRule="auto"/>
        <w:tabs>
          <w:tab w:leader="none" w:pos="1229"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43" w:lineRule="exact"/>
        <w:rPr>
          <w:rFonts w:ascii="Arial" w:cs="Arial" w:eastAsia="Arial" w:hAnsi="Arial"/>
          <w:sz w:val="18"/>
          <w:szCs w:val="18"/>
          <w:color w:val="auto"/>
        </w:rPr>
      </w:pPr>
    </w:p>
    <w:p>
      <w:pPr>
        <w:ind w:left="-20" w:right="100" w:firstLine="921"/>
        <w:spacing w:after="0" w:line="268" w:lineRule="auto"/>
        <w:tabs>
          <w:tab w:leader="none" w:pos="11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31" w:lineRule="exact"/>
        <w:rPr>
          <w:rFonts w:ascii="Arial" w:cs="Arial" w:eastAsia="Arial" w:hAnsi="Arial"/>
          <w:sz w:val="18"/>
          <w:szCs w:val="18"/>
          <w:color w:val="auto"/>
        </w:rPr>
      </w:pPr>
    </w:p>
    <w:p>
      <w:pPr>
        <w:ind w:left="1160" w:hanging="25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1992 Stock Incentive Plan, as amended.</w:t>
      </w:r>
    </w:p>
    <w:p>
      <w:pPr>
        <w:spacing w:after="0" w:line="171" w:lineRule="exact"/>
        <w:rPr>
          <w:rFonts w:ascii="Arial" w:cs="Arial" w:eastAsia="Arial" w:hAnsi="Arial"/>
          <w:sz w:val="18"/>
          <w:szCs w:val="18"/>
          <w:color w:val="auto"/>
        </w:rPr>
      </w:pPr>
    </w:p>
    <w:p>
      <w:pPr>
        <w:ind w:left="-20" w:right="440" w:firstLine="921"/>
        <w:spacing w:after="0" w:line="268" w:lineRule="auto"/>
        <w:tabs>
          <w:tab w:leader="none" w:pos="12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131" w:lineRule="exact"/>
        <w:rPr>
          <w:rFonts w:ascii="Arial" w:cs="Arial" w:eastAsia="Arial" w:hAnsi="Arial"/>
          <w:sz w:val="18"/>
          <w:szCs w:val="18"/>
          <w:color w:val="auto"/>
        </w:rPr>
      </w:pPr>
    </w:p>
    <w:p>
      <w:pPr>
        <w:ind w:left="-20" w:firstLine="921"/>
        <w:spacing w:after="0" w:line="256" w:lineRule="auto"/>
        <w:tabs>
          <w:tab w:leader="none" w:pos="11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43" w:lineRule="exact"/>
        <w:rPr>
          <w:rFonts w:ascii="Arial" w:cs="Arial" w:eastAsia="Arial" w:hAnsi="Arial"/>
          <w:sz w:val="18"/>
          <w:szCs w:val="18"/>
          <w:color w:val="auto"/>
        </w:rPr>
      </w:pPr>
    </w:p>
    <w:p>
      <w:pPr>
        <w:ind w:left="1340" w:hanging="439"/>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71" w:lineRule="exact"/>
        <w:rPr>
          <w:rFonts w:ascii="Arial" w:cs="Arial" w:eastAsia="Arial" w:hAnsi="Arial"/>
          <w:sz w:val="18"/>
          <w:szCs w:val="18"/>
          <w:color w:val="auto"/>
        </w:rPr>
      </w:pPr>
    </w:p>
    <w:p>
      <w:pPr>
        <w:ind w:left="-20" w:right="240" w:firstLine="921"/>
        <w:spacing w:after="0" w:line="268" w:lineRule="auto"/>
        <w:tabs>
          <w:tab w:leader="none" w:pos="12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31" w:lineRule="exact"/>
        <w:rPr>
          <w:rFonts w:ascii="Arial" w:cs="Arial" w:eastAsia="Arial" w:hAnsi="Arial"/>
          <w:sz w:val="18"/>
          <w:szCs w:val="18"/>
          <w:color w:val="auto"/>
        </w:rPr>
      </w:pPr>
    </w:p>
    <w:p>
      <w:pPr>
        <w:ind w:left="-20" w:right="300" w:firstLine="921"/>
        <w:spacing w:after="0" w:line="256" w:lineRule="auto"/>
        <w:tabs>
          <w:tab w:leader="none" w:pos="12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143" w:lineRule="exact"/>
        <w:rPr>
          <w:rFonts w:ascii="Arial" w:cs="Arial" w:eastAsia="Arial" w:hAnsi="Arial"/>
          <w:sz w:val="18"/>
          <w:szCs w:val="18"/>
          <w:color w:val="auto"/>
        </w:rPr>
      </w:pPr>
    </w:p>
    <w:p>
      <w:pPr>
        <w:ind w:left="-20" w:right="460" w:firstLine="921"/>
        <w:spacing w:after="0" w:line="268" w:lineRule="auto"/>
        <w:tabs>
          <w:tab w:leader="none" w:pos="12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10(c) hereof.</w:t>
      </w:r>
    </w:p>
    <w:p>
      <w:pPr>
        <w:spacing w:after="0" w:line="131" w:lineRule="exact"/>
        <w:rPr>
          <w:rFonts w:ascii="Arial" w:cs="Arial" w:eastAsia="Arial" w:hAnsi="Arial"/>
          <w:sz w:val="18"/>
          <w:szCs w:val="18"/>
          <w:color w:val="auto"/>
        </w:rPr>
      </w:pPr>
    </w:p>
    <w:p>
      <w:pPr>
        <w:ind w:left="1240" w:hanging="339"/>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71" w:lineRule="exact"/>
        <w:rPr>
          <w:rFonts w:ascii="Arial" w:cs="Arial" w:eastAsia="Arial" w:hAnsi="Arial"/>
          <w:sz w:val="18"/>
          <w:szCs w:val="18"/>
          <w:color w:val="auto"/>
        </w:rPr>
      </w:pPr>
    </w:p>
    <w:p>
      <w:pPr>
        <w:ind w:left="-20" w:right="60" w:firstLine="921"/>
        <w:spacing w:after="0" w:line="268" w:lineRule="auto"/>
        <w:tabs>
          <w:tab w:leader="none" w:pos="11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31" w:name="page32"/>
    <w:bookmarkEnd w:id="3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32" w:lineRule="exact"/>
        <w:rPr>
          <w:sz w:val="20"/>
          <w:szCs w:val="20"/>
          <w:color w:val="auto"/>
        </w:rPr>
      </w:pPr>
    </w:p>
    <w:p>
      <w:pPr>
        <w:jc w:val="both"/>
        <w:ind w:right="100" w:firstLine="921"/>
        <w:spacing w:after="0" w:line="306" w:lineRule="auto"/>
        <w:tabs>
          <w:tab w:leader="none" w:pos="12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7" w:lineRule="exact"/>
        <w:rPr>
          <w:rFonts w:ascii="Arial" w:cs="Arial" w:eastAsia="Arial" w:hAnsi="Arial"/>
          <w:sz w:val="16"/>
          <w:szCs w:val="16"/>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40" w:firstLine="921"/>
        <w:spacing w:after="0" w:line="288" w:lineRule="auto"/>
        <w:tabs>
          <w:tab w:leader="none" w:pos="1152" w:val="left"/>
        </w:tabs>
        <w:numPr>
          <w:ilvl w:val="1"/>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the Board elects to administer the Plan,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19" w:lineRule="exact"/>
        <w:rPr>
          <w:rFonts w:ascii="Arial" w:cs="Arial" w:eastAsia="Arial" w:hAnsi="Arial"/>
          <w:sz w:val="16"/>
          <w:szCs w:val="16"/>
          <w:color w:val="auto"/>
        </w:rPr>
      </w:pPr>
    </w:p>
    <w:p>
      <w:pPr>
        <w:ind w:firstLine="921"/>
        <w:spacing w:after="0" w:line="287" w:lineRule="auto"/>
        <w:tabs>
          <w:tab w:leader="none" w:pos="1161" w:val="left"/>
        </w:tabs>
        <w:numPr>
          <w:ilvl w:val="1"/>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 discretion on any matter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32" w:name="page33"/>
    <w:bookmarkEnd w:id="32"/>
    <w:p>
      <w:pPr>
        <w:ind w:left="-20" w:right="20" w:firstLine="921"/>
        <w:spacing w:after="0" w:line="294" w:lineRule="auto"/>
        <w:tabs>
          <w:tab w:leader="none" w:pos="1132" w:val="left"/>
        </w:tabs>
        <w:numPr>
          <w:ilvl w:val="1"/>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of Liability</w:t>
      </w:r>
      <w:r>
        <w:rPr>
          <w:rFonts w:ascii="Arial" w:cs="Arial" w:eastAsia="Arial" w:hAnsi="Arial"/>
          <w:sz w:val="16"/>
          <w:szCs w:val="16"/>
          <w:color w:val="auto"/>
        </w:rPr>
        <w:t>. The Committee and the Board, and each member thereof, shall be entitled to, in good faith, rely or act upon any report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96" w:lineRule="exact"/>
        <w:rPr>
          <w:rFonts w:ascii="Arial" w:cs="Arial" w:eastAsia="Arial" w:hAnsi="Arial"/>
          <w:sz w:val="16"/>
          <w:szCs w:val="16"/>
          <w:color w:val="auto"/>
        </w:rPr>
      </w:pPr>
    </w:p>
    <w:p>
      <w:pPr>
        <w:ind w:left="620" w:hanging="176"/>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20" w:right="20" w:firstLine="921"/>
        <w:spacing w:after="0" w:line="298" w:lineRule="auto"/>
        <w:tabs>
          <w:tab w:leader="none" w:pos="1132" w:val="left"/>
        </w:tabs>
        <w:numPr>
          <w:ilvl w:val="1"/>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Overall Number of Shares Available for Delivery Under Plan</w:t>
      </w:r>
      <w:r>
        <w:rPr>
          <w:rFonts w:ascii="Arial" w:cs="Arial" w:eastAsia="Arial" w:hAnsi="Arial"/>
          <w:sz w:val="16"/>
          <w:szCs w:val="16"/>
          <w:color w:val="auto"/>
        </w:rPr>
        <w:t>. Subject to adjustment as provided in Section 10(c) hereof, the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reserved and available for delivery under the Plan shall be 2,500,000; provided, however, that the maximum number of Shares issued or available for issuance under the Plan with respect to Awards other than Options and Stock Appreciation Rights shall not exceed 1,250,000. Any Shares delivered under the Plan may consist, in whole or in part, of authorized and unissued shares or treasury shares.</w:t>
      </w:r>
    </w:p>
    <w:p>
      <w:pPr>
        <w:spacing w:after="0" w:line="112" w:lineRule="exact"/>
        <w:rPr>
          <w:rFonts w:ascii="Arial" w:cs="Arial" w:eastAsia="Arial" w:hAnsi="Arial"/>
          <w:sz w:val="16"/>
          <w:szCs w:val="16"/>
          <w:color w:val="auto"/>
        </w:rPr>
      </w:pPr>
    </w:p>
    <w:p>
      <w:pPr>
        <w:ind w:left="-20" w:firstLine="921"/>
        <w:spacing w:after="0" w:line="254" w:lineRule="auto"/>
        <w:tabs>
          <w:tab w:leader="none" w:pos="1141"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of Limitation to Grants of Award. </w:t>
      </w:r>
      <w:r>
        <w:rPr>
          <w:rFonts w:ascii="Arial" w:cs="Arial" w:eastAsia="Arial" w:hAnsi="Arial"/>
          <w:sz w:val="18"/>
          <w:szCs w:val="18"/>
          <w:color w:val="auto"/>
        </w:rPr>
        <w:t>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or, 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225" w:lineRule="exact"/>
        <w:rPr>
          <w:rFonts w:ascii="Arial" w:cs="Arial" w:eastAsia="Arial" w:hAnsi="Arial"/>
          <w:sz w:val="18"/>
          <w:szCs w:val="18"/>
          <w:color w:val="auto"/>
        </w:rPr>
      </w:pPr>
    </w:p>
    <w:p>
      <w:pPr>
        <w:ind w:left="1140" w:hanging="239"/>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p>
    <w:p>
      <w:pPr>
        <w:spacing w:after="0" w:line="90" w:lineRule="exact"/>
        <w:rPr>
          <w:rFonts w:ascii="Arial" w:cs="Arial" w:eastAsia="Arial" w:hAnsi="Arial"/>
          <w:sz w:val="18"/>
          <w:szCs w:val="18"/>
          <w:color w:val="auto"/>
        </w:rPr>
      </w:pPr>
    </w:p>
    <w:p>
      <w:pPr>
        <w:ind w:left="-20" w:right="40" w:firstLine="1492"/>
        <w:spacing w:after="0" w:line="306" w:lineRule="auto"/>
        <w:tabs>
          <w:tab w:leader="none" w:pos="1673" w:val="left"/>
        </w:tabs>
        <w:numPr>
          <w:ilvl w:val="2"/>
          <w:numId w:val="26"/>
        </w:numPr>
        <w:rPr>
          <w:rFonts w:ascii="Arial" w:cs="Arial" w:eastAsia="Arial" w:hAnsi="Arial"/>
          <w:sz w:val="16"/>
          <w:szCs w:val="16"/>
          <w:color w:val="auto"/>
        </w:rPr>
      </w:pPr>
      <w:r>
        <w:rPr>
          <w:rFonts w:ascii="Arial" w:cs="Arial" w:eastAsia="Arial" w:hAnsi="Arial"/>
          <w:sz w:val="16"/>
          <w:szCs w:val="16"/>
          <w:color w:val="auto"/>
        </w:rPr>
        <w:t>If any Shares subject to an Award are forfeited, expire or otherwise terminate without issuance of such Shares, or any Award is settled for cash or otherwise does not result in the issuance of all or a portion of the Shares subject to such Award, the Shares shall, to the extent of such forfeiture, expiration, termination, cash settlement or non-issuance, again be available for Awards under the Plan, subject to Section 4(c)(v) below.</w:t>
      </w:r>
    </w:p>
    <w:p>
      <w:pPr>
        <w:spacing w:after="0" w:line="106" w:lineRule="exact"/>
        <w:rPr>
          <w:rFonts w:ascii="Arial" w:cs="Arial" w:eastAsia="Arial" w:hAnsi="Arial"/>
          <w:sz w:val="16"/>
          <w:szCs w:val="16"/>
          <w:color w:val="auto"/>
        </w:rPr>
      </w:pPr>
    </w:p>
    <w:p>
      <w:pPr>
        <w:ind w:left="-20" w:right="300" w:firstLine="1492"/>
        <w:spacing w:after="0" w:line="332" w:lineRule="auto"/>
        <w:tabs>
          <w:tab w:leader="none" w:pos="1722" w:val="left"/>
        </w:tabs>
        <w:numPr>
          <w:ilvl w:val="2"/>
          <w:numId w:val="26"/>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85" w:lineRule="exact"/>
        <w:rPr>
          <w:rFonts w:ascii="Arial" w:cs="Arial" w:eastAsia="Arial" w:hAnsi="Arial"/>
          <w:sz w:val="16"/>
          <w:szCs w:val="16"/>
          <w:color w:val="auto"/>
        </w:rPr>
      </w:pPr>
    </w:p>
    <w:p>
      <w:pPr>
        <w:ind w:left="-20" w:right="80" w:firstLine="1492"/>
        <w:spacing w:after="0" w:line="259" w:lineRule="auto"/>
        <w:tabs>
          <w:tab w:leader="none" w:pos="1771" w:val="left"/>
        </w:tabs>
        <w:numPr>
          <w:ilvl w:val="2"/>
          <w:numId w:val="26"/>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33" w:name="page34"/>
    <w:bookmarkEnd w:id="3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20" w:lineRule="exact"/>
        <w:rPr>
          <w:sz w:val="20"/>
          <w:szCs w:val="20"/>
          <w:color w:val="auto"/>
        </w:rPr>
      </w:pPr>
    </w:p>
    <w:p>
      <w:pPr>
        <w:ind w:left="1780" w:hanging="288"/>
        <w:spacing w:after="0"/>
        <w:tabs>
          <w:tab w:leader="none" w:pos="17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Shares that again become available for delivery pursuant to this Section 4(c) shall be added back as one (1) Share.</w:t>
      </w:r>
    </w:p>
    <w:p>
      <w:pPr>
        <w:spacing w:after="0" w:line="171" w:lineRule="exact"/>
        <w:rPr>
          <w:rFonts w:ascii="Arial" w:cs="Arial" w:eastAsia="Arial" w:hAnsi="Arial"/>
          <w:sz w:val="18"/>
          <w:szCs w:val="18"/>
          <w:color w:val="auto"/>
        </w:rPr>
      </w:pPr>
    </w:p>
    <w:p>
      <w:pPr>
        <w:ind w:right="60" w:firstLine="1492"/>
        <w:spacing w:after="0" w:line="256" w:lineRule="auto"/>
        <w:tabs>
          <w:tab w:leader="none" w:pos="1732" w:val="left"/>
        </w:tabs>
        <w:numPr>
          <w:ilvl w:val="2"/>
          <w:numId w:val="27"/>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 any Shares restored pursuant to this Section 4(c) that, if taken into account, would cause the Plan to fail the requirement under Code Section 422 that the Plan designate a maximum aggregate number of shares that may be issued.</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No Further Awards Under Prior Plan</w:t>
      </w:r>
      <w:r>
        <w:rPr>
          <w:rFonts w:ascii="Arial" w:cs="Arial" w:eastAsia="Arial" w:hAnsi="Arial"/>
          <w:sz w:val="16"/>
          <w:szCs w:val="16"/>
          <w:color w:val="auto"/>
        </w:rPr>
        <w:t>. In light of the adoption of this Plan, no further awards shall be made under the Prior Plan after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164" w:lineRule="exact"/>
        <w:rPr>
          <w:rFonts w:ascii="Arial" w:cs="Arial" w:eastAsia="Arial" w:hAnsi="Arial"/>
          <w:sz w:val="16"/>
          <w:szCs w:val="16"/>
          <w:color w:val="auto"/>
        </w:rPr>
      </w:pPr>
    </w:p>
    <w:p>
      <w:pPr>
        <w:ind w:right="60" w:firstLine="464"/>
        <w:spacing w:after="0" w:line="294"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Awards with respect to more than 500,000 Shares. In addition, the maximum dollar value payable to any one Participant with respect to Performance Units is (x) $1,000,000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$2,000,000.</w:t>
      </w:r>
    </w:p>
    <w:p>
      <w:pPr>
        <w:spacing w:after="0" w:line="196" w:lineRule="exact"/>
        <w:rPr>
          <w:rFonts w:ascii="Arial" w:cs="Arial" w:eastAsia="Arial" w:hAnsi="Arial"/>
          <w:sz w:val="16"/>
          <w:szCs w:val="16"/>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p>
    <w:p>
      <w:pPr>
        <w:spacing w:after="0" w:line="90" w:lineRule="exact"/>
        <w:rPr>
          <w:rFonts w:ascii="Arial" w:cs="Arial" w:eastAsia="Arial" w:hAnsi="Arial"/>
          <w:sz w:val="18"/>
          <w:szCs w:val="18"/>
          <w:color w:val="auto"/>
        </w:rPr>
      </w:pPr>
    </w:p>
    <w:p>
      <w:pPr>
        <w:ind w:right="40" w:firstLine="921"/>
        <w:spacing w:after="0" w:line="290" w:lineRule="auto"/>
        <w:tabs>
          <w:tab w:leader="none" w:pos="1152"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Awards may be granted on the terms and conditions set forth in this Section 6. In addition, the Committee may impose on any Award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4" w:name="page35"/>
    <w:bookmarkEnd w:id="34"/>
    <w:p>
      <w:pPr>
        <w:ind w:left="1140" w:hanging="239"/>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w:t>
      </w:r>
      <w:r>
        <w:rPr>
          <w:rFonts w:ascii="Arial" w:cs="Arial" w:eastAsia="Arial" w:hAnsi="Arial"/>
          <w:sz w:val="18"/>
          <w:szCs w:val="18"/>
          <w:color w:val="auto"/>
        </w:rPr>
        <w:t>. The Committee is authorized to grant Options to any Eligible Person on the following terms and conditions:</w:t>
      </w:r>
    </w:p>
    <w:p>
      <w:pPr>
        <w:spacing w:after="0" w:line="90" w:lineRule="exact"/>
        <w:rPr>
          <w:rFonts w:ascii="Arial" w:cs="Arial" w:eastAsia="Arial" w:hAnsi="Arial"/>
          <w:sz w:val="18"/>
          <w:szCs w:val="18"/>
          <w:color w:val="auto"/>
        </w:rPr>
      </w:pPr>
    </w:p>
    <w:p>
      <w:pPr>
        <w:ind w:left="-20" w:right="20" w:firstLine="1492"/>
        <w:spacing w:after="0" w:line="287" w:lineRule="auto"/>
        <w:tabs>
          <w:tab w:leader="none" w:pos="1673" w:val="left"/>
        </w:tabs>
        <w:numPr>
          <w:ilvl w:val="1"/>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the Committee shall not be permitted to (A) lower the exercise price per Share of an Option after it is granted, (B) cancel an Option when the exercise price per Share exceeds the Fair Market Value of the underlying Shares in exchange for another Award (other than in connection with Substitute Awards), or (C) take any other action with respect to an Option that may be treated as a repricing, without approval of the Company’s shareholders.</w:t>
      </w:r>
    </w:p>
    <w:p>
      <w:pPr>
        <w:spacing w:after="0" w:line="122" w:lineRule="exact"/>
        <w:rPr>
          <w:rFonts w:ascii="Arial" w:cs="Arial" w:eastAsia="Arial" w:hAnsi="Arial"/>
          <w:sz w:val="16"/>
          <w:szCs w:val="16"/>
          <w:color w:val="auto"/>
        </w:rPr>
      </w:pPr>
    </w:p>
    <w:p>
      <w:pPr>
        <w:ind w:left="-20" w:firstLine="1492"/>
        <w:spacing w:after="0" w:line="289" w:lineRule="auto"/>
        <w:tabs>
          <w:tab w:leader="none" w:pos="1722" w:val="left"/>
        </w:tabs>
        <w:numPr>
          <w:ilvl w:val="1"/>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Time and Method of Exercise</w:t>
      </w:r>
      <w:r>
        <w:rPr>
          <w:rFonts w:ascii="Arial" w:cs="Arial" w:eastAsia="Arial" w:hAnsi="Arial"/>
          <w:sz w:val="16"/>
          <w:szCs w:val="16"/>
          <w:color w:val="auto"/>
        </w:rPr>
        <w:t>. The Committee shall determine the time or times at which or the circumstances under which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 a Related Entity, or other property (including notes or other contractual obligations of Participants to make payment on a deferred basis provided that such deferred payments are not in violation of the Sarbanes-Oxley Act of 2002, or any rule or regulation adopted thereunder or any other applicable law), and the methods by or forms in which Shares will be delivered or deemed to be delivered to Participants.</w:t>
      </w:r>
    </w:p>
    <w:p>
      <w:pPr>
        <w:spacing w:after="0" w:line="118" w:lineRule="exact"/>
        <w:rPr>
          <w:rFonts w:ascii="Arial" w:cs="Arial" w:eastAsia="Arial" w:hAnsi="Arial"/>
          <w:sz w:val="16"/>
          <w:szCs w:val="16"/>
          <w:color w:val="auto"/>
        </w:rPr>
      </w:pPr>
    </w:p>
    <w:p>
      <w:pPr>
        <w:ind w:left="-20" w:right="60" w:firstLine="1492"/>
        <w:spacing w:after="0" w:line="294" w:lineRule="auto"/>
        <w:tabs>
          <w:tab w:leader="none" w:pos="1771" w:val="left"/>
        </w:tabs>
        <w:numPr>
          <w:ilvl w:val="1"/>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Code, Options granted as Incentive Stock Options shall be subject to the following special terms and conditions:</w:t>
      </w:r>
    </w:p>
    <w:p>
      <w:pPr>
        <w:spacing w:after="0" w:line="90" w:lineRule="exact"/>
        <w:rPr>
          <w:sz w:val="20"/>
          <w:szCs w:val="20"/>
          <w:color w:val="auto"/>
        </w:rPr>
      </w:pPr>
    </w:p>
    <w:p>
      <w:pPr>
        <w:ind w:firstLine="1948"/>
        <w:spacing w:after="0" w:line="294" w:lineRule="auto"/>
        <w:tabs>
          <w:tab w:leader="none" w:pos="2228" w:val="left"/>
        </w:tabs>
        <w:numPr>
          <w:ilvl w:val="2"/>
          <w:numId w:val="31"/>
        </w:numPr>
        <w:rPr>
          <w:rFonts w:ascii="Arial" w:cs="Arial" w:eastAsia="Arial" w:hAnsi="Arial"/>
          <w:sz w:val="16"/>
          <w:szCs w:val="16"/>
          <w:color w:val="auto"/>
        </w:rPr>
      </w:pPr>
      <w:r>
        <w:rPr>
          <w:rFonts w:ascii="Arial" w:cs="Arial" w:eastAsia="Arial" w:hAnsi="Arial"/>
          <w:sz w:val="16"/>
          <w:szCs w:val="16"/>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15" w:lineRule="exact"/>
        <w:rPr>
          <w:rFonts w:ascii="Arial" w:cs="Arial" w:eastAsia="Arial" w:hAnsi="Arial"/>
          <w:sz w:val="16"/>
          <w:szCs w:val="16"/>
          <w:color w:val="auto"/>
        </w:rPr>
      </w:pPr>
    </w:p>
    <w:p>
      <w:pPr>
        <w:ind w:right="20" w:firstLine="1948"/>
        <w:spacing w:after="0" w:line="298" w:lineRule="auto"/>
        <w:tabs>
          <w:tab w:leader="none" w:pos="2218" w:val="left"/>
        </w:tabs>
        <w:numPr>
          <w:ilvl w:val="2"/>
          <w:numId w:val="31"/>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112" w:lineRule="exact"/>
        <w:rPr>
          <w:rFonts w:ascii="Arial" w:cs="Arial" w:eastAsia="Arial" w:hAnsi="Arial"/>
          <w:sz w:val="16"/>
          <w:szCs w:val="16"/>
          <w:color w:val="auto"/>
        </w:rPr>
      </w:pPr>
    </w:p>
    <w:p>
      <w:pPr>
        <w:ind w:right="60" w:firstLine="921"/>
        <w:spacing w:after="0" w:line="256"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62" w:lineRule="exact"/>
        <w:rPr>
          <w:rFonts w:ascii="Arial" w:cs="Arial" w:eastAsia="Arial" w:hAnsi="Arial"/>
          <w:sz w:val="18"/>
          <w:szCs w:val="18"/>
          <w:color w:val="auto"/>
        </w:rPr>
      </w:pPr>
    </w:p>
    <w:p>
      <w:pPr>
        <w:ind w:firstLine="1492"/>
        <w:spacing w:after="0" w:line="253" w:lineRule="auto"/>
        <w:tabs>
          <w:tab w:leader="none" w:pos="1693" w:val="left"/>
        </w:tabs>
        <w:numPr>
          <w:ilvl w:val="1"/>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 granted a right to receive, upon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thereof, the excess of (A) the Fair Market Value of one Share on the date of exercise over (B) 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 the Committee shall not be permitted to (A) lower the grant price per Share of a Stock Appreciation Right after it is granted, (B) cancel a Stock Appreciation Right when the grant price per Share exceeds the Fair Market Value of the underlying Shares in exchange for another Award (other than in connection with Substitute Awards), or (C) take any other action with respect to a Stock Appreciation Right that may be treated as a repricing, without shareholder approval.</w:t>
      </w:r>
    </w:p>
    <w:p>
      <w:pPr>
        <w:spacing w:after="0" w:line="145" w:lineRule="exact"/>
        <w:rPr>
          <w:rFonts w:ascii="Arial" w:cs="Arial" w:eastAsia="Arial" w:hAnsi="Arial"/>
          <w:sz w:val="18"/>
          <w:szCs w:val="18"/>
          <w:color w:val="auto"/>
        </w:rPr>
      </w:pPr>
    </w:p>
    <w:p>
      <w:pPr>
        <w:ind w:firstLine="1492"/>
        <w:spacing w:after="0" w:line="291" w:lineRule="auto"/>
        <w:tabs>
          <w:tab w:leader="none" w:pos="1742" w:val="left"/>
        </w:tabs>
        <w:numPr>
          <w:ilvl w:val="1"/>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6" w:name="page37"/>
    <w:bookmarkEnd w:id="36"/>
    <w:p>
      <w:pPr>
        <w:ind w:right="80" w:firstLine="1492"/>
        <w:spacing w:after="0" w:line="288" w:lineRule="auto"/>
        <w:tabs>
          <w:tab w:leader="none" w:pos="1791" w:val="left"/>
        </w:tabs>
        <w:numPr>
          <w:ilvl w:val="1"/>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Tandem Stock Appreciation Rights</w:t>
      </w:r>
      <w:r>
        <w:rPr>
          <w:rFonts w:ascii="Arial" w:cs="Arial" w:eastAsia="Arial" w:hAnsi="Arial"/>
          <w:sz w:val="16"/>
          <w:szCs w:val="16"/>
          <w:color w:val="auto"/>
        </w:rPr>
        <w:t>. 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83" w:lineRule="exact"/>
        <w:rPr>
          <w:rFonts w:ascii="Arial" w:cs="Arial" w:eastAsia="Arial" w:hAnsi="Arial"/>
          <w:sz w:val="16"/>
          <w:szCs w:val="16"/>
          <w:color w:val="auto"/>
        </w:rPr>
      </w:pPr>
    </w:p>
    <w:p>
      <w:pPr>
        <w:ind w:right="40" w:firstLine="1492"/>
        <w:spacing w:after="0" w:line="288" w:lineRule="auto"/>
        <w:tabs>
          <w:tab w:leader="none" w:pos="1693" w:val="left"/>
        </w:tabs>
        <w:numPr>
          <w:ilvl w:val="1"/>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120" w:lineRule="exact"/>
        <w:rPr>
          <w:sz w:val="20"/>
          <w:szCs w:val="20"/>
          <w:color w:val="auto"/>
        </w:rPr>
      </w:pPr>
    </w:p>
    <w:p>
      <w:pPr>
        <w:ind w:firstLine="1492"/>
        <w:spacing w:after="0" w:line="255" w:lineRule="auto"/>
        <w:tabs>
          <w:tab w:leader="none" w:pos="1742"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142" w:lineRule="exact"/>
        <w:rPr>
          <w:rFonts w:ascii="Arial" w:cs="Arial" w:eastAsia="Arial" w:hAnsi="Arial"/>
          <w:sz w:val="18"/>
          <w:szCs w:val="18"/>
          <w:color w:val="auto"/>
        </w:rPr>
      </w:pPr>
    </w:p>
    <w:p>
      <w:pPr>
        <w:ind w:left="1800" w:hanging="308"/>
        <w:spacing w:after="0"/>
        <w:tabs>
          <w:tab w:leader="none" w:pos="1800" w:val="left"/>
        </w:tabs>
        <w:numPr>
          <w:ilvl w:val="0"/>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Certificates for Stock</w:t>
      </w:r>
      <w:r>
        <w:rPr>
          <w:rFonts w:ascii="Arial" w:cs="Arial" w:eastAsia="Arial" w:hAnsi="Arial"/>
          <w:sz w:val="15"/>
          <w:szCs w:val="15"/>
          <w:color w:val="auto"/>
        </w:rPr>
        <w:t>. Restricted Stock granted under the Plan may be evidenced in such manner as the Committee shall determine. If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certificates representing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7" w:name="page38"/>
    <w:bookmarkEnd w:id="37"/>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40" w:lineRule="exact"/>
        <w:rPr>
          <w:sz w:val="20"/>
          <w:szCs w:val="20"/>
          <w:color w:val="auto"/>
        </w:rPr>
      </w:pPr>
    </w:p>
    <w:p>
      <w:pPr>
        <w:ind w:firstLine="1492"/>
        <w:spacing w:after="0" w:line="255" w:lineRule="auto"/>
        <w:tabs>
          <w:tab w:leader="none" w:pos="1781"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Splits</w:t>
      </w:r>
      <w:r>
        <w:rPr>
          <w:rFonts w:ascii="Arial" w:cs="Arial" w:eastAsia="Arial" w:hAnsi="Arial"/>
          <w:sz w:val="18"/>
          <w:szCs w:val="18"/>
          <w:color w:val="auto"/>
        </w:rPr>
        <w:t>. 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Deferred Stock Award</w:t>
      </w:r>
      <w:r>
        <w:rPr>
          <w:rFonts w:ascii="Arial" w:cs="Arial" w:eastAsia="Arial" w:hAnsi="Arial"/>
          <w:sz w:val="16"/>
          <w:szCs w:val="16"/>
          <w:color w:val="auto"/>
        </w:rPr>
        <w:t>. The Committee is authorized to grant Deferred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83" w:lineRule="exact"/>
        <w:rPr>
          <w:rFonts w:ascii="Arial" w:cs="Arial" w:eastAsia="Arial" w:hAnsi="Arial"/>
          <w:sz w:val="16"/>
          <w:szCs w:val="16"/>
          <w:color w:val="auto"/>
        </w:rPr>
      </w:pPr>
    </w:p>
    <w:p>
      <w:pPr>
        <w:ind w:firstLine="1492"/>
        <w:spacing w:after="0" w:line="290" w:lineRule="auto"/>
        <w:tabs>
          <w:tab w:leader="none" w:pos="1693"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18" w:lineRule="exact"/>
        <w:rPr>
          <w:rFonts w:ascii="Arial" w:cs="Arial" w:eastAsia="Arial" w:hAnsi="Arial"/>
          <w:sz w:val="16"/>
          <w:szCs w:val="16"/>
          <w:color w:val="auto"/>
        </w:rPr>
      </w:pPr>
    </w:p>
    <w:p>
      <w:pPr>
        <w:ind w:firstLine="1492"/>
        <w:spacing w:after="0" w:line="291" w:lineRule="auto"/>
        <w:tabs>
          <w:tab w:leader="none" w:pos="1742"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20" w:lineRule="exact"/>
        <w:rPr>
          <w:rFonts w:ascii="Arial" w:cs="Arial" w:eastAsia="Arial" w:hAnsi="Arial"/>
          <w:sz w:val="16"/>
          <w:szCs w:val="16"/>
          <w:color w:val="auto"/>
        </w:rPr>
      </w:pPr>
    </w:p>
    <w:p>
      <w:pPr>
        <w:ind w:right="120" w:firstLine="1492"/>
        <w:spacing w:after="0" w:line="306" w:lineRule="auto"/>
        <w:tabs>
          <w:tab w:leader="none" w:pos="1791"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date of grant, any Dividend Equivalents that are granted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38" w:name="page39"/>
    <w:bookmarkEnd w:id="38"/>
    <w:p>
      <w:pPr>
        <w:ind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 and the amount or value thereof automatically deemed reinvested in additional Deferred Stock, other Awards or other investment vehicles, as the Committee shall determine or permit the Participant to elect.</w:t>
      </w:r>
    </w:p>
    <w:p>
      <w:pPr>
        <w:spacing w:after="0" w:line="132" w:lineRule="exact"/>
        <w:rPr>
          <w:sz w:val="20"/>
          <w:szCs w:val="20"/>
          <w:color w:val="auto"/>
        </w:rPr>
      </w:pPr>
    </w:p>
    <w:p>
      <w:pPr>
        <w:ind w:right="240" w:firstLine="921"/>
        <w:spacing w:after="0" w:line="294" w:lineRule="auto"/>
        <w:tabs>
          <w:tab w:leader="none" w:pos="1132"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15" w:lineRule="exact"/>
        <w:rPr>
          <w:rFonts w:ascii="Arial" w:cs="Arial" w:eastAsia="Arial" w:hAnsi="Arial"/>
          <w:sz w:val="16"/>
          <w:szCs w:val="16"/>
          <w:color w:val="auto"/>
        </w:rPr>
      </w:pPr>
    </w:p>
    <w:p>
      <w:pPr>
        <w:ind w:right="60" w:firstLine="921"/>
        <w:spacing w:after="0" w:line="294" w:lineRule="auto"/>
        <w:tabs>
          <w:tab w:leader="none" w:pos="1161"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Committee is authorized to grant Dividend Equivalents to any Eligible Person entitling the Eligible Person to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w:t>
      </w:r>
    </w:p>
    <w:p>
      <w:pPr>
        <w:spacing w:after="0" w:line="115" w:lineRule="exact"/>
        <w:rPr>
          <w:rFonts w:ascii="Arial" w:cs="Arial" w:eastAsia="Arial" w:hAnsi="Arial"/>
          <w:sz w:val="16"/>
          <w:szCs w:val="16"/>
          <w:color w:val="auto"/>
        </w:rPr>
      </w:pPr>
    </w:p>
    <w:p>
      <w:pPr>
        <w:ind w:right="40" w:firstLine="921"/>
        <w:spacing w:after="0" w:line="309" w:lineRule="auto"/>
        <w:tabs>
          <w:tab w:leader="none" w:pos="1161" w:val="left"/>
        </w:tabs>
        <w:numPr>
          <w:ilvl w:val="0"/>
          <w:numId w:val="38"/>
        </w:numPr>
        <w:rPr>
          <w:rFonts w:ascii="Arial" w:cs="Arial" w:eastAsia="Arial" w:hAnsi="Arial"/>
          <w:sz w:val="15"/>
          <w:szCs w:val="15"/>
          <w:color w:val="auto"/>
        </w:rPr>
      </w:pPr>
      <w:r>
        <w:rPr>
          <w:rFonts w:ascii="Arial" w:cs="Arial" w:eastAsia="Arial" w:hAnsi="Arial"/>
          <w:sz w:val="15"/>
          <w:szCs w:val="15"/>
          <w:b w:val="1"/>
          <w:bCs w:val="1"/>
          <w:i w:val="1"/>
          <w:iCs w:val="1"/>
          <w:color w:val="auto"/>
        </w:rPr>
        <w:t>Performance Awards</w:t>
      </w:r>
      <w:r>
        <w:rPr>
          <w:rFonts w:ascii="Arial" w:cs="Arial" w:eastAsia="Arial" w:hAnsi="Arial"/>
          <w:sz w:val="15"/>
          <w:szCs w:val="15"/>
          <w:color w:val="auto"/>
        </w:rPr>
        <w:t>. The Committee is authorized to grant Performance Awards to any Eligible Person payable in cash, Shares,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08" w:lineRule="exact"/>
        <w:rPr>
          <w:rFonts w:ascii="Arial" w:cs="Arial" w:eastAsia="Arial" w:hAnsi="Arial"/>
          <w:sz w:val="15"/>
          <w:szCs w:val="15"/>
          <w:color w:val="auto"/>
        </w:rPr>
      </w:pPr>
    </w:p>
    <w:p>
      <w:pPr>
        <w:ind w:firstLine="921"/>
        <w:spacing w:after="0" w:line="294" w:lineRule="auto"/>
        <w:tabs>
          <w:tab w:leader="none" w:pos="1122"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 Eligible Person such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39" w:name="page40"/>
    <w:bookmarkEnd w:id="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nature of a purchase right granted under this Section 6(i)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224"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p>
    <w:p>
      <w:pPr>
        <w:spacing w:after="0" w:line="90" w:lineRule="exact"/>
        <w:rPr>
          <w:rFonts w:ascii="Arial" w:cs="Arial" w:eastAsia="Arial" w:hAnsi="Arial"/>
          <w:sz w:val="18"/>
          <w:szCs w:val="18"/>
          <w:color w:val="auto"/>
        </w:rPr>
      </w:pPr>
    </w:p>
    <w:p>
      <w:pPr>
        <w:ind w:firstLine="921"/>
        <w:spacing w:after="0" w:line="287" w:lineRule="auto"/>
        <w:tabs>
          <w:tab w:leader="none" w:pos="1152"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122" w:lineRule="exact"/>
        <w:rPr>
          <w:rFonts w:ascii="Arial" w:cs="Arial" w:eastAsia="Arial" w:hAnsi="Arial"/>
          <w:sz w:val="16"/>
          <w:szCs w:val="16"/>
          <w:color w:val="auto"/>
        </w:rPr>
      </w:pPr>
    </w:p>
    <w:p>
      <w:pPr>
        <w:jc w:val="both"/>
        <w:ind w:right="240" w:firstLine="921"/>
        <w:spacing w:after="0" w:line="259" w:lineRule="auto"/>
        <w:tabs>
          <w:tab w:leader="none" w:pos="1161" w:val="left"/>
        </w:tabs>
        <w:numPr>
          <w:ilvl w:val="1"/>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40" w:lineRule="exact"/>
        <w:rPr>
          <w:rFonts w:ascii="Arial" w:cs="Arial" w:eastAsia="Arial" w:hAnsi="Arial"/>
          <w:sz w:val="18"/>
          <w:szCs w:val="18"/>
          <w:color w:val="auto"/>
        </w:rPr>
      </w:pPr>
    </w:p>
    <w:p>
      <w:pPr>
        <w:ind w:right="20" w:firstLine="921"/>
        <w:spacing w:after="0" w:line="288" w:lineRule="auto"/>
        <w:tabs>
          <w:tab w:leader="none" w:pos="1152"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 Agreement, payments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0" w:name="page41"/>
    <w:bookmarkEnd w:id="40"/>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43" w:lineRule="exact"/>
        <w:rPr>
          <w:sz w:val="20"/>
          <w:szCs w:val="20"/>
          <w:color w:val="auto"/>
        </w:rPr>
      </w:pPr>
    </w:p>
    <w:p>
      <w:pPr>
        <w:ind w:firstLine="921"/>
        <w:spacing w:after="0" w:line="294" w:lineRule="auto"/>
        <w:tabs>
          <w:tab w:leader="none" w:pos="1161"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Exemptions from Section 16(b) Liability. </w:t>
      </w:r>
      <w:r>
        <w:rPr>
          <w:rFonts w:ascii="Arial" w:cs="Arial" w:eastAsia="Arial" w:hAnsi="Arial"/>
          <w:sz w:val="16"/>
          <w:szCs w:val="16"/>
          <w:color w:val="auto"/>
        </w:rPr>
        <w:t>It is the intent of the Company that the grant of any Awards to or other transaction by a Participant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15" w:lineRule="exact"/>
        <w:rPr>
          <w:rFonts w:ascii="Arial" w:cs="Arial" w:eastAsia="Arial" w:hAnsi="Arial"/>
          <w:sz w:val="16"/>
          <w:szCs w:val="16"/>
          <w:color w:val="auto"/>
        </w:rPr>
      </w:pPr>
    </w:p>
    <w:p>
      <w:pPr>
        <w:jc w:val="both"/>
        <w:ind w:right="20" w:firstLine="921"/>
        <w:spacing w:after="0" w:line="256" w:lineRule="auto"/>
        <w:tabs>
          <w:tab w:leader="none" w:pos="1152" w:val="left"/>
        </w:tabs>
        <w:numPr>
          <w:ilvl w:val="1"/>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Section 409A. </w:t>
      </w:r>
      <w:r>
        <w:rPr>
          <w:rFonts w:ascii="Arial" w:cs="Arial" w:eastAsia="Arial" w:hAnsi="Arial"/>
          <w:sz w:val="18"/>
          <w:szCs w:val="18"/>
          <w:color w:val="auto"/>
        </w:rPr>
        <w:t>If and to the extent that the Committee believes that any Awards may constitute a “nonqualified deferred compensation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 409A of the Code, the terms and conditions set forth in the Award Agreement for that Award shall be drafted in a manner that is intended to comply with, and those provisions (and the provisions of the Plan applicable thereto) shall be interpreted in a manner consistent with, the applicable requirements of Section 409A of the Code.</w:t>
      </w:r>
    </w:p>
    <w:p>
      <w:pPr>
        <w:spacing w:after="0" w:line="224" w:lineRule="exact"/>
        <w:rPr>
          <w:rFonts w:ascii="Arial" w:cs="Arial" w:eastAsia="Arial" w:hAnsi="Arial"/>
          <w:sz w:val="18"/>
          <w:szCs w:val="18"/>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80" w:firstLine="921"/>
        <w:spacing w:after="0" w:line="259" w:lineRule="auto"/>
        <w:tabs>
          <w:tab w:leader="none" w:pos="1152"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Employees. </w:t>
      </w:r>
      <w:r>
        <w:rPr>
          <w:rFonts w:ascii="Arial" w:cs="Arial" w:eastAsia="Arial" w:hAnsi="Arial"/>
          <w:sz w:val="18"/>
          <w:szCs w:val="18"/>
          <w:color w:val="auto"/>
        </w:rPr>
        <w:t>The Committee, in its discretion, may determine at the time an Award is granted to an Eligible Person who is, or is likely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as of the end of the tax year in which the Company would claim a tax deduction in connection with such Award, a Covered Employee, that the provisions of this Section 8 shall be applicable to such Award.</w:t>
      </w:r>
    </w:p>
    <w:p>
      <w:pPr>
        <w:spacing w:after="0" w:line="140" w:lineRule="exact"/>
        <w:rPr>
          <w:rFonts w:ascii="Arial" w:cs="Arial" w:eastAsia="Arial" w:hAnsi="Arial"/>
          <w:sz w:val="18"/>
          <w:szCs w:val="18"/>
          <w:color w:val="auto"/>
        </w:rPr>
      </w:pPr>
    </w:p>
    <w:p>
      <w:pPr>
        <w:ind w:firstLine="921"/>
        <w:spacing w:after="0" w:line="287" w:lineRule="auto"/>
        <w:tabs>
          <w:tab w:leader="none" w:pos="1161"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8, then the lapsing of restrictions thereon and the distribution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1" w:name="page42"/>
    <w:bookmarkEnd w:id="4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The Committee shall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118" w:lineRule="exact"/>
        <w:rPr>
          <w:sz w:val="20"/>
          <w:szCs w:val="20"/>
          <w:color w:val="auto"/>
        </w:rPr>
      </w:pPr>
    </w:p>
    <w:p>
      <w:pPr>
        <w:ind w:right="40" w:firstLine="921"/>
        <w:spacing w:after="0" w:line="298" w:lineRule="auto"/>
        <w:tabs>
          <w:tab w:leader="none" w:pos="1152"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Period; Timing For Establishing Performance Goals. </w:t>
      </w:r>
      <w:r>
        <w:rPr>
          <w:rFonts w:ascii="Arial" w:cs="Arial" w:eastAsia="Arial" w:hAnsi="Arial"/>
          <w:sz w:val="16"/>
          <w:szCs w:val="16"/>
          <w:color w:val="auto"/>
        </w:rPr>
        <w:t>Achievement of performance goals in respect of such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112" w:lineRule="exact"/>
        <w:rPr>
          <w:rFonts w:ascii="Arial" w:cs="Arial" w:eastAsia="Arial" w:hAnsi="Arial"/>
          <w:sz w:val="16"/>
          <w:szCs w:val="16"/>
          <w:color w:val="auto"/>
        </w:rPr>
      </w:pPr>
    </w:p>
    <w:p>
      <w:pPr>
        <w:ind w:firstLine="921"/>
        <w:spacing w:after="0" w:line="256"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The Committee may, in its discretion, reduce the amount of a settlement otherwise to be made in connection with Awards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43" w:lineRule="exact"/>
        <w:rPr>
          <w:rFonts w:ascii="Arial" w:cs="Arial" w:eastAsia="Arial" w:hAnsi="Arial"/>
          <w:sz w:val="18"/>
          <w:szCs w:val="18"/>
          <w:color w:val="auto"/>
        </w:rPr>
      </w:pPr>
    </w:p>
    <w:p>
      <w:pPr>
        <w:ind w:right="100" w:firstLine="921"/>
        <w:spacing w:after="0" w:line="306" w:lineRule="auto"/>
        <w:tabs>
          <w:tab w:leader="none" w:pos="1152"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Committee Certification. </w:t>
      </w:r>
      <w:r>
        <w:rPr>
          <w:rFonts w:ascii="Arial" w:cs="Arial" w:eastAsia="Arial" w:hAnsi="Arial"/>
          <w:sz w:val="16"/>
          <w:szCs w:val="16"/>
          <w:color w:val="auto"/>
        </w:rPr>
        <w:t>No Participant shall receive any payment under the Plan that is subject to this Section 8 unless the Committee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Code Section 162(m).</w:t>
      </w:r>
    </w:p>
    <w:p>
      <w:pPr>
        <w:spacing w:after="0" w:line="187" w:lineRule="exact"/>
        <w:rPr>
          <w:rFonts w:ascii="Arial" w:cs="Arial" w:eastAsia="Arial" w:hAnsi="Arial"/>
          <w:sz w:val="16"/>
          <w:szCs w:val="16"/>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90" w:lineRule="exact"/>
        <w:rPr>
          <w:rFonts w:ascii="Arial" w:cs="Arial" w:eastAsia="Arial" w:hAnsi="Arial"/>
          <w:sz w:val="18"/>
          <w:szCs w:val="18"/>
          <w:color w:val="auto"/>
        </w:rPr>
      </w:pPr>
    </w:p>
    <w:p>
      <w:pPr>
        <w:ind w:right="640" w:firstLine="921"/>
        <w:spacing w:after="0" w:line="268" w:lineRule="auto"/>
        <w:tabs>
          <w:tab w:leader="none" w:pos="1152"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“Change in Control.” </w:t>
      </w:r>
      <w:r>
        <w:rPr>
          <w:rFonts w:ascii="Arial" w:cs="Arial" w:eastAsia="Arial" w:hAnsi="Arial"/>
          <w:sz w:val="18"/>
          <w:szCs w:val="18"/>
          <w:color w:val="auto"/>
        </w:rPr>
        <w:t>If and only to the extent provided in the Award Agreement, or to the extent otherwise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upon the occurrence of a “Change in Control,” as defined in Section 9(b):</w:t>
      </w:r>
    </w:p>
    <w:p>
      <w:pPr>
        <w:spacing w:after="0" w:line="50" w:lineRule="exact"/>
        <w:rPr>
          <w:rFonts w:ascii="Arial" w:cs="Arial" w:eastAsia="Arial" w:hAnsi="Arial"/>
          <w:sz w:val="18"/>
          <w:szCs w:val="18"/>
          <w:color w:val="auto"/>
        </w:rPr>
      </w:pPr>
    </w:p>
    <w:p>
      <w:pPr>
        <w:ind w:right="340" w:firstLine="1492"/>
        <w:spacing w:after="0" w:line="268" w:lineRule="auto"/>
        <w:tabs>
          <w:tab w:leader="none" w:pos="1693"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31" w:lineRule="exact"/>
        <w:rPr>
          <w:rFonts w:ascii="Arial" w:cs="Arial" w:eastAsia="Arial" w:hAnsi="Arial"/>
          <w:sz w:val="18"/>
          <w:szCs w:val="18"/>
          <w:color w:val="auto"/>
        </w:rPr>
      </w:pPr>
    </w:p>
    <w:p>
      <w:pPr>
        <w:ind w:right="280" w:firstLine="1492"/>
        <w:spacing w:after="0" w:line="268" w:lineRule="auto"/>
        <w:tabs>
          <w:tab w:leader="none" w:pos="1742"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restrictions, deferral of settlement, and forfeiture conditions applicable to a Restricted Stock Award, Deferred Stock Award or an Other Stock-Based Award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42" w:name="page43"/>
    <w:bookmarkEnd w:id="42"/>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85" w:lineRule="exact"/>
        <w:rPr>
          <w:sz w:val="20"/>
          <w:szCs w:val="20"/>
          <w:color w:val="auto"/>
        </w:rPr>
      </w:pPr>
    </w:p>
    <w:p>
      <w:pPr>
        <w:ind w:right="60" w:firstLine="1492"/>
        <w:spacing w:after="0" w:line="268" w:lineRule="auto"/>
        <w:tabs>
          <w:tab w:leader="none" w:pos="17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31" w:lineRule="exact"/>
        <w:rPr>
          <w:rFonts w:ascii="Arial" w:cs="Arial" w:eastAsia="Arial" w:hAnsi="Arial"/>
          <w:sz w:val="18"/>
          <w:szCs w:val="18"/>
          <w:color w:val="auto"/>
        </w:rPr>
      </w:pPr>
    </w:p>
    <w:p>
      <w:pPr>
        <w:ind w:right="40" w:firstLine="921"/>
        <w:spacing w:after="0" w:line="268" w:lineRule="auto"/>
        <w:tabs>
          <w:tab w:leader="none" w:pos="1161"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 Award Agreement, a “Change in Control” shall mean the occurrence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w:t>
      </w:r>
    </w:p>
    <w:p>
      <w:pPr>
        <w:spacing w:after="0" w:line="50" w:lineRule="exact"/>
        <w:rPr>
          <w:rFonts w:ascii="Arial" w:cs="Arial" w:eastAsia="Arial" w:hAnsi="Arial"/>
          <w:sz w:val="18"/>
          <w:szCs w:val="18"/>
          <w:color w:val="auto"/>
        </w:rPr>
      </w:pPr>
    </w:p>
    <w:p>
      <w:pPr>
        <w:ind w:firstLine="1492"/>
        <w:spacing w:after="0" w:line="289" w:lineRule="auto"/>
        <w:tabs>
          <w:tab w:leader="none" w:pos="1693"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corporation pursuant to a transaction which complies with clauses (A), (B) and (C) of subsection (iii) below; or</w:t>
      </w:r>
    </w:p>
    <w:p>
      <w:pPr>
        <w:spacing w:after="0" w:line="118" w:lineRule="exact"/>
        <w:rPr>
          <w:sz w:val="20"/>
          <w:szCs w:val="20"/>
          <w:color w:val="auto"/>
        </w:rPr>
      </w:pPr>
    </w:p>
    <w:p>
      <w:pPr>
        <w:ind w:right="80" w:firstLine="1492"/>
        <w:spacing w:after="0" w:line="291" w:lineRule="auto"/>
        <w:tabs>
          <w:tab w:leader="none" w:pos="1742"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20" w:lineRule="exact"/>
        <w:rPr>
          <w:rFonts w:ascii="Arial" w:cs="Arial" w:eastAsia="Arial" w:hAnsi="Arial"/>
          <w:sz w:val="16"/>
          <w:szCs w:val="16"/>
          <w:color w:val="auto"/>
        </w:rPr>
      </w:pPr>
    </w:p>
    <w:p>
      <w:pPr>
        <w:ind w:right="80" w:firstLine="1492"/>
        <w:spacing w:after="0" w:line="254" w:lineRule="auto"/>
        <w:tabs>
          <w:tab w:leader="none" w:pos="179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43" w:name="page44"/>
    <w:bookmarkEnd w:id="4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the Company or such corporation resulting from such Business Combination or any Person that as of the Effective Date owns Beneficial Ownership of a Controlling Interest) beneficially owns, directly or indirectly, fifty percent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23" w:lineRule="exact"/>
        <w:rPr>
          <w:sz w:val="20"/>
          <w:szCs w:val="20"/>
          <w:color w:val="auto"/>
        </w:rPr>
      </w:pPr>
    </w:p>
    <w:p>
      <w:pPr>
        <w:ind w:left="1780" w:hanging="288"/>
        <w:spacing w:after="0"/>
        <w:tabs>
          <w:tab w:leader="none" w:pos="17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52"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firstLine="921"/>
        <w:spacing w:after="0" w:line="290" w:lineRule="auto"/>
        <w:tabs>
          <w:tab w:leader="none" w:pos="1152"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Compliance With Legal and Other Requirements. </w:t>
      </w:r>
      <w:r>
        <w:rPr>
          <w:rFonts w:ascii="Arial" w:cs="Arial" w:eastAsia="Arial" w:hAnsi="Arial"/>
          <w:sz w:val="16"/>
          <w:szCs w:val="16"/>
          <w:color w:val="auto"/>
        </w:rPr>
        <w:t>The Company may, to the extent deemed necessary or advisable by the Committee, postpone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18" w:lineRule="exact"/>
        <w:rPr>
          <w:rFonts w:ascii="Arial" w:cs="Arial" w:eastAsia="Arial" w:hAnsi="Arial"/>
          <w:sz w:val="16"/>
          <w:szCs w:val="16"/>
          <w:color w:val="auto"/>
        </w:rPr>
      </w:pPr>
    </w:p>
    <w:p>
      <w:pPr>
        <w:ind w:right="100" w:firstLine="921"/>
        <w:spacing w:after="0" w:line="290" w:lineRule="auto"/>
        <w:tabs>
          <w:tab w:leader="none" w:pos="1161"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Limits on Transferability; Beneficiaries. </w:t>
      </w:r>
      <w:r>
        <w:rPr>
          <w:rFonts w:ascii="Arial" w:cs="Arial" w:eastAsia="Arial" w:hAnsi="Arial"/>
          <w:sz w:val="16"/>
          <w:szCs w:val="16"/>
          <w:color w:val="auto"/>
        </w:rPr>
        <w:t>No Award or other right or interest granted under the Plan shall be pledged, hypothecated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44" w:name="page45"/>
    <w:bookmarkEnd w:id="44"/>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88" w:lineRule="exact"/>
        <w:rPr>
          <w:sz w:val="20"/>
          <w:szCs w:val="20"/>
          <w:color w:val="auto"/>
        </w:rPr>
      </w:pPr>
    </w:p>
    <w:p>
      <w:pPr>
        <w:ind w:left="1160" w:hanging="239"/>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p>
    <w:p>
      <w:pPr>
        <w:spacing w:after="0" w:line="90" w:lineRule="exact"/>
        <w:rPr>
          <w:rFonts w:ascii="Arial" w:cs="Arial" w:eastAsia="Arial" w:hAnsi="Arial"/>
          <w:sz w:val="18"/>
          <w:szCs w:val="18"/>
          <w:color w:val="auto"/>
        </w:rPr>
      </w:pPr>
    </w:p>
    <w:p>
      <w:pPr>
        <w:ind w:right="160" w:firstLine="1492"/>
        <w:spacing w:after="0" w:line="289" w:lineRule="auto"/>
        <w:tabs>
          <w:tab w:leader="none" w:pos="1693"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to Awards</w:t>
      </w:r>
      <w:r>
        <w:rPr>
          <w:rFonts w:ascii="Arial" w:cs="Arial" w:eastAsia="Arial" w:hAnsi="Arial"/>
          <w:sz w:val="16"/>
          <w:szCs w:val="16"/>
          <w:color w:val="auto"/>
        </w:rPr>
        <w:t>. In the event that any extraordinary dividend or other distribution (whether in the form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18" w:lineRule="exact"/>
        <w:rPr>
          <w:rFonts w:ascii="Arial" w:cs="Arial" w:eastAsia="Arial" w:hAnsi="Arial"/>
          <w:sz w:val="16"/>
          <w:szCs w:val="16"/>
          <w:color w:val="auto"/>
        </w:rPr>
      </w:pPr>
    </w:p>
    <w:p>
      <w:pPr>
        <w:ind w:firstLine="1492"/>
        <w:spacing w:after="0" w:line="286" w:lineRule="auto"/>
        <w:tabs>
          <w:tab w:leader="none" w:pos="1742"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in Case of Certain Corporate Transactions</w:t>
      </w:r>
      <w:r>
        <w:rPr>
          <w:rFonts w:ascii="Arial" w:cs="Arial" w:eastAsia="Arial" w:hAnsi="Arial"/>
          <w:sz w:val="16"/>
          <w:szCs w:val="16"/>
          <w:color w:val="auto"/>
        </w:rPr>
        <w:t>. In the event of any merger, consolidation or other reorganization in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(a) the continuation of the outstanding Awards by the Company, if the Company is a surviving corporation, (b) the assumption or substitution for, as those terms are defined in Section 9(b)(iv) hereof, the outstanding Awards by the surviving corporation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24" w:lineRule="exact"/>
        <w:rPr>
          <w:rFonts w:ascii="Arial" w:cs="Arial" w:eastAsia="Arial" w:hAnsi="Arial"/>
          <w:sz w:val="16"/>
          <w:szCs w:val="16"/>
          <w:color w:val="auto"/>
        </w:rPr>
      </w:pPr>
    </w:p>
    <w:p>
      <w:pPr>
        <w:ind w:right="580" w:firstLine="1492"/>
        <w:spacing w:after="0" w:line="332" w:lineRule="auto"/>
        <w:tabs>
          <w:tab w:leader="none" w:pos="1791"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45" w:name="page46"/>
    <w:bookmarkEnd w:id="45"/>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20" w:lineRule="exact"/>
        <w:rPr>
          <w:sz w:val="20"/>
          <w:szCs w:val="20"/>
          <w:color w:val="auto"/>
        </w:rPr>
      </w:pPr>
    </w:p>
    <w:p>
      <w:pPr>
        <w:ind w:right="100" w:firstLine="921"/>
        <w:spacing w:after="0" w:line="291" w:lineRule="auto"/>
        <w:tabs>
          <w:tab w:leader="none" w:pos="1161"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Taxes. </w:t>
      </w:r>
      <w:r>
        <w:rPr>
          <w:rFonts w:ascii="Arial" w:cs="Arial" w:eastAsia="Arial" w:hAnsi="Arial"/>
          <w:sz w:val="16"/>
          <w:szCs w:val="16"/>
          <w:color w:val="auto"/>
        </w:rPr>
        <w:t>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20" w:lineRule="exact"/>
        <w:rPr>
          <w:rFonts w:ascii="Arial" w:cs="Arial" w:eastAsia="Arial" w:hAnsi="Arial"/>
          <w:sz w:val="16"/>
          <w:szCs w:val="16"/>
          <w:color w:val="auto"/>
        </w:rPr>
      </w:pPr>
    </w:p>
    <w:p>
      <w:pPr>
        <w:ind w:right="40" w:firstLine="921"/>
        <w:spacing w:after="0" w:line="309" w:lineRule="auto"/>
        <w:tabs>
          <w:tab w:leader="none" w:pos="1152"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Changes to the Plan and Awards. </w:t>
      </w:r>
      <w:r>
        <w:rPr>
          <w:rFonts w:ascii="Arial" w:cs="Arial" w:eastAsia="Arial" w:hAnsi="Arial"/>
          <w:sz w:val="15"/>
          <w:szCs w:val="15"/>
          <w:color w:val="auto"/>
        </w:rPr>
        <w:t>The Board may amend, alter, suspend, discontinue or terminate the Plan, or the Committee’s authority to grant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08" w:lineRule="exact"/>
        <w:rPr>
          <w:rFonts w:ascii="Arial" w:cs="Arial" w:eastAsia="Arial" w:hAnsi="Arial"/>
          <w:sz w:val="15"/>
          <w:szCs w:val="15"/>
          <w:color w:val="auto"/>
        </w:rPr>
      </w:pPr>
    </w:p>
    <w:p>
      <w:pPr>
        <w:ind w:firstLine="921"/>
        <w:spacing w:after="0" w:line="268" w:lineRule="auto"/>
        <w:tabs>
          <w:tab w:leader="none" w:pos="1132"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 on Rights Conferred Under Plan. </w:t>
      </w:r>
      <w:r>
        <w:rPr>
          <w:rFonts w:ascii="Arial" w:cs="Arial" w:eastAsia="Arial" w:hAnsi="Arial"/>
          <w:sz w:val="18"/>
          <w:szCs w:val="18"/>
          <w:color w:val="auto"/>
        </w:rPr>
        <w:t>Neither the Plan nor any action taken hereunder or under any Award shall be construed as (i)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Eligible Person or Participant the right to continue as an Eligible Person or Participant or in the employ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46" w:name="page47"/>
    <w:bookmarkEnd w:id="4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123" w:lineRule="exact"/>
        <w:rPr>
          <w:sz w:val="20"/>
          <w:szCs w:val="20"/>
          <w:color w:val="auto"/>
        </w:rPr>
      </w:pPr>
    </w:p>
    <w:p>
      <w:pPr>
        <w:ind w:firstLine="921"/>
        <w:spacing w:after="0" w:line="290" w:lineRule="auto"/>
        <w:tabs>
          <w:tab w:leader="none" w:pos="1161"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Unfunded Status of Awards; Creation of Trusts. </w:t>
      </w:r>
      <w:r>
        <w:rPr>
          <w:rFonts w:ascii="Arial" w:cs="Arial" w:eastAsia="Arial" w:hAnsi="Arial"/>
          <w:sz w:val="16"/>
          <w:szCs w:val="16"/>
          <w:color w:val="auto"/>
        </w:rPr>
        <w:t>The Plan is intended to constitute an “unfunded” plan for incentive and deferred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18" w:lineRule="exact"/>
        <w:rPr>
          <w:rFonts w:ascii="Arial" w:cs="Arial" w:eastAsia="Arial" w:hAnsi="Arial"/>
          <w:sz w:val="16"/>
          <w:szCs w:val="16"/>
          <w:color w:val="auto"/>
        </w:rPr>
      </w:pPr>
    </w:p>
    <w:p>
      <w:pPr>
        <w:ind w:right="260" w:firstLine="921"/>
        <w:spacing w:after="0" w:line="306" w:lineRule="auto"/>
        <w:tabs>
          <w:tab w:leader="none" w:pos="1161"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Nonexclusivity of the Plan. </w:t>
      </w:r>
      <w:r>
        <w:rPr>
          <w:rFonts w:ascii="Arial" w:cs="Arial" w:eastAsia="Arial" w:hAnsi="Arial"/>
          <w:sz w:val="16"/>
          <w:szCs w:val="16"/>
          <w:color w:val="auto"/>
        </w:rPr>
        <w:t>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06" w:lineRule="exact"/>
        <w:rPr>
          <w:rFonts w:ascii="Arial" w:cs="Arial" w:eastAsia="Arial" w:hAnsi="Arial"/>
          <w:sz w:val="16"/>
          <w:szCs w:val="16"/>
          <w:color w:val="auto"/>
        </w:rPr>
      </w:pPr>
    </w:p>
    <w:p>
      <w:pPr>
        <w:jc w:val="both"/>
        <w:ind w:right="280" w:firstLine="921"/>
        <w:spacing w:after="0" w:line="323" w:lineRule="auto"/>
        <w:tabs>
          <w:tab w:leader="none" w:pos="1122" w:val="left"/>
        </w:tabs>
        <w:numPr>
          <w:ilvl w:val="0"/>
          <w:numId w:val="5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Payments in the Event of Forfeitures; Fractional Shares. </w:t>
      </w:r>
      <w:r>
        <w:rPr>
          <w:rFonts w:ascii="Arial" w:cs="Arial" w:eastAsia="Arial" w:hAnsi="Arial"/>
          <w:sz w:val="15"/>
          <w:szCs w:val="15"/>
          <w:color w:val="auto"/>
        </w:rPr>
        <w:t>Unless otherwise determined by the Committee, in the event of a forfeiture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97" w:lineRule="exact"/>
        <w:rPr>
          <w:rFonts w:ascii="Arial" w:cs="Arial" w:eastAsia="Arial" w:hAnsi="Arial"/>
          <w:sz w:val="15"/>
          <w:szCs w:val="15"/>
          <w:color w:val="auto"/>
        </w:rPr>
      </w:pPr>
    </w:p>
    <w:p>
      <w:pPr>
        <w:ind w:right="260" w:firstLine="921"/>
        <w:spacing w:after="0" w:line="332" w:lineRule="auto"/>
        <w:tabs>
          <w:tab w:leader="none" w:pos="1122"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Governing Law. </w:t>
      </w:r>
      <w:r>
        <w:rPr>
          <w:rFonts w:ascii="Arial" w:cs="Arial" w:eastAsia="Arial" w:hAnsi="Arial"/>
          <w:sz w:val="16"/>
          <w:szCs w:val="16"/>
          <w:color w:val="auto"/>
        </w:rPr>
        <w:t>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State of Delaware without giving effect to principles of conflict of laws, and applicable federal law.</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47" w:name="page48"/>
    <w:bookmarkEnd w:id="47"/>
    <w:p>
      <w:pPr>
        <w:ind w:left="-20" w:right="80" w:firstLine="921"/>
        <w:spacing w:after="0" w:line="306" w:lineRule="auto"/>
        <w:tabs>
          <w:tab w:leader="none" w:pos="1141"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Non-U.S. Laws. </w:t>
      </w:r>
      <w:r>
        <w:rPr>
          <w:rFonts w:ascii="Arial" w:cs="Arial" w:eastAsia="Arial" w:hAnsi="Arial"/>
          <w:sz w:val="16"/>
          <w:szCs w:val="16"/>
          <w:color w:val="auto"/>
        </w:rPr>
        <w:t>The Committee shall have the authority to adopt such modifications, procedures, and subplans as may be necessary or desirable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06" w:lineRule="exact"/>
        <w:rPr>
          <w:rFonts w:ascii="Arial" w:cs="Arial" w:eastAsia="Arial" w:hAnsi="Arial"/>
          <w:sz w:val="16"/>
          <w:szCs w:val="16"/>
          <w:color w:val="auto"/>
        </w:rPr>
      </w:pPr>
    </w:p>
    <w:p>
      <w:pPr>
        <w:ind w:left="-20" w:firstLine="921"/>
        <w:spacing w:after="0" w:line="253" w:lineRule="auto"/>
        <w:tabs>
          <w:tab w:leader="none" w:pos="1102"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Plan Effective Date and Shareholder Approval; Termination of Plan. </w:t>
      </w:r>
      <w:r>
        <w:rPr>
          <w:rFonts w:ascii="Arial" w:cs="Arial" w:eastAsia="Arial" w:hAnsi="Arial"/>
          <w:sz w:val="18"/>
          <w:szCs w:val="18"/>
          <w:color w:val="auto"/>
        </w:rPr>
        <w:t>The Plan shall become effective on the Effective Date, which is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80"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20" w:type="dxa"/>
            <w:vAlign w:val="bottom"/>
          </w:tcPr>
          <w:p>
            <w:pPr>
              <w:ind w:left="720"/>
              <w:spacing w:after="0"/>
              <w:rPr>
                <w:sz w:val="20"/>
                <w:szCs w:val="20"/>
                <w:color w:val="auto"/>
              </w:rPr>
            </w:pPr>
            <w:r>
              <w:rPr>
                <w:rFonts w:ascii="Arial" w:cs="Arial" w:eastAsia="Arial" w:hAnsi="Arial"/>
                <w:sz w:val="18"/>
                <w:szCs w:val="18"/>
                <w:b w:val="1"/>
                <w:bCs w:val="1"/>
                <w:color w:val="auto"/>
                <w:w w:val="87"/>
              </w:rPr>
              <w:t>Exhibit 10.2</w:t>
            </w:r>
          </w:p>
        </w:tc>
      </w:tr>
      <w:tr>
        <w:trPr>
          <w:trHeight w:val="366"/>
        </w:trPr>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40" w:type="dxa"/>
            <w:vAlign w:val="bottom"/>
            <w:gridSpan w:val="5"/>
          </w:tcPr>
          <w:p>
            <w:pPr>
              <w:jc w:val="center"/>
              <w:ind w:right="1600"/>
              <w:spacing w:after="0"/>
              <w:rPr>
                <w:sz w:val="20"/>
                <w:szCs w:val="20"/>
                <w:color w:val="auto"/>
              </w:rPr>
            </w:pPr>
            <w:r>
              <w:rPr>
                <w:rFonts w:ascii="Arial" w:cs="Arial" w:eastAsia="Arial" w:hAnsi="Arial"/>
                <w:sz w:val="18"/>
                <w:szCs w:val="18"/>
                <w:b w:val="1"/>
                <w:bCs w:val="1"/>
                <w:color w:val="auto"/>
                <w:w w:val="98"/>
              </w:rPr>
              <w:t>CASUAL MALE RETAIL GROUP, INC.</w:t>
            </w: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8"/>
        </w:trPr>
        <w:tc>
          <w:tcPr>
            <w:tcW w:w="8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360" w:type="dxa"/>
            <w:vAlign w:val="bottom"/>
            <w:gridSpan w:val="6"/>
          </w:tcPr>
          <w:p>
            <w:pPr>
              <w:jc w:val="center"/>
              <w:ind w:right="1080"/>
              <w:spacing w:after="0"/>
              <w:rPr>
                <w:sz w:val="20"/>
                <w:szCs w:val="20"/>
                <w:color w:val="auto"/>
              </w:rPr>
            </w:pPr>
            <w:r>
              <w:rPr>
                <w:rFonts w:ascii="Arial" w:cs="Arial" w:eastAsia="Arial" w:hAnsi="Arial"/>
                <w:sz w:val="18"/>
                <w:szCs w:val="18"/>
                <w:b w:val="1"/>
                <w:bCs w:val="1"/>
                <w:color w:val="auto"/>
                <w:w w:val="97"/>
              </w:rPr>
              <w:t>2006 INCENTIVE COMPENSATION PLAN</w:t>
            </w:r>
          </w:p>
        </w:tc>
        <w:tc>
          <w:tcPr>
            <w:tcW w:w="8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78"/>
        </w:trPr>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360" w:type="dxa"/>
            <w:vAlign w:val="bottom"/>
            <w:gridSpan w:val="6"/>
          </w:tcPr>
          <w:p>
            <w:pPr>
              <w:jc w:val="center"/>
              <w:ind w:right="1100"/>
              <w:spacing w:after="0"/>
              <w:rPr>
                <w:sz w:val="20"/>
                <w:szCs w:val="20"/>
                <w:color w:val="auto"/>
              </w:rPr>
            </w:pPr>
            <w:r>
              <w:rPr>
                <w:rFonts w:ascii="Arial" w:cs="Arial" w:eastAsia="Arial" w:hAnsi="Arial"/>
                <w:sz w:val="18"/>
                <w:szCs w:val="18"/>
                <w:b w:val="1"/>
                <w:bCs w:val="1"/>
                <w:color w:val="auto"/>
                <w:w w:val="99"/>
              </w:rPr>
              <w:t>NON-QUALIFIED STOCK OPTION AGREEMENT</w:t>
            </w: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0"/>
        </w:trPr>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3"/>
          </w:tcPr>
          <w:p>
            <w:pPr>
              <w:jc w:val="center"/>
              <w:ind w:right="2820"/>
              <w:spacing w:after="0"/>
              <w:rPr>
                <w:sz w:val="20"/>
                <w:szCs w:val="20"/>
                <w:color w:val="auto"/>
              </w:rPr>
            </w:pPr>
            <w:r>
              <w:rPr>
                <w:rFonts w:ascii="Arial" w:cs="Arial" w:eastAsia="Arial" w:hAnsi="Arial"/>
                <w:sz w:val="18"/>
                <w:szCs w:val="18"/>
                <w:b w:val="1"/>
                <w:bCs w:val="1"/>
                <w:color w:val="auto"/>
                <w:w w:val="87"/>
              </w:rPr>
              <w:t>Agreement</w:t>
            </w: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58"/>
        </w:trPr>
        <w:tc>
          <w:tcPr>
            <w:tcW w:w="8940" w:type="dxa"/>
            <w:vAlign w:val="bottom"/>
            <w:gridSpan w:val="8"/>
          </w:tcPr>
          <w:p>
            <w:pPr>
              <w:spacing w:after="0"/>
              <w:rPr>
                <w:sz w:val="20"/>
                <w:szCs w:val="20"/>
                <w:color w:val="auto"/>
              </w:rPr>
            </w:pPr>
            <w:r>
              <w:rPr>
                <w:rFonts w:ascii="Arial" w:cs="Arial" w:eastAsia="Arial" w:hAnsi="Arial"/>
                <w:sz w:val="18"/>
                <w:szCs w:val="18"/>
                <w:color w:val="auto"/>
                <w:w w:val="90"/>
              </w:rPr>
              <w:t xml:space="preserve">1. </w:t>
            </w:r>
            <w:r>
              <w:rPr>
                <w:rFonts w:ascii="Arial" w:cs="Arial" w:eastAsia="Arial" w:hAnsi="Arial"/>
                <w:sz w:val="18"/>
                <w:szCs w:val="18"/>
                <w:b w:val="1"/>
                <w:bCs w:val="1"/>
                <w:i w:val="1"/>
                <w:iCs w:val="1"/>
                <w:color w:val="auto"/>
                <w:w w:val="90"/>
              </w:rPr>
              <w:t>Grant of Option.</w:t>
            </w:r>
            <w:r>
              <w:rPr>
                <w:rFonts w:ascii="Arial" w:cs="Arial" w:eastAsia="Arial" w:hAnsi="Arial"/>
                <w:sz w:val="18"/>
                <w:szCs w:val="18"/>
                <w:color w:val="auto"/>
                <w:w w:val="90"/>
              </w:rPr>
              <w:t xml:space="preserve"> CASUAL MALE RETAIL GROUP, INC., a Delaware corporation (the “</w:t>
            </w:r>
            <w:r>
              <w:rPr>
                <w:rFonts w:ascii="Arial" w:cs="Arial" w:eastAsia="Arial" w:hAnsi="Arial"/>
                <w:sz w:val="18"/>
                <w:szCs w:val="18"/>
                <w:b w:val="1"/>
                <w:bCs w:val="1"/>
                <w:color w:val="auto"/>
                <w:w w:val="90"/>
              </w:rPr>
              <w:t>Company</w:t>
            </w:r>
            <w:r>
              <w:rPr>
                <w:rFonts w:ascii="Arial" w:cs="Arial" w:eastAsia="Arial" w:hAnsi="Arial"/>
                <w:sz w:val="18"/>
                <w:szCs w:val="18"/>
                <w:color w:val="auto"/>
                <w:w w:val="90"/>
              </w:rPr>
              <w:t>”), hereby grants, as of</w:t>
            </w:r>
          </w:p>
        </w:tc>
        <w:tc>
          <w:tcPr>
            <w:tcW w:w="860" w:type="dxa"/>
            <w:vAlign w:val="bottom"/>
            <w:tcBorders>
              <w:bottom w:val="single" w:sz="8" w:color="auto"/>
            </w:tcBorders>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Date of Grant</w:t>
            </w:r>
            <w:r>
              <w:rPr>
                <w:rFonts w:ascii="Arial" w:cs="Arial" w:eastAsia="Arial" w:hAnsi="Arial"/>
                <w:sz w:val="18"/>
                <w:szCs w:val="18"/>
                <w:color w:val="auto"/>
                <w:w w:val="94"/>
              </w:rPr>
              <w:t>”), to</w:t>
            </w:r>
          </w:p>
        </w:tc>
      </w:tr>
      <w:tr>
        <w:trPr>
          <w:trHeight w:val="196"/>
        </w:trPr>
        <w:tc>
          <w:tcPr>
            <w:tcW w:w="880" w:type="dxa"/>
            <w:vAlign w:val="bottom"/>
            <w:tcBorders>
              <w:bottom w:val="single" w:sz="8" w:color="auto"/>
            </w:tcBorders>
          </w:tcPr>
          <w:p>
            <w:pPr>
              <w:spacing w:after="0"/>
              <w:rPr>
                <w:sz w:val="17"/>
                <w:szCs w:val="17"/>
                <w:color w:val="auto"/>
              </w:rPr>
            </w:pPr>
          </w:p>
        </w:tc>
        <w:tc>
          <w:tcPr>
            <w:tcW w:w="43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Optionee</w:t>
            </w:r>
            <w:r>
              <w:rPr>
                <w:rFonts w:ascii="Arial" w:cs="Arial" w:eastAsia="Arial" w:hAnsi="Arial"/>
                <w:sz w:val="18"/>
                <w:szCs w:val="18"/>
                <w:color w:val="auto"/>
                <w:w w:val="91"/>
              </w:rPr>
              <w:t>”) an option (the “</w:t>
            </w:r>
            <w:r>
              <w:rPr>
                <w:rFonts w:ascii="Arial" w:cs="Arial" w:eastAsia="Arial" w:hAnsi="Arial"/>
                <w:sz w:val="18"/>
                <w:szCs w:val="18"/>
                <w:b w:val="1"/>
                <w:bCs w:val="1"/>
                <w:color w:val="auto"/>
                <w:w w:val="91"/>
              </w:rPr>
              <w:t>Option</w:t>
            </w:r>
            <w:r>
              <w:rPr>
                <w:rFonts w:ascii="Arial" w:cs="Arial" w:eastAsia="Arial" w:hAnsi="Arial"/>
                <w:sz w:val="18"/>
                <w:szCs w:val="18"/>
                <w:color w:val="auto"/>
                <w:w w:val="91"/>
              </w:rPr>
              <w:t>”) to purchase up to</w:t>
            </w: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6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9"/>
              </w:rPr>
              <w:t>shares of the Company’s common stock, $.01 par value per share (the</w:t>
            </w:r>
          </w:p>
        </w:tc>
      </w:tr>
      <w:tr>
        <w:trPr>
          <w:trHeight w:val="196"/>
        </w:trPr>
        <w:tc>
          <w:tcPr>
            <w:tcW w:w="3580" w:type="dxa"/>
            <w:vAlign w:val="bottom"/>
            <w:gridSpan w:val="2"/>
          </w:tcPr>
          <w:p>
            <w:pPr>
              <w:spacing w:after="0" w:line="196"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b w:val="1"/>
                <w:bCs w:val="1"/>
                <w:color w:val="auto"/>
                <w:w w:val="86"/>
              </w:rPr>
              <w:t>Shares</w:t>
            </w:r>
            <w:r>
              <w:rPr>
                <w:rFonts w:ascii="Arial" w:cs="Arial" w:eastAsia="Arial" w:hAnsi="Arial"/>
                <w:sz w:val="18"/>
                <w:szCs w:val="18"/>
                <w:color w:val="auto"/>
                <w:w w:val="86"/>
              </w:rPr>
              <w:t>”), at an exercise price per share equal to $</w:t>
            </w:r>
          </w:p>
        </w:tc>
        <w:tc>
          <w:tcPr>
            <w:tcW w:w="520" w:type="dxa"/>
            <w:vAlign w:val="bottom"/>
            <w:tcBorders>
              <w:bottom w:val="single" w:sz="8" w:color="auto"/>
            </w:tcBorders>
          </w:tcPr>
          <w:p>
            <w:pPr>
              <w:spacing w:after="0"/>
              <w:rPr>
                <w:sz w:val="17"/>
                <w:szCs w:val="17"/>
                <w:color w:val="auto"/>
              </w:rPr>
            </w:pPr>
          </w:p>
        </w:tc>
        <w:tc>
          <w:tcPr>
            <w:tcW w:w="7320" w:type="dxa"/>
            <w:vAlign w:val="bottom"/>
            <w:gridSpan w:val="7"/>
          </w:tcPr>
          <w:p>
            <w:pPr>
              <w:ind w:left="60"/>
              <w:spacing w:after="0" w:line="196" w:lineRule="exact"/>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Exercise Price</w:t>
            </w:r>
            <w:r>
              <w:rPr>
                <w:rFonts w:ascii="Arial" w:cs="Arial" w:eastAsia="Arial" w:hAnsi="Arial"/>
                <w:sz w:val="18"/>
                <w:szCs w:val="18"/>
                <w:color w:val="auto"/>
                <w:w w:val="91"/>
              </w:rPr>
              <w:t>”). The Option shall be subject to the terms and conditions set forth herein. The</w:t>
            </w:r>
          </w:p>
        </w:tc>
      </w:tr>
    </w:tbl>
    <w:p>
      <w:pPr>
        <w:spacing w:after="0" w:line="1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Option was issued pursuant to the Company’s 2006 Incentive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 which is incorporated herein for all purposes. The Option is a Non-Qualified Stock Option, and not an Incentive Stock Option. The Optionee hereby acknowledges receipt of a copy of the Plan and agrees to be bound by all of the terms and conditions hereof and thereof and all applicable laws and regulations.</w:t>
      </w:r>
    </w:p>
    <w:p>
      <w:pPr>
        <w:spacing w:after="0" w:line="138" w:lineRule="exact"/>
        <w:rPr>
          <w:sz w:val="20"/>
          <w:szCs w:val="20"/>
          <w:color w:val="auto"/>
        </w:rPr>
      </w:pPr>
    </w:p>
    <w:p>
      <w:pPr>
        <w:ind w:right="140" w:firstLine="8"/>
        <w:spacing w:after="0" w:line="268" w:lineRule="auto"/>
        <w:tabs>
          <w:tab w:leader="none" w:pos="176"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Unless otherwise provided herein, terms used herein that are defined in the Plan and not defined herein shall have the meanings attributed thereto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Plan.</w:t>
      </w:r>
    </w:p>
    <w:p>
      <w:pPr>
        <w:spacing w:after="0" w:line="131" w:lineRule="exact"/>
        <w:rPr>
          <w:rFonts w:ascii="Arial" w:cs="Arial" w:eastAsia="Arial" w:hAnsi="Arial"/>
          <w:sz w:val="18"/>
          <w:szCs w:val="18"/>
          <w:color w:val="auto"/>
        </w:rPr>
      </w:pPr>
    </w:p>
    <w:p>
      <w:pPr>
        <w:ind w:right="60" w:firstLine="8"/>
        <w:spacing w:after="0" w:line="294" w:lineRule="auto"/>
        <w:tabs>
          <w:tab w:leader="none" w:pos="176"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Schedule. </w:t>
      </w:r>
      <w:r>
        <w:rPr>
          <w:rFonts w:ascii="Arial" w:cs="Arial" w:eastAsia="Arial" w:hAnsi="Arial"/>
          <w:sz w:val="16"/>
          <w:szCs w:val="16"/>
          <w:color w:val="auto"/>
        </w:rPr>
        <w:t>Except as otherwise provided in Sections 6 or 9 of this Agreement, or in the Plan, the Option is exercisable in installments as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which shall be cumulative. To the extent that the Option has become exercisable with respect to a percentage of Shares as provided below, the Option may thereafter be exercised by the Optionee, in whole or in part, at any time or from time to time prior to the expiration of the Option as provided herein. The following table indicates each date (the “</w:t>
      </w:r>
      <w:r>
        <w:rPr>
          <w:rFonts w:ascii="Arial" w:cs="Arial" w:eastAsia="Arial" w:hAnsi="Arial"/>
          <w:sz w:val="16"/>
          <w:szCs w:val="16"/>
          <w:b w:val="1"/>
          <w:bCs w:val="1"/>
          <w:color w:val="auto"/>
        </w:rPr>
        <w:t>Vesting Date</w:t>
      </w:r>
      <w:r>
        <w:rPr>
          <w:rFonts w:ascii="Arial" w:cs="Arial" w:eastAsia="Arial" w:hAnsi="Arial"/>
          <w:sz w:val="16"/>
          <w:szCs w:val="16"/>
          <w:color w:val="auto"/>
        </w:rPr>
        <w:t>”) upon which the Optionee shall be entitled to exercise the Option with respect to the percentage of Shares granted as indicated beside the date, provided that the Continuous Service of the Optionee continues through and on the applicable Vesting Date:</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3"/>
              </w:rPr>
              <w:t>Percentage of Shares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Vesting Date</w:t>
            </w:r>
          </w:p>
        </w:tc>
        <w:tc>
          <w:tcPr>
            <w:tcW w:w="11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Becoming Available</w:t>
            </w: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Cumulative Percentage</w:t>
            </w:r>
          </w:p>
        </w:tc>
        <w:tc>
          <w:tcPr>
            <w:tcW w:w="0" w:type="dxa"/>
            <w:vAlign w:val="bottom"/>
          </w:tcPr>
          <w:p>
            <w:pPr>
              <w:spacing w:after="0"/>
              <w:rPr>
                <w:sz w:val="1"/>
                <w:szCs w:val="1"/>
                <w:color w:val="auto"/>
              </w:rPr>
            </w:pPr>
          </w:p>
        </w:tc>
      </w:tr>
      <w:tr>
        <w:trPr>
          <w:trHeight w:val="155"/>
        </w:trPr>
        <w:tc>
          <w:tcPr>
            <w:tcW w:w="4520" w:type="dxa"/>
            <w:vAlign w:val="bottom"/>
            <w:tcBorders>
              <w:bottom w:val="single" w:sz="8" w:color="auto"/>
            </w:tcBorders>
            <w:vMerge w:val="continue"/>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for Exercise</w:t>
            </w:r>
          </w:p>
        </w:tc>
        <w:tc>
          <w:tcPr>
            <w:tcW w:w="1240" w:type="dxa"/>
            <w:vAlign w:val="bottom"/>
          </w:tcPr>
          <w:p>
            <w:pPr>
              <w:spacing w:after="0"/>
              <w:rPr>
                <w:sz w:val="13"/>
                <w:szCs w:val="13"/>
                <w:color w:val="auto"/>
              </w:rPr>
            </w:pPr>
          </w:p>
        </w:tc>
        <w:tc>
          <w:tcPr>
            <w:tcW w:w="13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Available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First Anniversary of Date of Grant</w:t>
            </w:r>
          </w:p>
        </w:tc>
        <w:tc>
          <w:tcPr>
            <w:tcW w:w="3560" w:type="dxa"/>
            <w:vAlign w:val="bottom"/>
            <w:gridSpan w:val="3"/>
            <w:shd w:val="clear" w:color="auto" w:fill="CCEEFF"/>
          </w:tcPr>
          <w:p>
            <w:pPr>
              <w:jc w:val="right"/>
              <w:ind w:right="110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 Anniversary of Date of Grant</w:t>
            </w:r>
          </w:p>
        </w:tc>
        <w:tc>
          <w:tcPr>
            <w:tcW w:w="3560" w:type="dxa"/>
            <w:vAlign w:val="bottom"/>
            <w:gridSpan w:val="3"/>
          </w:tcPr>
          <w:p>
            <w:pPr>
              <w:jc w:val="right"/>
              <w:ind w:right="110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tcPr>
          <w:p>
            <w:pPr>
              <w:jc w:val="right"/>
              <w:spacing w:after="0" w:line="217" w:lineRule="exact"/>
              <w:rPr>
                <w:sz w:val="20"/>
                <w:szCs w:val="20"/>
                <w:color w:val="auto"/>
              </w:rPr>
            </w:pPr>
            <w:r>
              <w:rPr>
                <w:rFonts w:ascii="Arial" w:cs="Arial" w:eastAsia="Arial" w:hAnsi="Arial"/>
                <w:sz w:val="18"/>
                <w:szCs w:val="18"/>
                <w:color w:val="auto"/>
              </w:rPr>
              <w:t xml:space="preserve">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Third Anniversary of Date of Grant</w:t>
            </w:r>
          </w:p>
        </w:tc>
        <w:tc>
          <w:tcPr>
            <w:tcW w:w="3560" w:type="dxa"/>
            <w:vAlign w:val="bottom"/>
            <w:gridSpan w:val="3"/>
            <w:shd w:val="clear" w:color="auto" w:fill="CCEEFF"/>
          </w:tcPr>
          <w:p>
            <w:pPr>
              <w:jc w:val="right"/>
              <w:ind w:right="110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Except as otherwise specifically provided herein, there shall be no proportionate or partial vesting in the periods prior to each Vesting Date, and all vesting shall occur only on the appropriate Vesting Date. Upon the termination of the Optionee’s Continuous Service with the Company and its Related Entities, any unvested portion of the Option shall terminate and be null and void, except as may otherwise be determined by the Committee in writing in its sole discretion.</w:t>
      </w:r>
    </w:p>
    <w:p>
      <w:pPr>
        <w:sectPr>
          <w:pgSz w:w="11900" w:h="16838" w:orient="portrait"/>
          <w:cols w:equalWidth="0" w:num="1">
            <w:col w:w="11420"/>
          </w:cols>
          <w:pgMar w:left="240" w:top="125" w:right="239" w:bottom="1440" w:gutter="0" w:footer="0" w:header="0"/>
        </w:sectPr>
      </w:pPr>
    </w:p>
    <w:bookmarkStart w:id="49" w:name="page50"/>
    <w:bookmarkEnd w:id="49"/>
    <w:p>
      <w:pPr>
        <w:ind w:left="-8" w:right="40" w:firstLine="8"/>
        <w:spacing w:after="0" w:line="288" w:lineRule="auto"/>
        <w:tabs>
          <w:tab w:leader="none" w:pos="168"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Method of Exercise. </w:t>
      </w:r>
      <w:r>
        <w:rPr>
          <w:rFonts w:ascii="Arial" w:cs="Arial" w:eastAsia="Arial" w:hAnsi="Arial"/>
          <w:sz w:val="16"/>
          <w:szCs w:val="16"/>
          <w:color w:val="auto"/>
        </w:rPr>
        <w:t>The vested portion of this Option shall be exercisable in whole or in part in accordance with the exercise schedule set forth in Section 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by written notice 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19" w:lineRule="exact"/>
        <w:rPr>
          <w:rFonts w:ascii="Arial" w:cs="Arial" w:eastAsia="Arial" w:hAnsi="Arial"/>
          <w:sz w:val="16"/>
          <w:szCs w:val="16"/>
          <w:color w:val="auto"/>
        </w:rPr>
      </w:pPr>
    </w:p>
    <w:p>
      <w:pPr>
        <w:ind w:left="172" w:hanging="172"/>
        <w:spacing w:after="0"/>
        <w:tabs>
          <w:tab w:leader="none" w:pos="172"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Method of Payment. </w:t>
      </w:r>
      <w:r>
        <w:rPr>
          <w:rFonts w:ascii="Arial" w:cs="Arial" w:eastAsia="Arial" w:hAnsi="Arial"/>
          <w:sz w:val="16"/>
          <w:szCs w:val="16"/>
          <w:color w:val="auto"/>
        </w:rPr>
        <w:t>Payment of the Exercise Price shall be by any of the following, or a combination thereof, at the election of the Optionee: (a) cash;</w:t>
      </w:r>
    </w:p>
    <w:p>
      <w:pPr>
        <w:spacing w:after="0" w:line="38" w:lineRule="exact"/>
        <w:rPr>
          <w:sz w:val="20"/>
          <w:szCs w:val="20"/>
          <w:color w:val="auto"/>
        </w:rPr>
      </w:pPr>
    </w:p>
    <w:p>
      <w:pPr>
        <w:ind w:left="-8" w:firstLine="8"/>
        <w:spacing w:after="0" w:line="253" w:lineRule="auto"/>
        <w:tabs>
          <w:tab w:leader="none" w:pos="2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check; (c) to the extent permitted by the Committee, with Shares owned by the Optionee, or the withholding of Shares that otherwise would be delivered to the Optionee as a result of the exercise of the Option,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or (e) such other consideration or in such other manner as may be determined by the Committee in its absolute discretion.</w:t>
      </w:r>
    </w:p>
    <w:p>
      <w:pPr>
        <w:spacing w:after="0" w:line="226" w:lineRule="exact"/>
        <w:rPr>
          <w:sz w:val="20"/>
          <w:szCs w:val="20"/>
          <w:color w:val="auto"/>
        </w:rPr>
      </w:pPr>
    </w:p>
    <w:p>
      <w:pPr>
        <w:ind w:left="172" w:hanging="172"/>
        <w:spacing w:after="0"/>
        <w:tabs>
          <w:tab w:leader="none" w:pos="172"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Option.</w:t>
      </w:r>
    </w:p>
    <w:p>
      <w:pPr>
        <w:spacing w:after="0" w:line="90" w:lineRule="exact"/>
        <w:rPr>
          <w:rFonts w:ascii="Arial" w:cs="Arial" w:eastAsia="Arial" w:hAnsi="Arial"/>
          <w:sz w:val="18"/>
          <w:szCs w:val="18"/>
          <w:color w:val="auto"/>
        </w:rPr>
      </w:pPr>
    </w:p>
    <w:p>
      <w:pPr>
        <w:ind w:left="-8" w:right="40" w:firstLine="464"/>
        <w:spacing w:after="0" w:line="268" w:lineRule="auto"/>
        <w:tabs>
          <w:tab w:leader="none" w:pos="68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unexercised portion of the Option shall automatically and without notice terminate and become null and void at the time of the earliest to occur of the following:</w:t>
      </w:r>
    </w:p>
    <w:p>
      <w:pPr>
        <w:spacing w:after="0" w:line="50" w:lineRule="exact"/>
        <w:rPr>
          <w:rFonts w:ascii="Arial" w:cs="Arial" w:eastAsia="Arial" w:hAnsi="Arial"/>
          <w:sz w:val="18"/>
          <w:szCs w:val="18"/>
          <w:color w:val="auto"/>
        </w:rPr>
      </w:pPr>
    </w:p>
    <w:p>
      <w:pPr>
        <w:ind w:left="-8" w:right="320" w:firstLine="921"/>
        <w:spacing w:after="0" w:line="259" w:lineRule="auto"/>
        <w:tabs>
          <w:tab w:leader="none" w:pos="1115" w:val="left"/>
        </w:tabs>
        <w:numPr>
          <w:ilvl w:val="2"/>
          <w:numId w:val="56"/>
        </w:numPr>
        <w:rPr>
          <w:rFonts w:ascii="Arial" w:cs="Arial" w:eastAsia="Arial" w:hAnsi="Arial"/>
          <w:sz w:val="18"/>
          <w:szCs w:val="18"/>
          <w:color w:val="auto"/>
        </w:rPr>
      </w:pPr>
      <w:r>
        <w:rPr>
          <w:rFonts w:ascii="Arial" w:cs="Arial" w:eastAsia="Arial" w:hAnsi="Arial"/>
          <w:sz w:val="18"/>
          <w:szCs w:val="18"/>
          <w:color w:val="auto"/>
        </w:rPr>
        <w:t>unless the Committee otherwise determines in writing in its sole discretion, three months after the date on which the Optionee’s Continuous Service is terminated other than by reason of (A) by the Company or a Related Entity for Cause, (B) a Disability of the Optionee as determined by a medical doctor satisfactory to the Committee, or (C) the death of the Optionee;</w:t>
      </w:r>
    </w:p>
    <w:p>
      <w:pPr>
        <w:spacing w:after="0" w:line="140" w:lineRule="exact"/>
        <w:rPr>
          <w:rFonts w:ascii="Arial" w:cs="Arial" w:eastAsia="Arial" w:hAnsi="Arial"/>
          <w:sz w:val="18"/>
          <w:szCs w:val="18"/>
          <w:color w:val="auto"/>
        </w:rPr>
      </w:pPr>
    </w:p>
    <w:p>
      <w:pPr>
        <w:ind w:left="1172" w:hanging="259"/>
        <w:spacing w:after="0"/>
        <w:tabs>
          <w:tab w:leader="none" w:pos="1172" w:val="left"/>
        </w:tabs>
        <w:numPr>
          <w:ilvl w:val="2"/>
          <w:numId w:val="56"/>
        </w:numPr>
        <w:rPr>
          <w:rFonts w:ascii="Arial" w:cs="Arial" w:eastAsia="Arial" w:hAnsi="Arial"/>
          <w:sz w:val="18"/>
          <w:szCs w:val="18"/>
          <w:color w:val="auto"/>
        </w:rPr>
      </w:pPr>
      <w:r>
        <w:rPr>
          <w:rFonts w:ascii="Arial" w:cs="Arial" w:eastAsia="Arial" w:hAnsi="Arial"/>
          <w:sz w:val="18"/>
          <w:szCs w:val="18"/>
          <w:color w:val="auto"/>
        </w:rPr>
        <w:t>immediately upon the termination of the Optionee’s Continuous Service by the Company or a Related Entity for Cause;</w:t>
      </w:r>
    </w:p>
    <w:p>
      <w:pPr>
        <w:spacing w:after="0" w:line="171" w:lineRule="exact"/>
        <w:rPr>
          <w:rFonts w:ascii="Arial" w:cs="Arial" w:eastAsia="Arial" w:hAnsi="Arial"/>
          <w:sz w:val="18"/>
          <w:szCs w:val="18"/>
          <w:color w:val="auto"/>
        </w:rPr>
      </w:pPr>
    </w:p>
    <w:p>
      <w:pPr>
        <w:ind w:left="-8" w:right="260" w:firstLine="921"/>
        <w:spacing w:after="0" w:line="268" w:lineRule="auto"/>
        <w:tabs>
          <w:tab w:leader="none" w:pos="1212" w:val="left"/>
        </w:tabs>
        <w:numPr>
          <w:ilvl w:val="2"/>
          <w:numId w:val="56"/>
        </w:numPr>
        <w:rPr>
          <w:rFonts w:ascii="Arial" w:cs="Arial" w:eastAsia="Arial" w:hAnsi="Arial"/>
          <w:sz w:val="18"/>
          <w:szCs w:val="18"/>
          <w:color w:val="auto"/>
        </w:rPr>
      </w:pPr>
      <w:r>
        <w:rPr>
          <w:rFonts w:ascii="Arial" w:cs="Arial" w:eastAsia="Arial" w:hAnsi="Arial"/>
          <w:sz w:val="18"/>
          <w:szCs w:val="18"/>
          <w:color w:val="auto"/>
        </w:rPr>
        <w:t>twelve months after the date on which the Optionee’s Continuous Service is terminated by reason of a Disability as determined by a medical doctor satisfactory to the Committee;</w:t>
      </w:r>
    </w:p>
    <w:p>
      <w:pPr>
        <w:spacing w:after="0" w:line="131" w:lineRule="exact"/>
        <w:rPr>
          <w:rFonts w:ascii="Arial" w:cs="Arial" w:eastAsia="Arial" w:hAnsi="Arial"/>
          <w:sz w:val="18"/>
          <w:szCs w:val="18"/>
          <w:color w:val="auto"/>
        </w:rPr>
      </w:pPr>
    </w:p>
    <w:p>
      <w:pPr>
        <w:ind w:left="1212" w:hanging="299"/>
        <w:spacing w:after="0"/>
        <w:tabs>
          <w:tab w:leader="none" w:pos="1212" w:val="left"/>
        </w:tabs>
        <w:numPr>
          <w:ilvl w:val="2"/>
          <w:numId w:val="56"/>
        </w:numPr>
        <w:rPr>
          <w:rFonts w:ascii="Arial" w:cs="Arial" w:eastAsia="Arial" w:hAnsi="Arial"/>
          <w:sz w:val="16"/>
          <w:szCs w:val="16"/>
          <w:color w:val="auto"/>
        </w:rPr>
      </w:pPr>
      <w:r>
        <w:rPr>
          <w:rFonts w:ascii="Arial" w:cs="Arial" w:eastAsia="Arial" w:hAnsi="Arial"/>
          <w:sz w:val="16"/>
          <w:szCs w:val="16"/>
          <w:color w:val="auto"/>
        </w:rPr>
        <w:t>(A) twelve months after the date of termination of the Optionee’s Continuous Service by reason of the death of the Optionee, or, if later,</w:t>
      </w:r>
    </w:p>
    <w:p>
      <w:pPr>
        <w:spacing w:after="0" w:line="38" w:lineRule="exact"/>
        <w:rPr>
          <w:sz w:val="20"/>
          <w:szCs w:val="20"/>
          <w:color w:val="auto"/>
        </w:rPr>
      </w:pPr>
    </w:p>
    <w:p>
      <w:pPr>
        <w:jc w:val="center"/>
        <w:ind w:left="5672" w:right="520" w:hanging="5672"/>
        <w:spacing w:after="0" w:line="433" w:lineRule="auto"/>
        <w:tabs>
          <w:tab w:leader="none" w:pos="2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three months after the date on which the Optionee shall die if such death shall occur during the one year period specified in Section 6(a)(iii) hereof; or 2</w:t>
      </w:r>
    </w:p>
    <w:p>
      <w:pPr>
        <w:sectPr>
          <w:pgSz w:w="11900" w:h="16838" w:orient="portrait"/>
          <w:cols w:equalWidth="0" w:num="1">
            <w:col w:w="11332"/>
          </w:cols>
          <w:pgMar w:left="248" w:top="280" w:right="319" w:bottom="1440" w:gutter="0" w:footer="0" w:header="0"/>
        </w:sectPr>
      </w:pPr>
    </w:p>
    <w:bookmarkStart w:id="50" w:name="page51"/>
    <w:bookmarkEnd w:id="50"/>
    <w:p>
      <w:pPr>
        <w:ind w:left="1152" w:hanging="239"/>
        <w:spacing w:after="0"/>
        <w:tabs>
          <w:tab w:leader="none" w:pos="1152" w:val="left"/>
        </w:tabs>
        <w:numPr>
          <w:ilvl w:val="2"/>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tenth anniversary of the date as of which the Option is granted.</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1"/>
          <w:numId w:val="59"/>
        </w:numPr>
        <w:rPr>
          <w:rFonts w:ascii="Arial" w:cs="Arial" w:eastAsia="Arial" w:hAnsi="Arial"/>
          <w:sz w:val="16"/>
          <w:szCs w:val="16"/>
          <w:color w:val="auto"/>
        </w:rPr>
      </w:pPr>
      <w:r>
        <w:rPr>
          <w:rFonts w:ascii="Arial" w:cs="Arial" w:eastAsia="Arial" w:hAnsi="Arial"/>
          <w:sz w:val="16"/>
          <w:szCs w:val="16"/>
          <w:color w:val="auto"/>
        </w:rPr>
        <w:t>To the extent not previously exercised, (i) the Option shall terminate immediately in the event of (A) the liquidation or dissolution of the Company, or</w:t>
      </w:r>
    </w:p>
    <w:p>
      <w:pPr>
        <w:spacing w:after="0" w:line="38" w:lineRule="exact"/>
        <w:rPr>
          <w:rFonts w:ascii="Arial" w:cs="Arial" w:eastAsia="Arial" w:hAnsi="Arial"/>
          <w:sz w:val="16"/>
          <w:szCs w:val="16"/>
          <w:color w:val="auto"/>
        </w:rPr>
      </w:pPr>
    </w:p>
    <w:p>
      <w:pPr>
        <w:ind w:left="-8" w:right="20" w:firstLine="8"/>
        <w:spacing w:after="0" w:line="287" w:lineRule="auto"/>
        <w:tabs>
          <w:tab w:leader="none" w:pos="27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10(c) of the Plan, and (ii) the Committee in its sole discretion may by written notice (“cancellation notice”) cancel, effective upon the consummation of any corporate transaction described in Section 9(b)(i) of the Plan,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39" w:lineRule="exact"/>
        <w:rPr>
          <w:sz w:val="20"/>
          <w:szCs w:val="20"/>
          <w:color w:val="auto"/>
        </w:rPr>
      </w:pPr>
    </w:p>
    <w:p>
      <w:pPr>
        <w:ind w:left="-8" w:right="20" w:firstLine="8"/>
        <w:spacing w:after="0" w:line="291" w:lineRule="auto"/>
        <w:tabs>
          <w:tab w:leader="none" w:pos="168"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Transferability. </w:t>
      </w:r>
      <w:r>
        <w:rPr>
          <w:rFonts w:ascii="Arial" w:cs="Arial" w:eastAsia="Arial" w:hAnsi="Arial"/>
          <w:sz w:val="16"/>
          <w:szCs w:val="16"/>
          <w:color w:val="auto"/>
        </w:rPr>
        <w:t>Unless otherwise determined by the Committee, the Option granted hereby is not transferable otherwise than by will or under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of descent and distribution, and during the lifetime of the Optionee the Option shall be exercisable only by the Optionee, or the Optionee’s guardian or legal representative. In addition, the Option shall not be assigned, negotiated, pledged or hypothecated in any way (whether by operation of law or otherwise), and the Option shall not be subject to execution, attachment or similar process. Upon any attempt to transfer, assign, negotiate, pledge or hypothecate the Option, or in the event of any levy upon the Option by reason of any execution, attachment or similar process contrary to the provisions hereof, the Option shall immediately become null and void. The terms of this Option shall be binding upon the executors, administrators, heirs, successors and assigns of the Optionee.</w:t>
      </w:r>
    </w:p>
    <w:p>
      <w:pPr>
        <w:spacing w:after="0" w:line="120" w:lineRule="exact"/>
        <w:rPr>
          <w:rFonts w:ascii="Arial" w:cs="Arial" w:eastAsia="Arial" w:hAnsi="Arial"/>
          <w:sz w:val="16"/>
          <w:szCs w:val="16"/>
          <w:color w:val="auto"/>
        </w:rPr>
      </w:pPr>
    </w:p>
    <w:p>
      <w:pPr>
        <w:ind w:left="-8" w:firstLine="8"/>
        <w:spacing w:after="0" w:line="259" w:lineRule="auto"/>
        <w:tabs>
          <w:tab w:leader="none" w:pos="168"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Rights of Stockholders. </w:t>
      </w:r>
      <w:r>
        <w:rPr>
          <w:rFonts w:ascii="Arial" w:cs="Arial" w:eastAsia="Arial" w:hAnsi="Arial"/>
          <w:sz w:val="18"/>
          <w:szCs w:val="18"/>
          <w:color w:val="auto"/>
        </w:rPr>
        <w:t>Neither the Optionee nor any personal representative (or beneficiary) shall be, or shall have any of the rights and privileges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of the Company with respect to any Shares purchasable or issuable upon the exercise of the Option, in whole or in part, prior to the date of exercise of the Option.</w:t>
      </w:r>
    </w:p>
    <w:p>
      <w:pPr>
        <w:spacing w:after="0" w:line="140" w:lineRule="exact"/>
        <w:rPr>
          <w:rFonts w:ascii="Arial" w:cs="Arial" w:eastAsia="Arial" w:hAnsi="Arial"/>
          <w:sz w:val="18"/>
          <w:szCs w:val="18"/>
          <w:color w:val="auto"/>
        </w:rPr>
      </w:pPr>
    </w:p>
    <w:p>
      <w:pPr>
        <w:ind w:left="172" w:hanging="172"/>
        <w:spacing w:after="0"/>
        <w:tabs>
          <w:tab w:leader="none" w:pos="172"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of Exercisability of Option.</w:t>
      </w:r>
    </w:p>
    <w:p>
      <w:pPr>
        <w:spacing w:after="0" w:line="90" w:lineRule="exact"/>
        <w:rPr>
          <w:rFonts w:ascii="Arial" w:cs="Arial" w:eastAsia="Arial" w:hAnsi="Arial"/>
          <w:sz w:val="18"/>
          <w:szCs w:val="18"/>
          <w:color w:val="auto"/>
        </w:rPr>
      </w:pPr>
    </w:p>
    <w:p>
      <w:pPr>
        <w:ind w:left="-8" w:right="40" w:firstLine="464"/>
        <w:spacing w:after="0" w:line="268" w:lineRule="auto"/>
        <w:tabs>
          <w:tab w:leader="none" w:pos="68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Option shall become immediately fully exercisable in the event that, prior to the termination of the Option pursuant to Section 6 hereof, and during the Optionee’s Continuous Service, there is a “Change in Control,” as defined in Section 9(b) of the Plan.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51" w:name="page52"/>
    <w:bookmarkEnd w:id="51"/>
    <w:p>
      <w:pPr>
        <w:jc w:val="both"/>
        <w:ind w:left="-8" w:right="340" w:firstLine="464"/>
        <w:spacing w:after="0" w:line="259" w:lineRule="auto"/>
        <w:tabs>
          <w:tab w:leader="none" w:pos="697" w:val="left"/>
        </w:tabs>
        <w:numPr>
          <w:ilvl w:val="1"/>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Option shall become immediately fully exercisable in the event that, prior to the termination of the Option pursuant to Section 6 hereof, (i) the Option is terminated pursuant to Section 6(b)(i) hereof, or (ii) the Company exercises its discretion to provide a cancellation notice with respect to the Option pursuant to Section 6(b)(ii) hereof.</w:t>
      </w:r>
    </w:p>
    <w:p>
      <w:pPr>
        <w:spacing w:after="0" w:line="140" w:lineRule="exact"/>
        <w:rPr>
          <w:rFonts w:ascii="Arial" w:cs="Arial" w:eastAsia="Arial" w:hAnsi="Arial"/>
          <w:sz w:val="18"/>
          <w:szCs w:val="18"/>
          <w:color w:val="auto"/>
        </w:rPr>
      </w:pPr>
    </w:p>
    <w:p>
      <w:pPr>
        <w:ind w:left="-8" w:right="280" w:firstLine="8"/>
        <w:spacing w:after="0" w:line="268"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 to Continued Employment. </w:t>
      </w:r>
      <w:r>
        <w:rPr>
          <w:rFonts w:ascii="Arial" w:cs="Arial" w:eastAsia="Arial" w:hAnsi="Arial"/>
          <w:sz w:val="18"/>
          <w:szCs w:val="18"/>
          <w:color w:val="auto"/>
        </w:rPr>
        <w:t>Neither the Option nor this Agreement shall confer upon the Optionee any right to continued employment or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Company.</w:t>
      </w:r>
    </w:p>
    <w:p>
      <w:pPr>
        <w:spacing w:after="0" w:line="131" w:lineRule="exact"/>
        <w:rPr>
          <w:rFonts w:ascii="Arial" w:cs="Arial" w:eastAsia="Arial" w:hAnsi="Arial"/>
          <w:sz w:val="18"/>
          <w:szCs w:val="18"/>
          <w:color w:val="auto"/>
        </w:rPr>
      </w:pPr>
    </w:p>
    <w:p>
      <w:pPr>
        <w:ind w:left="252" w:hanging="252"/>
        <w:spacing w:after="0"/>
        <w:tabs>
          <w:tab w:leader="none" w:pos="252"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Law Governing. </w:t>
      </w:r>
      <w:r>
        <w:rPr>
          <w:rFonts w:ascii="Arial" w:cs="Arial" w:eastAsia="Arial" w:hAnsi="Arial"/>
          <w:sz w:val="18"/>
          <w:szCs w:val="18"/>
          <w:color w:val="auto"/>
        </w:rPr>
        <w:t>This Agreement shall be governed in accordance with and governed by the internal laws of the State of Delaware.</w:t>
      </w:r>
    </w:p>
    <w:p>
      <w:pPr>
        <w:spacing w:after="0" w:line="171" w:lineRule="exact"/>
        <w:rPr>
          <w:rFonts w:ascii="Arial" w:cs="Arial" w:eastAsia="Arial" w:hAnsi="Arial"/>
          <w:sz w:val="18"/>
          <w:szCs w:val="18"/>
          <w:color w:val="auto"/>
        </w:rPr>
      </w:pPr>
    </w:p>
    <w:p>
      <w:pPr>
        <w:ind w:left="-8" w:right="140" w:firstLine="8"/>
        <w:spacing w:after="0" w:line="291" w:lineRule="auto"/>
        <w:tabs>
          <w:tab w:leader="none" w:pos="255"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Interpretation / Provisions of Plan Control. </w:t>
      </w:r>
      <w:r>
        <w:rPr>
          <w:rFonts w:ascii="Arial" w:cs="Arial" w:eastAsia="Arial" w:hAnsi="Arial"/>
          <w:sz w:val="16"/>
          <w:szCs w:val="16"/>
          <w:color w:val="auto"/>
        </w:rPr>
        <w:t>This Agreement is subject to all the terms, conditions and provisions of the Plan, including, without limitation,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20" w:lineRule="exact"/>
        <w:rPr>
          <w:rFonts w:ascii="Arial" w:cs="Arial" w:eastAsia="Arial" w:hAnsi="Arial"/>
          <w:sz w:val="16"/>
          <w:szCs w:val="16"/>
          <w:color w:val="auto"/>
        </w:rPr>
      </w:pPr>
    </w:p>
    <w:p>
      <w:pPr>
        <w:ind w:left="-8" w:firstLine="8"/>
        <w:spacing w:after="0" w:line="255"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notice under this Agreement shall be in writing and shall be deemed to have been duly given when delivered personally or when deposited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mail, registered, postage prepaid, and addressed, in the case of the Company, to the Company’s Secretary at 555 Turnpike Street, Canton, MA 02021,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52" w:name="page53"/>
    <w:bookmarkEnd w:id="52"/>
    <w:tbl>
      <w:tblPr>
        <w:tblLayout w:type="fixed"/>
        <w:tblInd w:w="460" w:type="dxa"/>
        <w:tblCellMar>
          <w:top w:w="0" w:type="dxa"/>
          <w:left w:w="0" w:type="dxa"/>
          <w:bottom w:w="0" w:type="dxa"/>
          <w:right w:w="0" w:type="dxa"/>
        </w:tblCellMar>
      </w:tblPr>
      <w:tr>
        <w:trPr>
          <w:trHeight w:val="207"/>
        </w:trPr>
        <w:tc>
          <w:tcPr>
            <w:tcW w:w="6640" w:type="dxa"/>
            <w:vAlign w:val="bottom"/>
            <w:gridSpan w:val="3"/>
          </w:tcPr>
          <w:p>
            <w:pPr>
              <w:spacing w:after="0"/>
              <w:rPr>
                <w:sz w:val="20"/>
                <w:szCs w:val="20"/>
                <w:color w:val="auto"/>
              </w:rPr>
            </w:pPr>
            <w:r>
              <w:rPr>
                <w:rFonts w:ascii="Arial" w:cs="Arial" w:eastAsia="Arial" w:hAnsi="Arial"/>
                <w:sz w:val="18"/>
                <w:szCs w:val="18"/>
                <w:color w:val="auto"/>
                <w:w w:val="91"/>
              </w:rPr>
              <w:t>IN WITNESS WHEREOF, the undersigned have executed this Agreement as of the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5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 Delaware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Optionee acknowledges receipt of a copy of the Plan and represents that he or she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or she has had an opportunity to obtain the advice of counsel prior to executing this Option Agreement.</w:t>
      </w:r>
    </w:p>
    <w:p>
      <w:pPr>
        <w:spacing w:after="0" w:line="184"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2540</wp:posOffset>
            </wp:positionV>
            <wp:extent cx="30359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2540</wp:posOffset>
            </wp:positionV>
            <wp:extent cx="31127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tabs>
          <w:tab w:leader="none" w:pos="7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57"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ind w:left="760"/>
              <w:spacing w:after="0"/>
              <w:rPr>
                <w:sz w:val="20"/>
                <w:szCs w:val="20"/>
                <w:color w:val="auto"/>
              </w:rPr>
            </w:pPr>
            <w:r>
              <w:rPr>
                <w:rFonts w:ascii="Arial" w:cs="Arial" w:eastAsia="Arial" w:hAnsi="Arial"/>
                <w:sz w:val="18"/>
                <w:szCs w:val="18"/>
                <w:b w:val="1"/>
                <w:bCs w:val="1"/>
                <w:color w:val="auto"/>
                <w:w w:val="87"/>
              </w:rPr>
              <w:t>Exhibit 10.3</w:t>
            </w:r>
          </w:p>
        </w:tc>
      </w:tr>
      <w:tr>
        <w:trPr>
          <w:trHeight w:val="366"/>
        </w:trPr>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8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98"/>
              </w:rPr>
              <w:t>CASUAL MALE RETAIL GROUP, INC.</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8"/>
        </w:trPr>
        <w:tc>
          <w:tcPr>
            <w:tcW w:w="8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300" w:type="dxa"/>
            <w:vAlign w:val="bottom"/>
            <w:gridSpan w:val="6"/>
          </w:tcPr>
          <w:p>
            <w:pPr>
              <w:jc w:val="center"/>
              <w:ind w:right="1020"/>
              <w:spacing w:after="0"/>
              <w:rPr>
                <w:sz w:val="20"/>
                <w:szCs w:val="20"/>
                <w:color w:val="auto"/>
              </w:rPr>
            </w:pPr>
            <w:r>
              <w:rPr>
                <w:rFonts w:ascii="Arial" w:cs="Arial" w:eastAsia="Arial" w:hAnsi="Arial"/>
                <w:sz w:val="18"/>
                <w:szCs w:val="18"/>
                <w:b w:val="1"/>
                <w:bCs w:val="1"/>
                <w:color w:val="auto"/>
                <w:w w:val="97"/>
              </w:rPr>
              <w:t>2006 INCENTIVE COMPENSATION PLAN</w:t>
            </w: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78"/>
        </w:trPr>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30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w w:val="99"/>
              </w:rPr>
              <w:t>INCENTIVE STOCK OPTION AGREEMENT</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0"/>
        </w:trPr>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7"/>
              </w:rPr>
              <w:t>Agreement</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58"/>
        </w:trPr>
        <w:tc>
          <w:tcPr>
            <w:tcW w:w="8880" w:type="dxa"/>
            <w:vAlign w:val="bottom"/>
            <w:gridSpan w:val="8"/>
          </w:tcPr>
          <w:p>
            <w:pPr>
              <w:spacing w:after="0"/>
              <w:rPr>
                <w:sz w:val="20"/>
                <w:szCs w:val="20"/>
                <w:color w:val="auto"/>
              </w:rPr>
            </w:pPr>
            <w:r>
              <w:rPr>
                <w:rFonts w:ascii="Arial" w:cs="Arial" w:eastAsia="Arial" w:hAnsi="Arial"/>
                <w:sz w:val="18"/>
                <w:szCs w:val="18"/>
                <w:color w:val="auto"/>
                <w:w w:val="90"/>
              </w:rPr>
              <w:t xml:space="preserve">1. </w:t>
            </w:r>
            <w:r>
              <w:rPr>
                <w:rFonts w:ascii="Arial" w:cs="Arial" w:eastAsia="Arial" w:hAnsi="Arial"/>
                <w:sz w:val="18"/>
                <w:szCs w:val="18"/>
                <w:b w:val="1"/>
                <w:bCs w:val="1"/>
                <w:i w:val="1"/>
                <w:iCs w:val="1"/>
                <w:color w:val="auto"/>
                <w:w w:val="90"/>
              </w:rPr>
              <w:t>Grant of Option.</w:t>
            </w:r>
            <w:r>
              <w:rPr>
                <w:rFonts w:ascii="Arial" w:cs="Arial" w:eastAsia="Arial" w:hAnsi="Arial"/>
                <w:sz w:val="18"/>
                <w:szCs w:val="18"/>
                <w:color w:val="auto"/>
                <w:w w:val="90"/>
              </w:rPr>
              <w:t xml:space="preserve"> CASUAL MALE RETAIL GROUP, INC., a Delaware corporation (the “</w:t>
            </w:r>
            <w:r>
              <w:rPr>
                <w:rFonts w:ascii="Arial" w:cs="Arial" w:eastAsia="Arial" w:hAnsi="Arial"/>
                <w:sz w:val="18"/>
                <w:szCs w:val="18"/>
                <w:b w:val="1"/>
                <w:bCs w:val="1"/>
                <w:color w:val="auto"/>
                <w:w w:val="90"/>
              </w:rPr>
              <w:t>Company</w:t>
            </w:r>
            <w:r>
              <w:rPr>
                <w:rFonts w:ascii="Arial" w:cs="Arial" w:eastAsia="Arial" w:hAnsi="Arial"/>
                <w:sz w:val="18"/>
                <w:szCs w:val="18"/>
                <w:color w:val="auto"/>
                <w:w w:val="90"/>
              </w:rPr>
              <w:t>”) hereby grants, as of</w:t>
            </w:r>
          </w:p>
        </w:tc>
        <w:tc>
          <w:tcPr>
            <w:tcW w:w="880" w:type="dxa"/>
            <w:vAlign w:val="bottom"/>
            <w:tcBorders>
              <w:bottom w:val="single" w:sz="8" w:color="auto"/>
            </w:tcBorders>
          </w:tcPr>
          <w:p>
            <w:pPr>
              <w:spacing w:after="0"/>
              <w:rPr>
                <w:sz w:val="24"/>
                <w:szCs w:val="24"/>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Date of Grant</w:t>
            </w:r>
            <w:r>
              <w:rPr>
                <w:rFonts w:ascii="Arial" w:cs="Arial" w:eastAsia="Arial" w:hAnsi="Arial"/>
                <w:sz w:val="18"/>
                <w:szCs w:val="18"/>
                <w:color w:val="auto"/>
                <w:w w:val="98"/>
              </w:rPr>
              <w:t>”), to</w:t>
            </w:r>
          </w:p>
        </w:tc>
      </w:tr>
      <w:tr>
        <w:trPr>
          <w:trHeight w:val="196"/>
        </w:trPr>
        <w:tc>
          <w:tcPr>
            <w:tcW w:w="880" w:type="dxa"/>
            <w:vAlign w:val="bottom"/>
            <w:tcBorders>
              <w:bottom w:val="single" w:sz="8" w:color="auto"/>
            </w:tcBorders>
          </w:tcPr>
          <w:p>
            <w:pPr>
              <w:spacing w:after="0"/>
              <w:rPr>
                <w:sz w:val="17"/>
                <w:szCs w:val="17"/>
                <w:color w:val="auto"/>
              </w:rPr>
            </w:pPr>
          </w:p>
        </w:tc>
        <w:tc>
          <w:tcPr>
            <w:tcW w:w="43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Optionee</w:t>
            </w:r>
            <w:r>
              <w:rPr>
                <w:rFonts w:ascii="Arial" w:cs="Arial" w:eastAsia="Arial" w:hAnsi="Arial"/>
                <w:sz w:val="18"/>
                <w:szCs w:val="18"/>
                <w:color w:val="auto"/>
                <w:w w:val="91"/>
              </w:rPr>
              <w:t>”) an option (the “</w:t>
            </w:r>
            <w:r>
              <w:rPr>
                <w:rFonts w:ascii="Arial" w:cs="Arial" w:eastAsia="Arial" w:hAnsi="Arial"/>
                <w:sz w:val="18"/>
                <w:szCs w:val="18"/>
                <w:b w:val="1"/>
                <w:bCs w:val="1"/>
                <w:color w:val="auto"/>
                <w:w w:val="91"/>
              </w:rPr>
              <w:t>Option</w:t>
            </w:r>
            <w:r>
              <w:rPr>
                <w:rFonts w:ascii="Arial" w:cs="Arial" w:eastAsia="Arial" w:hAnsi="Arial"/>
                <w:sz w:val="18"/>
                <w:szCs w:val="18"/>
                <w:color w:val="auto"/>
                <w:w w:val="91"/>
              </w:rPr>
              <w:t>”) to purchase up to</w:t>
            </w: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6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9"/>
              </w:rPr>
              <w:t>shares of the Company’s common stock, $.01 par value per share (the</w:t>
            </w:r>
          </w:p>
        </w:tc>
      </w:tr>
      <w:tr>
        <w:trPr>
          <w:trHeight w:val="196"/>
        </w:trPr>
        <w:tc>
          <w:tcPr>
            <w:tcW w:w="3580" w:type="dxa"/>
            <w:vAlign w:val="bottom"/>
            <w:gridSpan w:val="2"/>
          </w:tcPr>
          <w:p>
            <w:pPr>
              <w:spacing w:after="0" w:line="196"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b w:val="1"/>
                <w:bCs w:val="1"/>
                <w:color w:val="auto"/>
                <w:w w:val="86"/>
              </w:rPr>
              <w:t>Shares</w:t>
            </w:r>
            <w:r>
              <w:rPr>
                <w:rFonts w:ascii="Arial" w:cs="Arial" w:eastAsia="Arial" w:hAnsi="Arial"/>
                <w:sz w:val="18"/>
                <w:szCs w:val="18"/>
                <w:color w:val="auto"/>
                <w:w w:val="86"/>
              </w:rPr>
              <w:t>”), at an exercise price per share equal to $</w:t>
            </w:r>
          </w:p>
        </w:tc>
        <w:tc>
          <w:tcPr>
            <w:tcW w:w="520" w:type="dxa"/>
            <w:vAlign w:val="bottom"/>
            <w:tcBorders>
              <w:bottom w:val="single" w:sz="8" w:color="auto"/>
            </w:tcBorders>
          </w:tcPr>
          <w:p>
            <w:pPr>
              <w:spacing w:after="0"/>
              <w:rPr>
                <w:sz w:val="17"/>
                <w:szCs w:val="17"/>
                <w:color w:val="auto"/>
              </w:rPr>
            </w:pPr>
          </w:p>
        </w:tc>
        <w:tc>
          <w:tcPr>
            <w:tcW w:w="7320" w:type="dxa"/>
            <w:vAlign w:val="bottom"/>
            <w:gridSpan w:val="7"/>
          </w:tcPr>
          <w:p>
            <w:pPr>
              <w:ind w:left="60"/>
              <w:spacing w:after="0" w:line="196" w:lineRule="exact"/>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Exercise Price</w:t>
            </w:r>
            <w:r>
              <w:rPr>
                <w:rFonts w:ascii="Arial" w:cs="Arial" w:eastAsia="Arial" w:hAnsi="Arial"/>
                <w:sz w:val="18"/>
                <w:szCs w:val="18"/>
                <w:color w:val="auto"/>
                <w:w w:val="91"/>
              </w:rPr>
              <w:t>”). The Option shall be subject to the terms and conditions set forth herein. The</w:t>
            </w:r>
          </w:p>
        </w:tc>
      </w:tr>
    </w:tbl>
    <w:p>
      <w:pPr>
        <w:spacing w:after="0" w:line="1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Option was issued pursuant to the Company’s 2006 Incentive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 which is incorporated herein for all purposes. The Option is an Incentive Stock Option, and not a Non-Qualified Stock Option. The Optionee hereby acknowledges receipt of a copy of the Plan and agrees to be bound by all of the terms and conditions hereof and thereof and all applicable laws and regulations.</w:t>
      </w:r>
    </w:p>
    <w:p>
      <w:pPr>
        <w:spacing w:after="0" w:line="138" w:lineRule="exact"/>
        <w:rPr>
          <w:sz w:val="20"/>
          <w:szCs w:val="20"/>
          <w:color w:val="auto"/>
        </w:rPr>
      </w:pPr>
    </w:p>
    <w:p>
      <w:pPr>
        <w:ind w:right="140" w:firstLine="8"/>
        <w:spacing w:after="0" w:line="268" w:lineRule="auto"/>
        <w:tabs>
          <w:tab w:leader="none" w:pos="176"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Unless otherwise provided herein, terms used herein that are defined in the Plan and not defined herein shall have the meanings attributed thereto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Plan.</w:t>
      </w:r>
    </w:p>
    <w:p>
      <w:pPr>
        <w:spacing w:after="0" w:line="131" w:lineRule="exact"/>
        <w:rPr>
          <w:rFonts w:ascii="Arial" w:cs="Arial" w:eastAsia="Arial" w:hAnsi="Arial"/>
          <w:sz w:val="18"/>
          <w:szCs w:val="18"/>
          <w:color w:val="auto"/>
        </w:rPr>
      </w:pPr>
    </w:p>
    <w:p>
      <w:pPr>
        <w:ind w:right="60" w:firstLine="8"/>
        <w:spacing w:after="0" w:line="294" w:lineRule="auto"/>
        <w:tabs>
          <w:tab w:leader="none" w:pos="176"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Schedule. </w:t>
      </w:r>
      <w:r>
        <w:rPr>
          <w:rFonts w:ascii="Arial" w:cs="Arial" w:eastAsia="Arial" w:hAnsi="Arial"/>
          <w:sz w:val="16"/>
          <w:szCs w:val="16"/>
          <w:color w:val="auto"/>
        </w:rPr>
        <w:t>Except as otherwise provided in Sections 6 or 9 of this Agreement, or in the Plan, the Option is exercisable in installments as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which shall be cumulative. To the extent that the Option has become exercisable with respect to a percentage of Shares as provided below, the Option may thereafter be exercised by the Optionee, in whole or in part, at any time or from time to time prior to the expiration of the Option as provided herein. The following table indicates each date (the “</w:t>
      </w:r>
      <w:r>
        <w:rPr>
          <w:rFonts w:ascii="Arial" w:cs="Arial" w:eastAsia="Arial" w:hAnsi="Arial"/>
          <w:sz w:val="16"/>
          <w:szCs w:val="16"/>
          <w:b w:val="1"/>
          <w:bCs w:val="1"/>
          <w:color w:val="auto"/>
        </w:rPr>
        <w:t>Vesting Date</w:t>
      </w:r>
      <w:r>
        <w:rPr>
          <w:rFonts w:ascii="Arial" w:cs="Arial" w:eastAsia="Arial" w:hAnsi="Arial"/>
          <w:sz w:val="16"/>
          <w:szCs w:val="16"/>
          <w:color w:val="auto"/>
        </w:rPr>
        <w:t>”) upon which the Optionee shall be entitled to exercise the Option with respect to the percentage of Shares granted as indicated beside the date, provided that the Continuous Service of the Optionee continues through and on the applicable Vesting Date:</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5"/>
              </w:rPr>
              <w:t>Percentage of Shares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Vesting Date</w:t>
            </w:r>
          </w:p>
        </w:tc>
        <w:tc>
          <w:tcPr>
            <w:tcW w:w="1160" w:type="dxa"/>
            <w:vAlign w:val="bottom"/>
          </w:tcPr>
          <w:p>
            <w:pPr>
              <w:spacing w:after="0"/>
              <w:rPr>
                <w:sz w:val="12"/>
                <w:szCs w:val="12"/>
                <w:color w:val="auto"/>
              </w:rPr>
            </w:pPr>
          </w:p>
        </w:tc>
        <w:tc>
          <w:tcPr>
            <w:tcW w:w="264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Becoming Available for</w:t>
            </w: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Cumulative Percentage</w:t>
            </w:r>
          </w:p>
        </w:tc>
        <w:tc>
          <w:tcPr>
            <w:tcW w:w="0" w:type="dxa"/>
            <w:vAlign w:val="bottom"/>
          </w:tcPr>
          <w:p>
            <w:pPr>
              <w:spacing w:after="0"/>
              <w:rPr>
                <w:sz w:val="1"/>
                <w:szCs w:val="1"/>
                <w:color w:val="auto"/>
              </w:rPr>
            </w:pPr>
          </w:p>
        </w:tc>
      </w:tr>
      <w:tr>
        <w:trPr>
          <w:trHeight w:val="155"/>
        </w:trPr>
        <w:tc>
          <w:tcPr>
            <w:tcW w:w="4280" w:type="dxa"/>
            <w:vAlign w:val="bottom"/>
            <w:tcBorders>
              <w:bottom w:val="single" w:sz="8" w:color="auto"/>
            </w:tcBorders>
            <w:vMerge w:val="continue"/>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tcPr>
          <w:p>
            <w:pPr>
              <w:spacing w:after="0"/>
              <w:rPr>
                <w:sz w:val="13"/>
                <w:szCs w:val="13"/>
                <w:color w:val="auto"/>
              </w:rPr>
            </w:pPr>
          </w:p>
        </w:tc>
        <w:tc>
          <w:tcPr>
            <w:tcW w:w="13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Available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First Anniversary of Date of Grant</w:t>
            </w:r>
          </w:p>
        </w:tc>
        <w:tc>
          <w:tcPr>
            <w:tcW w:w="3800" w:type="dxa"/>
            <w:vAlign w:val="bottom"/>
            <w:gridSpan w:val="3"/>
            <w:shd w:val="clear" w:color="auto" w:fill="CCEEFF"/>
          </w:tcPr>
          <w:p>
            <w:pPr>
              <w:jc w:val="right"/>
              <w:ind w:right="114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Second Anniversary of Date of Grant</w:t>
            </w:r>
          </w:p>
        </w:tc>
        <w:tc>
          <w:tcPr>
            <w:tcW w:w="3800" w:type="dxa"/>
            <w:vAlign w:val="bottom"/>
            <w:gridSpan w:val="3"/>
          </w:tcPr>
          <w:p>
            <w:pPr>
              <w:jc w:val="right"/>
              <w:ind w:right="114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tcPr>
          <w:p>
            <w:pPr>
              <w:jc w:val="right"/>
              <w:spacing w:after="0" w:line="217" w:lineRule="exact"/>
              <w:rPr>
                <w:sz w:val="20"/>
                <w:szCs w:val="20"/>
                <w:color w:val="auto"/>
              </w:rPr>
            </w:pPr>
            <w:r>
              <w:rPr>
                <w:rFonts w:ascii="Arial" w:cs="Arial" w:eastAsia="Arial" w:hAnsi="Arial"/>
                <w:sz w:val="18"/>
                <w:szCs w:val="18"/>
                <w:color w:val="auto"/>
              </w:rPr>
              <w:t xml:space="preserve">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Third Anniversary of Date of Grant</w:t>
            </w:r>
          </w:p>
        </w:tc>
        <w:tc>
          <w:tcPr>
            <w:tcW w:w="3800" w:type="dxa"/>
            <w:vAlign w:val="bottom"/>
            <w:gridSpan w:val="3"/>
            <w:shd w:val="clear" w:color="auto" w:fill="CCEEFF"/>
          </w:tcPr>
          <w:p>
            <w:pPr>
              <w:jc w:val="right"/>
              <w:ind w:right="114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Except as otherwise specifically provided herein, there shall be no proportionate or partial vesting in the periods prior to each Vesting Date, and all vesting shall occur only on the appropriate Vesting Date. Upon the termination of the Optionee’s Continuous Service with the Company and its Related Entities, any unvested portion of the Option shall terminate and be null and void.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4" w:name="page55"/>
    <w:bookmarkEnd w:id="54"/>
    <w:p>
      <w:pPr>
        <w:ind w:left="-8" w:right="40" w:firstLine="8"/>
        <w:spacing w:after="0" w:line="288" w:lineRule="auto"/>
        <w:tabs>
          <w:tab w:leader="none" w:pos="168"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Method of Exercise. </w:t>
      </w:r>
      <w:r>
        <w:rPr>
          <w:rFonts w:ascii="Arial" w:cs="Arial" w:eastAsia="Arial" w:hAnsi="Arial"/>
          <w:sz w:val="16"/>
          <w:szCs w:val="16"/>
          <w:color w:val="auto"/>
        </w:rPr>
        <w:t>The vested portion of this Option shall be exercisable in whole or in part in accordance with the exercise schedule set forth in Section 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by written notice 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19" w:lineRule="exact"/>
        <w:rPr>
          <w:rFonts w:ascii="Arial" w:cs="Arial" w:eastAsia="Arial" w:hAnsi="Arial"/>
          <w:sz w:val="16"/>
          <w:szCs w:val="16"/>
          <w:color w:val="auto"/>
        </w:rPr>
      </w:pPr>
    </w:p>
    <w:p>
      <w:pPr>
        <w:ind w:left="172" w:hanging="172"/>
        <w:spacing w:after="0"/>
        <w:tabs>
          <w:tab w:leader="none" w:pos="172"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Method of Payment. </w:t>
      </w:r>
      <w:r>
        <w:rPr>
          <w:rFonts w:ascii="Arial" w:cs="Arial" w:eastAsia="Arial" w:hAnsi="Arial"/>
          <w:sz w:val="16"/>
          <w:szCs w:val="16"/>
          <w:color w:val="auto"/>
        </w:rPr>
        <w:t>Payment of the Exercise Price shall be by any of the following, or a combination thereof, at the election of the Optionee: (a) cash;</w:t>
      </w:r>
    </w:p>
    <w:p>
      <w:pPr>
        <w:spacing w:after="0" w:line="38" w:lineRule="exact"/>
        <w:rPr>
          <w:sz w:val="20"/>
          <w:szCs w:val="20"/>
          <w:color w:val="auto"/>
        </w:rPr>
      </w:pPr>
    </w:p>
    <w:p>
      <w:pPr>
        <w:ind w:left="-8" w:firstLine="8"/>
        <w:spacing w:after="0" w:line="253" w:lineRule="auto"/>
        <w:tabs>
          <w:tab w:leader="none" w:pos="2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check; (c) to the extent permitted by the Committee, with Shares owned by the Optionee, or the withholding of Shares that otherwise would be delivered to the Optionee as a result of the exercise of the Option,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or (e) such other consideration or in such other manner as may be determined by the Committee in its absolute discretion.</w:t>
      </w:r>
    </w:p>
    <w:p>
      <w:pPr>
        <w:spacing w:after="0" w:line="226" w:lineRule="exact"/>
        <w:rPr>
          <w:sz w:val="20"/>
          <w:szCs w:val="20"/>
          <w:color w:val="auto"/>
        </w:rPr>
      </w:pPr>
    </w:p>
    <w:p>
      <w:pPr>
        <w:ind w:left="172" w:hanging="172"/>
        <w:spacing w:after="0"/>
        <w:tabs>
          <w:tab w:leader="none" w:pos="172"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Option.</w:t>
      </w:r>
    </w:p>
    <w:p>
      <w:pPr>
        <w:spacing w:after="0" w:line="90" w:lineRule="exact"/>
        <w:rPr>
          <w:rFonts w:ascii="Arial" w:cs="Arial" w:eastAsia="Arial" w:hAnsi="Arial"/>
          <w:sz w:val="18"/>
          <w:szCs w:val="18"/>
          <w:color w:val="auto"/>
        </w:rPr>
      </w:pPr>
    </w:p>
    <w:p>
      <w:pPr>
        <w:ind w:left="-8" w:right="40" w:firstLine="464"/>
        <w:spacing w:after="0" w:line="268" w:lineRule="auto"/>
        <w:tabs>
          <w:tab w:leader="none" w:pos="6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unexercised portion of the Option shall automatically and without notice terminate and become null and void at the time of the earliest to occur of the following:</w:t>
      </w:r>
    </w:p>
    <w:p>
      <w:pPr>
        <w:spacing w:after="0" w:line="50" w:lineRule="exact"/>
        <w:rPr>
          <w:rFonts w:ascii="Arial" w:cs="Arial" w:eastAsia="Arial" w:hAnsi="Arial"/>
          <w:sz w:val="18"/>
          <w:szCs w:val="18"/>
          <w:color w:val="auto"/>
        </w:rPr>
      </w:pPr>
    </w:p>
    <w:p>
      <w:pPr>
        <w:ind w:left="-8" w:right="320" w:firstLine="921"/>
        <w:spacing w:after="0" w:line="259" w:lineRule="auto"/>
        <w:tabs>
          <w:tab w:leader="none" w:pos="1115" w:val="left"/>
        </w:tabs>
        <w:numPr>
          <w:ilvl w:val="2"/>
          <w:numId w:val="67"/>
        </w:numPr>
        <w:rPr>
          <w:rFonts w:ascii="Arial" w:cs="Arial" w:eastAsia="Arial" w:hAnsi="Arial"/>
          <w:sz w:val="18"/>
          <w:szCs w:val="18"/>
          <w:color w:val="auto"/>
        </w:rPr>
      </w:pPr>
      <w:r>
        <w:rPr>
          <w:rFonts w:ascii="Arial" w:cs="Arial" w:eastAsia="Arial" w:hAnsi="Arial"/>
          <w:sz w:val="18"/>
          <w:szCs w:val="18"/>
          <w:color w:val="auto"/>
        </w:rPr>
        <w:t>unless the Committee otherwise determines in writing in its sole discretion, three months after the date on which the Optionee’s Continuous Service is terminated other than by reason of (A) by the Company or a Related Entity for Cause, (B) a Disability of the Optionee as determined by a medical doctor satisfactory to the Committee, or (C) the death of the Optionee;</w:t>
      </w:r>
    </w:p>
    <w:p>
      <w:pPr>
        <w:spacing w:after="0" w:line="140" w:lineRule="exact"/>
        <w:rPr>
          <w:rFonts w:ascii="Arial" w:cs="Arial" w:eastAsia="Arial" w:hAnsi="Arial"/>
          <w:sz w:val="18"/>
          <w:szCs w:val="18"/>
          <w:color w:val="auto"/>
        </w:rPr>
      </w:pPr>
    </w:p>
    <w:p>
      <w:pPr>
        <w:ind w:left="1172" w:hanging="259"/>
        <w:spacing w:after="0"/>
        <w:tabs>
          <w:tab w:leader="none" w:pos="1172" w:val="left"/>
        </w:tabs>
        <w:numPr>
          <w:ilvl w:val="2"/>
          <w:numId w:val="67"/>
        </w:numPr>
        <w:rPr>
          <w:rFonts w:ascii="Arial" w:cs="Arial" w:eastAsia="Arial" w:hAnsi="Arial"/>
          <w:sz w:val="18"/>
          <w:szCs w:val="18"/>
          <w:color w:val="auto"/>
        </w:rPr>
      </w:pPr>
      <w:r>
        <w:rPr>
          <w:rFonts w:ascii="Arial" w:cs="Arial" w:eastAsia="Arial" w:hAnsi="Arial"/>
          <w:sz w:val="18"/>
          <w:szCs w:val="18"/>
          <w:color w:val="auto"/>
        </w:rPr>
        <w:t>immediately upon the termination of the Optionee’s Continuous Service by the Company or a Related Entity for Cause;</w:t>
      </w:r>
    </w:p>
    <w:p>
      <w:pPr>
        <w:spacing w:after="0" w:line="171" w:lineRule="exact"/>
        <w:rPr>
          <w:rFonts w:ascii="Arial" w:cs="Arial" w:eastAsia="Arial" w:hAnsi="Arial"/>
          <w:sz w:val="18"/>
          <w:szCs w:val="18"/>
          <w:color w:val="auto"/>
        </w:rPr>
      </w:pPr>
    </w:p>
    <w:p>
      <w:pPr>
        <w:ind w:left="-8" w:right="260" w:firstLine="921"/>
        <w:spacing w:after="0" w:line="268" w:lineRule="auto"/>
        <w:tabs>
          <w:tab w:leader="none" w:pos="1212" w:val="left"/>
        </w:tabs>
        <w:numPr>
          <w:ilvl w:val="2"/>
          <w:numId w:val="67"/>
        </w:numPr>
        <w:rPr>
          <w:rFonts w:ascii="Arial" w:cs="Arial" w:eastAsia="Arial" w:hAnsi="Arial"/>
          <w:sz w:val="18"/>
          <w:szCs w:val="18"/>
          <w:color w:val="auto"/>
        </w:rPr>
      </w:pPr>
      <w:r>
        <w:rPr>
          <w:rFonts w:ascii="Arial" w:cs="Arial" w:eastAsia="Arial" w:hAnsi="Arial"/>
          <w:sz w:val="18"/>
          <w:szCs w:val="18"/>
          <w:color w:val="auto"/>
        </w:rPr>
        <w:t>twelve months after the date on which the Optionee’s Continuous Service is terminated by reason of a Disability as determined by a medical doctor satisfactory to the Committee;</w:t>
      </w:r>
    </w:p>
    <w:p>
      <w:pPr>
        <w:spacing w:after="0" w:line="131" w:lineRule="exact"/>
        <w:rPr>
          <w:rFonts w:ascii="Arial" w:cs="Arial" w:eastAsia="Arial" w:hAnsi="Arial"/>
          <w:sz w:val="18"/>
          <w:szCs w:val="18"/>
          <w:color w:val="auto"/>
        </w:rPr>
      </w:pPr>
    </w:p>
    <w:p>
      <w:pPr>
        <w:ind w:left="1212" w:hanging="299"/>
        <w:spacing w:after="0"/>
        <w:tabs>
          <w:tab w:leader="none" w:pos="1212" w:val="left"/>
        </w:tabs>
        <w:numPr>
          <w:ilvl w:val="2"/>
          <w:numId w:val="67"/>
        </w:numPr>
        <w:rPr>
          <w:rFonts w:ascii="Arial" w:cs="Arial" w:eastAsia="Arial" w:hAnsi="Arial"/>
          <w:sz w:val="16"/>
          <w:szCs w:val="16"/>
          <w:color w:val="auto"/>
        </w:rPr>
      </w:pPr>
      <w:r>
        <w:rPr>
          <w:rFonts w:ascii="Arial" w:cs="Arial" w:eastAsia="Arial" w:hAnsi="Arial"/>
          <w:sz w:val="16"/>
          <w:szCs w:val="16"/>
          <w:color w:val="auto"/>
        </w:rPr>
        <w:t>(A) twelve months after the date of termination of the Optionee’s Continuous Service by reason of the death of the Optionee, or, if later,</w:t>
      </w:r>
    </w:p>
    <w:p>
      <w:pPr>
        <w:spacing w:after="0" w:line="38" w:lineRule="exact"/>
        <w:rPr>
          <w:sz w:val="20"/>
          <w:szCs w:val="20"/>
          <w:color w:val="auto"/>
        </w:rPr>
      </w:pPr>
    </w:p>
    <w:p>
      <w:pPr>
        <w:jc w:val="center"/>
        <w:ind w:left="5672" w:right="520" w:hanging="5672"/>
        <w:spacing w:after="0" w:line="433" w:lineRule="auto"/>
        <w:tabs>
          <w:tab w:leader="none" w:pos="2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three months after the date on which the Optionee shall die if such death shall occur during the one year period specified in Section 6(a)(iii) hereof; or 2</w:t>
      </w:r>
    </w:p>
    <w:p>
      <w:pPr>
        <w:sectPr>
          <w:pgSz w:w="11900" w:h="16838" w:orient="portrait"/>
          <w:cols w:equalWidth="0" w:num="1">
            <w:col w:w="11332"/>
          </w:cols>
          <w:pgMar w:left="248" w:top="280" w:right="319" w:bottom="1440" w:gutter="0" w:footer="0" w:header="0"/>
        </w:sectPr>
      </w:pPr>
    </w:p>
    <w:bookmarkStart w:id="55" w:name="page56"/>
    <w:bookmarkEnd w:id="55"/>
    <w:p>
      <w:pPr>
        <w:ind w:left="1152" w:hanging="239"/>
        <w:spacing w:after="0"/>
        <w:tabs>
          <w:tab w:leader="none" w:pos="1152" w:val="left"/>
        </w:tabs>
        <w:numPr>
          <w:ilvl w:val="2"/>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tenth anniversary of the date as of which the Option is granted.</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1"/>
          <w:numId w:val="70"/>
        </w:numPr>
        <w:rPr>
          <w:rFonts w:ascii="Arial" w:cs="Arial" w:eastAsia="Arial" w:hAnsi="Arial"/>
          <w:sz w:val="16"/>
          <w:szCs w:val="16"/>
          <w:color w:val="auto"/>
        </w:rPr>
      </w:pPr>
      <w:r>
        <w:rPr>
          <w:rFonts w:ascii="Arial" w:cs="Arial" w:eastAsia="Arial" w:hAnsi="Arial"/>
          <w:sz w:val="16"/>
          <w:szCs w:val="16"/>
          <w:color w:val="auto"/>
        </w:rPr>
        <w:t>To the extent not previously exercised, (i) the Option shall terminate immediately in the event of (A) the liquidation or dissolution of the Company, or</w:t>
      </w:r>
    </w:p>
    <w:p>
      <w:pPr>
        <w:spacing w:after="0" w:line="38" w:lineRule="exact"/>
        <w:rPr>
          <w:rFonts w:ascii="Arial" w:cs="Arial" w:eastAsia="Arial" w:hAnsi="Arial"/>
          <w:sz w:val="16"/>
          <w:szCs w:val="16"/>
          <w:color w:val="auto"/>
        </w:rPr>
      </w:pPr>
    </w:p>
    <w:p>
      <w:pPr>
        <w:ind w:left="-8" w:right="20" w:firstLine="8"/>
        <w:spacing w:after="0" w:line="287" w:lineRule="auto"/>
        <w:tabs>
          <w:tab w:leader="none" w:pos="27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10(c) of the Plan, and (ii) the Committee in its sole discretion may by written notice (“cancellation notice”) cancel, effective upon the consummation of any corporate transaction described in Section 9(b)(i) of the Plan,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120" w:lineRule="exact"/>
        <w:rPr>
          <w:sz w:val="20"/>
          <w:szCs w:val="20"/>
          <w:color w:val="auto"/>
        </w:rPr>
      </w:pPr>
    </w:p>
    <w:p>
      <w:pPr>
        <w:ind w:left="-8" w:right="20" w:firstLine="8"/>
        <w:spacing w:after="0" w:line="291" w:lineRule="auto"/>
        <w:tabs>
          <w:tab w:leader="none" w:pos="16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Transferability. </w:t>
      </w:r>
      <w:r>
        <w:rPr>
          <w:rFonts w:ascii="Arial" w:cs="Arial" w:eastAsia="Arial" w:hAnsi="Arial"/>
          <w:sz w:val="16"/>
          <w:szCs w:val="16"/>
          <w:color w:val="auto"/>
        </w:rPr>
        <w:t>Unless otherwise determined by the Committee, the Option granted hereby is not transferable otherwise than by will or under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of descent and distribution, and during the lifetime of the Optionee the Option shall be exercisable only by the Optionee, or the Optionee’s guardian or legal representative. In addition, the Option shall not be assigned, negotiated, pledged or hypothecated in any way (whether by operation of law or otherwise), and the Option shall not be subject to execution, attachment or similar process. Upon any attempt to transfer, assign, negotiate, pledge or hypothecate the Option, or in the event of any levy upon the Option by reason of any execution, attachment or similar process contrary to the provisions hereof, the Option shall immediately become null and void. The terms of this Option shall be binding upon the executors, administrators, heirs, successors and assigns of the Optionee.</w:t>
      </w:r>
    </w:p>
    <w:p>
      <w:pPr>
        <w:spacing w:after="0" w:line="120" w:lineRule="exact"/>
        <w:rPr>
          <w:rFonts w:ascii="Arial" w:cs="Arial" w:eastAsia="Arial" w:hAnsi="Arial"/>
          <w:sz w:val="16"/>
          <w:szCs w:val="16"/>
          <w:color w:val="auto"/>
        </w:rPr>
      </w:pPr>
    </w:p>
    <w:p>
      <w:pPr>
        <w:ind w:left="-8" w:firstLine="8"/>
        <w:spacing w:after="0" w:line="259" w:lineRule="auto"/>
        <w:tabs>
          <w:tab w:leader="none" w:pos="168"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Rights of Stockholders. </w:t>
      </w:r>
      <w:r>
        <w:rPr>
          <w:rFonts w:ascii="Arial" w:cs="Arial" w:eastAsia="Arial" w:hAnsi="Arial"/>
          <w:sz w:val="18"/>
          <w:szCs w:val="18"/>
          <w:color w:val="auto"/>
        </w:rPr>
        <w:t>Neither the Optionee nor any personal representative (or beneficiary) shall be, or shall have any of the rights and privileges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of the Company with respect to any Shares purchasable or issuable upon the exercise of the Option, in whole or in part, prior to the date of exercise of the Option.</w:t>
      </w:r>
    </w:p>
    <w:p>
      <w:pPr>
        <w:spacing w:after="0" w:line="221" w:lineRule="exact"/>
        <w:rPr>
          <w:rFonts w:ascii="Arial" w:cs="Arial" w:eastAsia="Arial" w:hAnsi="Arial"/>
          <w:sz w:val="18"/>
          <w:szCs w:val="18"/>
          <w:color w:val="auto"/>
        </w:rPr>
      </w:pPr>
    </w:p>
    <w:p>
      <w:pPr>
        <w:ind w:left="172" w:hanging="172"/>
        <w:spacing w:after="0"/>
        <w:tabs>
          <w:tab w:leader="none" w:pos="172"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of Exercisability of Option.</w:t>
      </w:r>
    </w:p>
    <w:p>
      <w:pPr>
        <w:spacing w:after="0" w:line="90" w:lineRule="exact"/>
        <w:rPr>
          <w:rFonts w:ascii="Arial" w:cs="Arial" w:eastAsia="Arial" w:hAnsi="Arial"/>
          <w:sz w:val="18"/>
          <w:szCs w:val="18"/>
          <w:color w:val="auto"/>
        </w:rPr>
      </w:pPr>
    </w:p>
    <w:p>
      <w:pPr>
        <w:ind w:left="-8" w:right="40" w:firstLine="464"/>
        <w:spacing w:after="0" w:line="268" w:lineRule="auto"/>
        <w:tabs>
          <w:tab w:leader="none" w:pos="68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This Option shall become immediately fully exercisable in the event that, prior to the termination of the Option pursuant to Section 6 hereof, and during the Optionee’s Continuous Service, there is a “Change in Control”, as defined in Section 9(b) of the Plan.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56" w:name="page57"/>
    <w:bookmarkEnd w:id="56"/>
    <w:p>
      <w:pPr>
        <w:jc w:val="both"/>
        <w:ind w:left="-8" w:right="340" w:firstLine="464"/>
        <w:spacing w:after="0" w:line="259" w:lineRule="auto"/>
        <w:tabs>
          <w:tab w:leader="none" w:pos="697"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Option shall become immediately fully exercisable in the event that, prior to the termination of the Option pursuant to Section 6 hereof, (i) the Option is terminated pursuant to Section 6(b)(i) hereof, or (ii) the Company exercises its discretion to provide a cancellation notice with respect to the Option pursuant to Section 6(b)(ii) hereof.</w:t>
      </w:r>
    </w:p>
    <w:p>
      <w:pPr>
        <w:spacing w:after="0" w:line="140" w:lineRule="exact"/>
        <w:rPr>
          <w:rFonts w:ascii="Arial" w:cs="Arial" w:eastAsia="Arial" w:hAnsi="Arial"/>
          <w:sz w:val="18"/>
          <w:szCs w:val="18"/>
          <w:color w:val="auto"/>
        </w:rPr>
      </w:pPr>
    </w:p>
    <w:p>
      <w:pPr>
        <w:ind w:left="-8" w:right="280" w:firstLine="8"/>
        <w:spacing w:after="0" w:line="268"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 to Continued Employment. </w:t>
      </w:r>
      <w:r>
        <w:rPr>
          <w:rFonts w:ascii="Arial" w:cs="Arial" w:eastAsia="Arial" w:hAnsi="Arial"/>
          <w:sz w:val="18"/>
          <w:szCs w:val="18"/>
          <w:color w:val="auto"/>
        </w:rPr>
        <w:t>Neither the Option nor this Agreement shall confer upon the Optionee any right to continued employment or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Company.</w:t>
      </w:r>
    </w:p>
    <w:p>
      <w:pPr>
        <w:spacing w:after="0" w:line="131" w:lineRule="exact"/>
        <w:rPr>
          <w:rFonts w:ascii="Arial" w:cs="Arial" w:eastAsia="Arial" w:hAnsi="Arial"/>
          <w:sz w:val="18"/>
          <w:szCs w:val="18"/>
          <w:color w:val="auto"/>
        </w:rPr>
      </w:pPr>
    </w:p>
    <w:p>
      <w:pPr>
        <w:ind w:left="252" w:hanging="252"/>
        <w:spacing w:after="0"/>
        <w:tabs>
          <w:tab w:leader="none" w:pos="252"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Law Governing. </w:t>
      </w:r>
      <w:r>
        <w:rPr>
          <w:rFonts w:ascii="Arial" w:cs="Arial" w:eastAsia="Arial" w:hAnsi="Arial"/>
          <w:sz w:val="18"/>
          <w:szCs w:val="18"/>
          <w:color w:val="auto"/>
        </w:rPr>
        <w:t>This Agreement shall be governed in accordance with and governed by the internal laws of the State of Delaware.</w:t>
      </w:r>
    </w:p>
    <w:p>
      <w:pPr>
        <w:spacing w:after="0" w:line="171" w:lineRule="exact"/>
        <w:rPr>
          <w:rFonts w:ascii="Arial" w:cs="Arial" w:eastAsia="Arial" w:hAnsi="Arial"/>
          <w:sz w:val="18"/>
          <w:szCs w:val="18"/>
          <w:color w:val="auto"/>
        </w:rPr>
      </w:pPr>
    </w:p>
    <w:p>
      <w:pPr>
        <w:ind w:left="-8" w:right="20" w:firstLine="8"/>
        <w:spacing w:after="0" w:line="294"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 Treatment</w:t>
      </w:r>
      <w:r>
        <w:rPr>
          <w:rFonts w:ascii="Arial" w:cs="Arial" w:eastAsia="Arial" w:hAnsi="Arial"/>
          <w:sz w:val="16"/>
          <w:szCs w:val="16"/>
          <w:color w:val="auto"/>
        </w:rPr>
        <w:t>. The terms of this Option shall be interpreted in a manner consistent with the intent of the Company and the Optionee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Option qualify as an Incentive Stock Option under Section 422 of the Code. If any provision of the Plan or this Agreement shall be impermissible in order for the Option to qualify as an Incentive Stock Option, then the Option shall be construed and enforced as if such provision had never been included in the Plan or the Option. If and to the extent that the number of Options granted pursuant to this Agreement exceeds the limitations contained in Section 422 of the Code on the value of Shares with respect to which this Option may qualify as an Incentive Stock Option, this Option shall be a Non-Qualified Stock Option.</w:t>
      </w:r>
    </w:p>
    <w:p>
      <w:pPr>
        <w:spacing w:after="0" w:line="115" w:lineRule="exact"/>
        <w:rPr>
          <w:rFonts w:ascii="Arial" w:cs="Arial" w:eastAsia="Arial" w:hAnsi="Arial"/>
          <w:sz w:val="16"/>
          <w:szCs w:val="16"/>
          <w:color w:val="auto"/>
        </w:rPr>
      </w:pPr>
    </w:p>
    <w:p>
      <w:pPr>
        <w:ind w:left="-8" w:right="140" w:firstLine="8"/>
        <w:spacing w:after="0" w:line="291"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Interpretation / Provisions of Plan Control. </w:t>
      </w:r>
      <w:r>
        <w:rPr>
          <w:rFonts w:ascii="Arial" w:cs="Arial" w:eastAsia="Arial" w:hAnsi="Arial"/>
          <w:sz w:val="16"/>
          <w:szCs w:val="16"/>
          <w:color w:val="auto"/>
        </w:rPr>
        <w:t>This Agreement is subject to all the terms, conditions and provisions of the Plan, including, without limitation,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20" w:lineRule="exact"/>
        <w:rPr>
          <w:rFonts w:ascii="Arial" w:cs="Arial" w:eastAsia="Arial" w:hAnsi="Arial"/>
          <w:sz w:val="16"/>
          <w:szCs w:val="16"/>
          <w:color w:val="auto"/>
        </w:rPr>
      </w:pPr>
    </w:p>
    <w:p>
      <w:pPr>
        <w:ind w:left="-8" w:firstLine="8"/>
        <w:spacing w:after="0" w:line="255"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notice under this Agreement shall be in writing and shall be deemed to have been duly given when delivered personally or when deposited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mail, registered, postage prepaid, and addressed, in the case of the Company, to the Company’s Secretary at 555 Turnpike Street, Canton, MA 02021,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57" w:name="page58"/>
    <w:bookmarkEnd w:id="57"/>
    <w:tbl>
      <w:tblPr>
        <w:tblLayout w:type="fixed"/>
        <w:tblInd w:w="460" w:type="dxa"/>
        <w:tblCellMar>
          <w:top w:w="0" w:type="dxa"/>
          <w:left w:w="0" w:type="dxa"/>
          <w:bottom w:w="0" w:type="dxa"/>
          <w:right w:w="0" w:type="dxa"/>
        </w:tblCellMar>
      </w:tblPr>
      <w:tr>
        <w:trPr>
          <w:trHeight w:val="207"/>
        </w:trPr>
        <w:tc>
          <w:tcPr>
            <w:tcW w:w="6640" w:type="dxa"/>
            <w:vAlign w:val="bottom"/>
            <w:gridSpan w:val="3"/>
          </w:tcPr>
          <w:p>
            <w:pPr>
              <w:spacing w:after="0"/>
              <w:rPr>
                <w:sz w:val="20"/>
                <w:szCs w:val="20"/>
                <w:color w:val="auto"/>
              </w:rPr>
            </w:pPr>
            <w:r>
              <w:rPr>
                <w:rFonts w:ascii="Arial" w:cs="Arial" w:eastAsia="Arial" w:hAnsi="Arial"/>
                <w:sz w:val="18"/>
                <w:szCs w:val="18"/>
                <w:color w:val="auto"/>
                <w:w w:val="91"/>
              </w:rPr>
              <w:t>IN WITNESS WHEREOF, the undersigned have executed this Agreement as of the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5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 Delaware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Optionee acknowledges receipt of a copy of the Plan and represents that he or she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or she has had an opportunity to obtain the advice of counsel prior to executing this Option Agreement.</w:t>
      </w:r>
    </w:p>
    <w:p>
      <w:pPr>
        <w:spacing w:after="0" w:line="184"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2540</wp:posOffset>
            </wp:positionV>
            <wp:extent cx="30359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2540</wp:posOffset>
            </wp:positionV>
            <wp:extent cx="3112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tabs>
          <w:tab w:leader="none" w:pos="7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57" w:right="3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INCENTIVE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Non-Employee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Agreement</w:t>
            </w:r>
          </w:p>
        </w:tc>
        <w:tc>
          <w:tcPr>
            <w:tcW w:w="8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58"/>
        </w:trPr>
        <w:tc>
          <w:tcPr>
            <w:tcW w:w="8940" w:type="dxa"/>
            <w:vAlign w:val="bottom"/>
            <w:gridSpan w:val="8"/>
          </w:tcPr>
          <w:p>
            <w:pPr>
              <w:spacing w:after="0"/>
              <w:rPr>
                <w:sz w:val="20"/>
                <w:szCs w:val="20"/>
                <w:color w:val="auto"/>
              </w:rPr>
            </w:pPr>
            <w:r>
              <w:rPr>
                <w:rFonts w:ascii="Arial" w:cs="Arial" w:eastAsia="Arial" w:hAnsi="Arial"/>
                <w:sz w:val="18"/>
                <w:szCs w:val="18"/>
                <w:color w:val="auto"/>
                <w:w w:val="90"/>
              </w:rPr>
              <w:t xml:space="preserve">1. </w:t>
            </w:r>
            <w:r>
              <w:rPr>
                <w:rFonts w:ascii="Arial" w:cs="Arial" w:eastAsia="Arial" w:hAnsi="Arial"/>
                <w:sz w:val="18"/>
                <w:szCs w:val="18"/>
                <w:b w:val="1"/>
                <w:bCs w:val="1"/>
                <w:i w:val="1"/>
                <w:iCs w:val="1"/>
                <w:color w:val="auto"/>
                <w:w w:val="90"/>
              </w:rPr>
              <w:t>Grant of Option.</w:t>
            </w:r>
            <w:r>
              <w:rPr>
                <w:rFonts w:ascii="Arial" w:cs="Arial" w:eastAsia="Arial" w:hAnsi="Arial"/>
                <w:sz w:val="18"/>
                <w:szCs w:val="18"/>
                <w:color w:val="auto"/>
                <w:w w:val="90"/>
              </w:rPr>
              <w:t xml:space="preserve"> CASUAL MALE RETAIL GROUP, INC., a Delaware corporation (the “</w:t>
            </w:r>
            <w:r>
              <w:rPr>
                <w:rFonts w:ascii="Arial" w:cs="Arial" w:eastAsia="Arial" w:hAnsi="Arial"/>
                <w:sz w:val="18"/>
                <w:szCs w:val="18"/>
                <w:b w:val="1"/>
                <w:bCs w:val="1"/>
                <w:color w:val="auto"/>
                <w:w w:val="90"/>
              </w:rPr>
              <w:t>Company</w:t>
            </w:r>
            <w:r>
              <w:rPr>
                <w:rFonts w:ascii="Arial" w:cs="Arial" w:eastAsia="Arial" w:hAnsi="Arial"/>
                <w:sz w:val="18"/>
                <w:szCs w:val="18"/>
                <w:color w:val="auto"/>
                <w:w w:val="90"/>
              </w:rPr>
              <w:t>”), hereby grants, as of</w:t>
            </w:r>
          </w:p>
        </w:tc>
        <w:tc>
          <w:tcPr>
            <w:tcW w:w="860" w:type="dxa"/>
            <w:vAlign w:val="bottom"/>
            <w:tcBorders>
              <w:bottom w:val="single" w:sz="8" w:color="auto"/>
            </w:tcBorders>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Date of Grant</w:t>
            </w:r>
            <w:r>
              <w:rPr>
                <w:rFonts w:ascii="Arial" w:cs="Arial" w:eastAsia="Arial" w:hAnsi="Arial"/>
                <w:sz w:val="18"/>
                <w:szCs w:val="18"/>
                <w:color w:val="auto"/>
                <w:w w:val="93"/>
              </w:rPr>
              <w:t>”), to</w:t>
            </w:r>
          </w:p>
        </w:tc>
      </w:tr>
      <w:tr>
        <w:trPr>
          <w:trHeight w:val="196"/>
        </w:trPr>
        <w:tc>
          <w:tcPr>
            <w:tcW w:w="880" w:type="dxa"/>
            <w:vAlign w:val="bottom"/>
            <w:tcBorders>
              <w:bottom w:val="single" w:sz="8" w:color="auto"/>
            </w:tcBorders>
          </w:tcPr>
          <w:p>
            <w:pPr>
              <w:spacing w:after="0"/>
              <w:rPr>
                <w:sz w:val="17"/>
                <w:szCs w:val="17"/>
                <w:color w:val="auto"/>
              </w:rPr>
            </w:pPr>
          </w:p>
        </w:tc>
        <w:tc>
          <w:tcPr>
            <w:tcW w:w="43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Optionee</w:t>
            </w:r>
            <w:r>
              <w:rPr>
                <w:rFonts w:ascii="Arial" w:cs="Arial" w:eastAsia="Arial" w:hAnsi="Arial"/>
                <w:sz w:val="18"/>
                <w:szCs w:val="18"/>
                <w:color w:val="auto"/>
                <w:w w:val="91"/>
              </w:rPr>
              <w:t>”) an option (the “</w:t>
            </w:r>
            <w:r>
              <w:rPr>
                <w:rFonts w:ascii="Arial" w:cs="Arial" w:eastAsia="Arial" w:hAnsi="Arial"/>
                <w:sz w:val="18"/>
                <w:szCs w:val="18"/>
                <w:b w:val="1"/>
                <w:bCs w:val="1"/>
                <w:color w:val="auto"/>
                <w:w w:val="91"/>
              </w:rPr>
              <w:t>Option</w:t>
            </w:r>
            <w:r>
              <w:rPr>
                <w:rFonts w:ascii="Arial" w:cs="Arial" w:eastAsia="Arial" w:hAnsi="Arial"/>
                <w:sz w:val="18"/>
                <w:szCs w:val="18"/>
                <w:color w:val="auto"/>
                <w:w w:val="91"/>
              </w:rPr>
              <w:t>”) to purchase up to</w:t>
            </w: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4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9"/>
              </w:rPr>
              <w:t>shares of the Company’s common stock, $.01 par value per share (the</w:t>
            </w:r>
          </w:p>
        </w:tc>
      </w:tr>
      <w:tr>
        <w:trPr>
          <w:trHeight w:val="196"/>
        </w:trPr>
        <w:tc>
          <w:tcPr>
            <w:tcW w:w="3580" w:type="dxa"/>
            <w:vAlign w:val="bottom"/>
            <w:gridSpan w:val="2"/>
          </w:tcPr>
          <w:p>
            <w:pPr>
              <w:spacing w:after="0" w:line="196"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b w:val="1"/>
                <w:bCs w:val="1"/>
                <w:color w:val="auto"/>
                <w:w w:val="86"/>
              </w:rPr>
              <w:t>Shares</w:t>
            </w:r>
            <w:r>
              <w:rPr>
                <w:rFonts w:ascii="Arial" w:cs="Arial" w:eastAsia="Arial" w:hAnsi="Arial"/>
                <w:sz w:val="18"/>
                <w:szCs w:val="18"/>
                <w:color w:val="auto"/>
                <w:w w:val="86"/>
              </w:rPr>
              <w:t>”), at an exercise price per share equal to $</w:t>
            </w:r>
          </w:p>
        </w:tc>
        <w:tc>
          <w:tcPr>
            <w:tcW w:w="520" w:type="dxa"/>
            <w:vAlign w:val="bottom"/>
            <w:tcBorders>
              <w:bottom w:val="single" w:sz="8" w:color="auto"/>
            </w:tcBorders>
          </w:tcPr>
          <w:p>
            <w:pPr>
              <w:spacing w:after="0"/>
              <w:rPr>
                <w:sz w:val="17"/>
                <w:szCs w:val="17"/>
                <w:color w:val="auto"/>
              </w:rPr>
            </w:pPr>
          </w:p>
        </w:tc>
        <w:tc>
          <w:tcPr>
            <w:tcW w:w="7300" w:type="dxa"/>
            <w:vAlign w:val="bottom"/>
            <w:gridSpan w:val="7"/>
          </w:tcPr>
          <w:p>
            <w:pPr>
              <w:ind w:left="60"/>
              <w:spacing w:after="0" w:line="196" w:lineRule="exact"/>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Exercise Price</w:t>
            </w:r>
            <w:r>
              <w:rPr>
                <w:rFonts w:ascii="Arial" w:cs="Arial" w:eastAsia="Arial" w:hAnsi="Arial"/>
                <w:sz w:val="18"/>
                <w:szCs w:val="18"/>
                <w:color w:val="auto"/>
                <w:w w:val="91"/>
              </w:rPr>
              <w:t>”). The Option shall be subject to the terms and conditions set forth herein. The</w:t>
            </w:r>
          </w:p>
        </w:tc>
      </w:tr>
    </w:tbl>
    <w:p>
      <w:pPr>
        <w:spacing w:after="0" w:line="1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Option was issued pursuant to the Company’s 2006 Incentive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 which is incorporated herein for all purposes. The Option is a Non-Qualified Stock Option, and not an Incentive Stock Option. The Optionee hereby acknowledges receipt of a copy of the Plan and agrees to be bound by all of the terms and conditions hereof and thereof and all applicable laws and regulations.</w:t>
      </w:r>
    </w:p>
    <w:p>
      <w:pPr>
        <w:spacing w:after="0" w:line="138" w:lineRule="exact"/>
        <w:rPr>
          <w:sz w:val="20"/>
          <w:szCs w:val="20"/>
          <w:color w:val="auto"/>
        </w:rPr>
      </w:pPr>
    </w:p>
    <w:p>
      <w:pPr>
        <w:ind w:right="140" w:firstLine="8"/>
        <w:spacing w:after="0" w:line="268" w:lineRule="auto"/>
        <w:tabs>
          <w:tab w:leader="none" w:pos="176"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Unless otherwise provided herein, terms used herein that are defined in the Plan and not defined herein shall have the meanings attributed thereto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Plan.</w:t>
      </w:r>
    </w:p>
    <w:p>
      <w:pPr>
        <w:spacing w:after="0" w:line="131" w:lineRule="exact"/>
        <w:rPr>
          <w:rFonts w:ascii="Arial" w:cs="Arial" w:eastAsia="Arial" w:hAnsi="Arial"/>
          <w:sz w:val="18"/>
          <w:szCs w:val="18"/>
          <w:color w:val="auto"/>
        </w:rPr>
      </w:pPr>
    </w:p>
    <w:p>
      <w:pPr>
        <w:ind w:right="60" w:firstLine="8"/>
        <w:spacing w:after="0" w:line="294" w:lineRule="auto"/>
        <w:tabs>
          <w:tab w:leader="none" w:pos="176"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Schedule. </w:t>
      </w:r>
      <w:r>
        <w:rPr>
          <w:rFonts w:ascii="Arial" w:cs="Arial" w:eastAsia="Arial" w:hAnsi="Arial"/>
          <w:sz w:val="16"/>
          <w:szCs w:val="16"/>
          <w:color w:val="auto"/>
        </w:rPr>
        <w:t>Except as otherwise provided in Sections 6 or 9 of this Agreement, or in the Plan, the Option is exercisable in installments as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which shall be cumulative. To the extent that the Option has become exercisable with respect to a percentage of Shares as provided below, the Option may thereafter be exercised by the Optionee, in whole or in part, at any time or from time to time prior to the expiration of the Option as provided herein. The following table indicates each date (the “</w:t>
      </w:r>
      <w:r>
        <w:rPr>
          <w:rFonts w:ascii="Arial" w:cs="Arial" w:eastAsia="Arial" w:hAnsi="Arial"/>
          <w:sz w:val="16"/>
          <w:szCs w:val="16"/>
          <w:b w:val="1"/>
          <w:bCs w:val="1"/>
          <w:color w:val="auto"/>
        </w:rPr>
        <w:t>Vesting Date</w:t>
      </w:r>
      <w:r>
        <w:rPr>
          <w:rFonts w:ascii="Arial" w:cs="Arial" w:eastAsia="Arial" w:hAnsi="Arial"/>
          <w:sz w:val="16"/>
          <w:szCs w:val="16"/>
          <w:color w:val="auto"/>
        </w:rPr>
        <w:t>”) upon which the Optionee shall be entitled to exercise the Option with respect to the percentage of Shares granted as indicated beside the date, provided that the Continuous Service of the Optionee continues through and on the applicable Vesting Date:</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83"/>
              </w:rPr>
              <w:t>Percentage of Shares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Becoming Available for</w:t>
            </w: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Cumulative Percentage</w:t>
            </w:r>
          </w:p>
        </w:tc>
      </w:tr>
      <w:tr>
        <w:trPr>
          <w:trHeight w:val="168"/>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Vesting Date</w:t>
            </w:r>
          </w:p>
        </w:tc>
        <w:tc>
          <w:tcPr>
            <w:tcW w:w="11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1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Available</w:t>
            </w:r>
          </w:p>
        </w:tc>
        <w:tc>
          <w:tcPr>
            <w:tcW w:w="140" w:type="dxa"/>
            <w:vAlign w:val="bottom"/>
          </w:tcPr>
          <w:p>
            <w:pPr>
              <w:spacing w:after="0"/>
              <w:rPr>
                <w:sz w:val="14"/>
                <w:szCs w:val="14"/>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Date of Grant</w:t>
            </w:r>
          </w:p>
        </w:tc>
        <w:tc>
          <w:tcPr>
            <w:tcW w:w="3780" w:type="dxa"/>
            <w:vAlign w:val="bottom"/>
            <w:gridSpan w:val="3"/>
            <w:shd w:val="clear" w:color="auto" w:fill="CCEEFF"/>
          </w:tcPr>
          <w:p>
            <w:pPr>
              <w:jc w:val="right"/>
              <w:ind w:right="114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First Anniversary of Date of Grant</w:t>
            </w:r>
          </w:p>
        </w:tc>
        <w:tc>
          <w:tcPr>
            <w:tcW w:w="3780" w:type="dxa"/>
            <w:vAlign w:val="bottom"/>
            <w:gridSpan w:val="3"/>
          </w:tcPr>
          <w:p>
            <w:pPr>
              <w:jc w:val="right"/>
              <w:ind w:right="114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tcPr>
          <w:p>
            <w:pPr>
              <w:jc w:val="right"/>
              <w:spacing w:after="0" w:line="217" w:lineRule="exact"/>
              <w:rPr>
                <w:sz w:val="20"/>
                <w:szCs w:val="20"/>
                <w:color w:val="auto"/>
              </w:rPr>
            </w:pPr>
            <w:r>
              <w:rPr>
                <w:rFonts w:ascii="Arial" w:cs="Arial" w:eastAsia="Arial" w:hAnsi="Arial"/>
                <w:sz w:val="18"/>
                <w:szCs w:val="18"/>
                <w:color w:val="auto"/>
              </w:rPr>
              <w:t xml:space="preserve">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Second Anniversary of Date of Grant</w:t>
            </w:r>
          </w:p>
        </w:tc>
        <w:tc>
          <w:tcPr>
            <w:tcW w:w="3780" w:type="dxa"/>
            <w:vAlign w:val="bottom"/>
            <w:gridSpan w:val="3"/>
            <w:shd w:val="clear" w:color="auto" w:fill="CCEEFF"/>
          </w:tcPr>
          <w:p>
            <w:pPr>
              <w:jc w:val="right"/>
              <w:ind w:right="1140"/>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54"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Except as otherwise specifically provided herein, there shall be no proportionate or partial vesting in the periods prior to each Vesting Date, and all vesting shall occur only on the appropriate Vesting Date. Upon the termination of the Optionee’s Continuous Service with the Company and its Related Entities, any unvested portion of the Option shall terminate and be null and void, except as may otherwise be determined by the Committee in writing in its sole discretion.</w:t>
      </w:r>
    </w:p>
    <w:p>
      <w:pPr>
        <w:sectPr>
          <w:pgSz w:w="11900" w:h="16838" w:orient="portrait"/>
          <w:cols w:equalWidth="0" w:num="1">
            <w:col w:w="11420"/>
          </w:cols>
          <w:pgMar w:left="240" w:top="125" w:right="239" w:bottom="1440" w:gutter="0" w:footer="0" w:header="0"/>
        </w:sectPr>
      </w:pPr>
    </w:p>
    <w:bookmarkStart w:id="59" w:name="page60"/>
    <w:bookmarkEnd w:id="59"/>
    <w:p>
      <w:pPr>
        <w:ind w:left="-8" w:right="40" w:firstLine="8"/>
        <w:spacing w:after="0" w:line="288" w:lineRule="auto"/>
        <w:tabs>
          <w:tab w:leader="none" w:pos="168"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Method of Exercise. </w:t>
      </w:r>
      <w:r>
        <w:rPr>
          <w:rFonts w:ascii="Arial" w:cs="Arial" w:eastAsia="Arial" w:hAnsi="Arial"/>
          <w:sz w:val="16"/>
          <w:szCs w:val="16"/>
          <w:color w:val="auto"/>
        </w:rPr>
        <w:t>The vested portion of this Option shall be exercisable in whole or in part in accordance with the exercise schedule set forth in Section 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by written notice 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19" w:lineRule="exact"/>
        <w:rPr>
          <w:rFonts w:ascii="Arial" w:cs="Arial" w:eastAsia="Arial" w:hAnsi="Arial"/>
          <w:sz w:val="16"/>
          <w:szCs w:val="16"/>
          <w:color w:val="auto"/>
        </w:rPr>
      </w:pPr>
    </w:p>
    <w:p>
      <w:pPr>
        <w:ind w:left="172" w:hanging="172"/>
        <w:spacing w:after="0"/>
        <w:tabs>
          <w:tab w:leader="none" w:pos="172"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Method of Payment. </w:t>
      </w:r>
      <w:r>
        <w:rPr>
          <w:rFonts w:ascii="Arial" w:cs="Arial" w:eastAsia="Arial" w:hAnsi="Arial"/>
          <w:sz w:val="16"/>
          <w:szCs w:val="16"/>
          <w:color w:val="auto"/>
        </w:rPr>
        <w:t>Payment of the Exercise Price shall be by any of the following, or a combination thereof, at the election of the Optionee: (a) cash;</w:t>
      </w:r>
    </w:p>
    <w:p>
      <w:pPr>
        <w:spacing w:after="0" w:line="38" w:lineRule="exact"/>
        <w:rPr>
          <w:sz w:val="20"/>
          <w:szCs w:val="20"/>
          <w:color w:val="auto"/>
        </w:rPr>
      </w:pPr>
    </w:p>
    <w:p>
      <w:pPr>
        <w:ind w:left="-8" w:firstLine="8"/>
        <w:spacing w:after="0" w:line="253" w:lineRule="auto"/>
        <w:tabs>
          <w:tab w:leader="none" w:pos="241"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check; (c) to the extent permitted by the Committee, with Shares owned by the Optionee, or the withholding of Shares that otherwise would be delivered to the Optionee as a result of the exercise of the Option,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or (e) such other consideration or in such other manner as may be determined by the Committee in its absolute discretion.</w:t>
      </w:r>
    </w:p>
    <w:p>
      <w:pPr>
        <w:spacing w:after="0" w:line="226" w:lineRule="exact"/>
        <w:rPr>
          <w:sz w:val="20"/>
          <w:szCs w:val="20"/>
          <w:color w:val="auto"/>
        </w:rPr>
      </w:pPr>
    </w:p>
    <w:p>
      <w:pPr>
        <w:ind w:left="172" w:hanging="172"/>
        <w:spacing w:after="0"/>
        <w:tabs>
          <w:tab w:leader="none" w:pos="172"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Option.</w:t>
      </w:r>
    </w:p>
    <w:p>
      <w:pPr>
        <w:spacing w:after="0" w:line="90" w:lineRule="exact"/>
        <w:rPr>
          <w:rFonts w:ascii="Arial" w:cs="Arial" w:eastAsia="Arial" w:hAnsi="Arial"/>
          <w:sz w:val="18"/>
          <w:szCs w:val="18"/>
          <w:color w:val="auto"/>
        </w:rPr>
      </w:pPr>
    </w:p>
    <w:p>
      <w:pPr>
        <w:ind w:left="-8" w:right="40" w:firstLine="464"/>
        <w:spacing w:after="0" w:line="268" w:lineRule="auto"/>
        <w:tabs>
          <w:tab w:leader="none" w:pos="68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unexercised portion of the Option shall automatically and without notice terminate and become null and void at the time of the earliest to occur of the following:</w:t>
      </w:r>
    </w:p>
    <w:p>
      <w:pPr>
        <w:spacing w:after="0" w:line="50" w:lineRule="exact"/>
        <w:rPr>
          <w:rFonts w:ascii="Arial" w:cs="Arial" w:eastAsia="Arial" w:hAnsi="Arial"/>
          <w:sz w:val="18"/>
          <w:szCs w:val="18"/>
          <w:color w:val="auto"/>
        </w:rPr>
      </w:pPr>
    </w:p>
    <w:p>
      <w:pPr>
        <w:ind w:left="-8" w:right="320" w:firstLine="921"/>
        <w:spacing w:after="0" w:line="259" w:lineRule="auto"/>
        <w:tabs>
          <w:tab w:leader="none" w:pos="1115" w:val="left"/>
        </w:tabs>
        <w:numPr>
          <w:ilvl w:val="2"/>
          <w:numId w:val="78"/>
        </w:numPr>
        <w:rPr>
          <w:rFonts w:ascii="Arial" w:cs="Arial" w:eastAsia="Arial" w:hAnsi="Arial"/>
          <w:sz w:val="18"/>
          <w:szCs w:val="18"/>
          <w:color w:val="auto"/>
        </w:rPr>
      </w:pPr>
      <w:r>
        <w:rPr>
          <w:rFonts w:ascii="Arial" w:cs="Arial" w:eastAsia="Arial" w:hAnsi="Arial"/>
          <w:sz w:val="18"/>
          <w:szCs w:val="18"/>
          <w:color w:val="auto"/>
        </w:rPr>
        <w:t>unless the Committee otherwise determines in writing in its sole discretion, three months after the date on which the Optionee’s Continuous Service is terminated other than by reason of (A) by the Company or a Related Entity for Cause, (B) a Disability of the Optionee as determined by a medical doctor satisfactory to the Committee, or (C) the death of the Optionee;</w:t>
      </w:r>
    </w:p>
    <w:p>
      <w:pPr>
        <w:spacing w:after="0" w:line="140" w:lineRule="exact"/>
        <w:rPr>
          <w:rFonts w:ascii="Arial" w:cs="Arial" w:eastAsia="Arial" w:hAnsi="Arial"/>
          <w:sz w:val="18"/>
          <w:szCs w:val="18"/>
          <w:color w:val="auto"/>
        </w:rPr>
      </w:pPr>
    </w:p>
    <w:p>
      <w:pPr>
        <w:ind w:left="1172" w:hanging="259"/>
        <w:spacing w:after="0"/>
        <w:tabs>
          <w:tab w:leader="none" w:pos="1172" w:val="left"/>
        </w:tabs>
        <w:numPr>
          <w:ilvl w:val="2"/>
          <w:numId w:val="78"/>
        </w:numPr>
        <w:rPr>
          <w:rFonts w:ascii="Arial" w:cs="Arial" w:eastAsia="Arial" w:hAnsi="Arial"/>
          <w:sz w:val="18"/>
          <w:szCs w:val="18"/>
          <w:color w:val="auto"/>
        </w:rPr>
      </w:pPr>
      <w:r>
        <w:rPr>
          <w:rFonts w:ascii="Arial" w:cs="Arial" w:eastAsia="Arial" w:hAnsi="Arial"/>
          <w:sz w:val="18"/>
          <w:szCs w:val="18"/>
          <w:color w:val="auto"/>
        </w:rPr>
        <w:t>immediately upon the termination of the Optionee’s Continuous Service by the Company or a Related Entity for Cause;</w:t>
      </w:r>
    </w:p>
    <w:p>
      <w:pPr>
        <w:spacing w:after="0" w:line="171" w:lineRule="exact"/>
        <w:rPr>
          <w:rFonts w:ascii="Arial" w:cs="Arial" w:eastAsia="Arial" w:hAnsi="Arial"/>
          <w:sz w:val="18"/>
          <w:szCs w:val="18"/>
          <w:color w:val="auto"/>
        </w:rPr>
      </w:pPr>
    </w:p>
    <w:p>
      <w:pPr>
        <w:ind w:left="-8" w:right="260" w:firstLine="921"/>
        <w:spacing w:after="0" w:line="268" w:lineRule="auto"/>
        <w:tabs>
          <w:tab w:leader="none" w:pos="1212" w:val="left"/>
        </w:tabs>
        <w:numPr>
          <w:ilvl w:val="2"/>
          <w:numId w:val="78"/>
        </w:numPr>
        <w:rPr>
          <w:rFonts w:ascii="Arial" w:cs="Arial" w:eastAsia="Arial" w:hAnsi="Arial"/>
          <w:sz w:val="18"/>
          <w:szCs w:val="18"/>
          <w:color w:val="auto"/>
        </w:rPr>
      </w:pPr>
      <w:r>
        <w:rPr>
          <w:rFonts w:ascii="Arial" w:cs="Arial" w:eastAsia="Arial" w:hAnsi="Arial"/>
          <w:sz w:val="18"/>
          <w:szCs w:val="18"/>
          <w:color w:val="auto"/>
        </w:rPr>
        <w:t>twelve months after the date on which the Optionee’s Continuous Service is terminated by reason of a Disability as determined by a medical doctor satisfactory to the Committee;</w:t>
      </w:r>
    </w:p>
    <w:p>
      <w:pPr>
        <w:spacing w:after="0" w:line="131" w:lineRule="exact"/>
        <w:rPr>
          <w:rFonts w:ascii="Arial" w:cs="Arial" w:eastAsia="Arial" w:hAnsi="Arial"/>
          <w:sz w:val="18"/>
          <w:szCs w:val="18"/>
          <w:color w:val="auto"/>
        </w:rPr>
      </w:pPr>
    </w:p>
    <w:p>
      <w:pPr>
        <w:ind w:left="1212" w:hanging="299"/>
        <w:spacing w:after="0"/>
        <w:tabs>
          <w:tab w:leader="none" w:pos="1212" w:val="left"/>
        </w:tabs>
        <w:numPr>
          <w:ilvl w:val="2"/>
          <w:numId w:val="78"/>
        </w:numPr>
        <w:rPr>
          <w:rFonts w:ascii="Arial" w:cs="Arial" w:eastAsia="Arial" w:hAnsi="Arial"/>
          <w:sz w:val="16"/>
          <w:szCs w:val="16"/>
          <w:color w:val="auto"/>
        </w:rPr>
      </w:pPr>
      <w:r>
        <w:rPr>
          <w:rFonts w:ascii="Arial" w:cs="Arial" w:eastAsia="Arial" w:hAnsi="Arial"/>
          <w:sz w:val="16"/>
          <w:szCs w:val="16"/>
          <w:color w:val="auto"/>
        </w:rPr>
        <w:t>(A) twelve months after the date of termination of the Optionee’s Continuous Service by reason of the death of the Optionee, or, if later,</w:t>
      </w:r>
    </w:p>
    <w:p>
      <w:pPr>
        <w:spacing w:after="0" w:line="38" w:lineRule="exact"/>
        <w:rPr>
          <w:sz w:val="20"/>
          <w:szCs w:val="20"/>
          <w:color w:val="auto"/>
        </w:rPr>
      </w:pPr>
    </w:p>
    <w:p>
      <w:pPr>
        <w:jc w:val="center"/>
        <w:ind w:left="5672" w:right="520" w:hanging="5672"/>
        <w:spacing w:after="0" w:line="433" w:lineRule="auto"/>
        <w:tabs>
          <w:tab w:leader="none" w:pos="2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three months after the date on which the Optionee shall die if such death shall occur during the one year period specified in Section 6(a)(iii) hereof; or 2</w:t>
      </w:r>
    </w:p>
    <w:p>
      <w:pPr>
        <w:sectPr>
          <w:pgSz w:w="11900" w:h="16838" w:orient="portrait"/>
          <w:cols w:equalWidth="0" w:num="1">
            <w:col w:w="11332"/>
          </w:cols>
          <w:pgMar w:left="248" w:top="280" w:right="319" w:bottom="1440" w:gutter="0" w:footer="0" w:header="0"/>
        </w:sectPr>
      </w:pPr>
    </w:p>
    <w:bookmarkStart w:id="60" w:name="page61"/>
    <w:bookmarkEnd w:id="60"/>
    <w:p>
      <w:pPr>
        <w:ind w:left="1152" w:hanging="239"/>
        <w:spacing w:after="0"/>
        <w:tabs>
          <w:tab w:leader="none" w:pos="1152" w:val="left"/>
        </w:tabs>
        <w:numPr>
          <w:ilvl w:val="2"/>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tenth anniversary of the date as of which the Option is granted.</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1"/>
          <w:numId w:val="81"/>
        </w:numPr>
        <w:rPr>
          <w:rFonts w:ascii="Arial" w:cs="Arial" w:eastAsia="Arial" w:hAnsi="Arial"/>
          <w:sz w:val="16"/>
          <w:szCs w:val="16"/>
          <w:color w:val="auto"/>
        </w:rPr>
      </w:pPr>
      <w:r>
        <w:rPr>
          <w:rFonts w:ascii="Arial" w:cs="Arial" w:eastAsia="Arial" w:hAnsi="Arial"/>
          <w:sz w:val="16"/>
          <w:szCs w:val="16"/>
          <w:color w:val="auto"/>
        </w:rPr>
        <w:t>To the extent not previously exercised, (i) the Option shall terminate immediately in the event of (A) the liquidation or dissolution of the Company, or</w:t>
      </w:r>
    </w:p>
    <w:p>
      <w:pPr>
        <w:spacing w:after="0" w:line="38" w:lineRule="exact"/>
        <w:rPr>
          <w:rFonts w:ascii="Arial" w:cs="Arial" w:eastAsia="Arial" w:hAnsi="Arial"/>
          <w:sz w:val="16"/>
          <w:szCs w:val="16"/>
          <w:color w:val="auto"/>
        </w:rPr>
      </w:pPr>
    </w:p>
    <w:p>
      <w:pPr>
        <w:ind w:left="-8" w:right="20" w:firstLine="8"/>
        <w:spacing w:after="0" w:line="287" w:lineRule="auto"/>
        <w:tabs>
          <w:tab w:leader="none" w:pos="27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10(c) of the Plan, and (ii) the Committee in its sole discretion may by written notice (“cancellation notice”) cancel, effective upon the consummation of any corporate transaction described in Section 9(b)(i) of the Plan,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120" w:lineRule="exact"/>
        <w:rPr>
          <w:sz w:val="20"/>
          <w:szCs w:val="20"/>
          <w:color w:val="auto"/>
        </w:rPr>
      </w:pPr>
    </w:p>
    <w:p>
      <w:pPr>
        <w:ind w:left="-8" w:right="20" w:firstLine="8"/>
        <w:spacing w:after="0" w:line="291" w:lineRule="auto"/>
        <w:tabs>
          <w:tab w:leader="none" w:pos="16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Transferability. </w:t>
      </w:r>
      <w:r>
        <w:rPr>
          <w:rFonts w:ascii="Arial" w:cs="Arial" w:eastAsia="Arial" w:hAnsi="Arial"/>
          <w:sz w:val="16"/>
          <w:szCs w:val="16"/>
          <w:color w:val="auto"/>
        </w:rPr>
        <w:t>Unless otherwise determined by the Committee, the Option granted hereby is not transferable otherwise than by will or under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of descent and distribution, and during the lifetime of the Optionee the Option shall be exercisable only by the Optionee, or the Optionee’s guardian or legal representative. In addition, the Option shall not be assigned, negotiated, pledged or hypothecated in any way (whether by operation of law or otherwise), and the Option shall not be subject to execution, attachment or similar process. Upon any attempt to transfer, assign, negotiate, pledge or hypothecate the Option, or in the event of any levy upon the Option by reason of any execution, attachment or similar process contrary to the provisions hereof, the Option shall immediately become null and void. The terms of this Option shall be binding upon the executors, administrators, heirs, successors and assigns of the Optionee.</w:t>
      </w:r>
    </w:p>
    <w:p>
      <w:pPr>
        <w:spacing w:after="0" w:line="120" w:lineRule="exact"/>
        <w:rPr>
          <w:rFonts w:ascii="Arial" w:cs="Arial" w:eastAsia="Arial" w:hAnsi="Arial"/>
          <w:sz w:val="16"/>
          <w:szCs w:val="16"/>
          <w:color w:val="auto"/>
        </w:rPr>
      </w:pPr>
    </w:p>
    <w:p>
      <w:pPr>
        <w:ind w:left="-8" w:firstLine="8"/>
        <w:spacing w:after="0" w:line="259" w:lineRule="auto"/>
        <w:tabs>
          <w:tab w:leader="none" w:pos="168"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Rights of Stockholders. </w:t>
      </w:r>
      <w:r>
        <w:rPr>
          <w:rFonts w:ascii="Arial" w:cs="Arial" w:eastAsia="Arial" w:hAnsi="Arial"/>
          <w:sz w:val="18"/>
          <w:szCs w:val="18"/>
          <w:color w:val="auto"/>
        </w:rPr>
        <w:t>Neither the Optionee nor any personal representative (or beneficiary) shall be, or shall have any of the rights and privileges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of the Company with respect to any Shares purchasable or issuable upon the exercise of the Option, in whole or in part, prior to the date of exercise of the Option.</w:t>
      </w:r>
    </w:p>
    <w:p>
      <w:pPr>
        <w:spacing w:after="0" w:line="221" w:lineRule="exact"/>
        <w:rPr>
          <w:rFonts w:ascii="Arial" w:cs="Arial" w:eastAsia="Arial" w:hAnsi="Arial"/>
          <w:sz w:val="18"/>
          <w:szCs w:val="18"/>
          <w:color w:val="auto"/>
        </w:rPr>
      </w:pPr>
    </w:p>
    <w:p>
      <w:pPr>
        <w:ind w:left="172" w:hanging="172"/>
        <w:spacing w:after="0"/>
        <w:tabs>
          <w:tab w:leader="none" w:pos="172"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of Exercisability of Option.</w:t>
      </w:r>
    </w:p>
    <w:p>
      <w:pPr>
        <w:spacing w:after="0" w:line="90" w:lineRule="exact"/>
        <w:rPr>
          <w:rFonts w:ascii="Arial" w:cs="Arial" w:eastAsia="Arial" w:hAnsi="Arial"/>
          <w:sz w:val="18"/>
          <w:szCs w:val="18"/>
          <w:color w:val="auto"/>
        </w:rPr>
      </w:pPr>
    </w:p>
    <w:p>
      <w:pPr>
        <w:ind w:left="-8" w:right="380" w:firstLine="464"/>
        <w:spacing w:after="0" w:line="268" w:lineRule="auto"/>
        <w:tabs>
          <w:tab w:leader="none" w:pos="687"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This Option shall become immediately fully exercisable upon the termination of the Optionee’s Continuous Service other than a termination by the Company or a Related Entity for Cause.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61" w:name="page62"/>
    <w:bookmarkEnd w:id="61"/>
    <w:p>
      <w:pPr>
        <w:ind w:left="-8" w:right="20" w:firstLine="464"/>
        <w:spacing w:after="0" w:line="268" w:lineRule="auto"/>
        <w:tabs>
          <w:tab w:leader="none" w:pos="697"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Option shall become immediately fully exercisable in the event that, prior to the termination of the Option pursuant to Section 6 hereof, and during the Optionee’s Continuous Service, there is a “Change in Control,” as defined in Section 9(b) of the Plan.</w:t>
      </w:r>
    </w:p>
    <w:p>
      <w:pPr>
        <w:spacing w:after="0" w:line="131" w:lineRule="exact"/>
        <w:rPr>
          <w:rFonts w:ascii="Arial" w:cs="Arial" w:eastAsia="Arial" w:hAnsi="Arial"/>
          <w:sz w:val="18"/>
          <w:szCs w:val="18"/>
          <w:color w:val="auto"/>
        </w:rPr>
      </w:pPr>
    </w:p>
    <w:p>
      <w:pPr>
        <w:jc w:val="both"/>
        <w:ind w:left="-8" w:right="340" w:firstLine="464"/>
        <w:spacing w:after="0" w:line="259" w:lineRule="auto"/>
        <w:tabs>
          <w:tab w:leader="none" w:pos="68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This Option shall become immediately fully exercisable in the event that, prior to the termination of the Option pursuant to Section 6 hereof, (i) the Option is terminated pursuant to Section 6(b)(i) hereof, or (ii) the Company exercises its discretion to provide a cancellation notice with respect to the Option pursuant to Section 6(b)(ii) hereof.</w:t>
      </w:r>
    </w:p>
    <w:p>
      <w:pPr>
        <w:spacing w:after="0" w:line="140" w:lineRule="exact"/>
        <w:rPr>
          <w:rFonts w:ascii="Arial" w:cs="Arial" w:eastAsia="Arial" w:hAnsi="Arial"/>
          <w:sz w:val="18"/>
          <w:szCs w:val="18"/>
          <w:color w:val="auto"/>
        </w:rPr>
      </w:pPr>
    </w:p>
    <w:p>
      <w:pPr>
        <w:ind w:left="-8" w:right="560" w:firstLine="8"/>
        <w:spacing w:after="0" w:line="268"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 to Continued Employment or Service with the Company. </w:t>
      </w:r>
      <w:r>
        <w:rPr>
          <w:rFonts w:ascii="Arial" w:cs="Arial" w:eastAsia="Arial" w:hAnsi="Arial"/>
          <w:sz w:val="18"/>
          <w:szCs w:val="18"/>
          <w:color w:val="auto"/>
        </w:rPr>
        <w:t>Neither the Option nor this Agreement shall confer upon the Optionee any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 employment or service with the Company.</w:t>
      </w:r>
    </w:p>
    <w:p>
      <w:pPr>
        <w:spacing w:after="0" w:line="131" w:lineRule="exact"/>
        <w:rPr>
          <w:rFonts w:ascii="Arial" w:cs="Arial" w:eastAsia="Arial" w:hAnsi="Arial"/>
          <w:sz w:val="18"/>
          <w:szCs w:val="18"/>
          <w:color w:val="auto"/>
        </w:rPr>
      </w:pPr>
    </w:p>
    <w:p>
      <w:pPr>
        <w:ind w:left="252" w:hanging="252"/>
        <w:spacing w:after="0"/>
        <w:tabs>
          <w:tab w:leader="none" w:pos="252"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Law Governing. </w:t>
      </w:r>
      <w:r>
        <w:rPr>
          <w:rFonts w:ascii="Arial" w:cs="Arial" w:eastAsia="Arial" w:hAnsi="Arial"/>
          <w:sz w:val="18"/>
          <w:szCs w:val="18"/>
          <w:color w:val="auto"/>
        </w:rPr>
        <w:t>This Agreement shall be governed in accordance with and governed by the internal laws of the State of Delaware.</w:t>
      </w:r>
    </w:p>
    <w:p>
      <w:pPr>
        <w:spacing w:after="0" w:line="171" w:lineRule="exact"/>
        <w:rPr>
          <w:rFonts w:ascii="Arial" w:cs="Arial" w:eastAsia="Arial" w:hAnsi="Arial"/>
          <w:sz w:val="18"/>
          <w:szCs w:val="18"/>
          <w:color w:val="auto"/>
        </w:rPr>
      </w:pPr>
    </w:p>
    <w:p>
      <w:pPr>
        <w:ind w:left="-8" w:right="140" w:firstLine="8"/>
        <w:spacing w:after="0" w:line="291" w:lineRule="auto"/>
        <w:tabs>
          <w:tab w:leader="none" w:pos="255"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Interpretation / Provisions of Plan Control. </w:t>
      </w:r>
      <w:r>
        <w:rPr>
          <w:rFonts w:ascii="Arial" w:cs="Arial" w:eastAsia="Arial" w:hAnsi="Arial"/>
          <w:sz w:val="16"/>
          <w:szCs w:val="16"/>
          <w:color w:val="auto"/>
        </w:rPr>
        <w:t>This Agreement is subject to all the terms, conditions and provisions of the Plan, including, without limitation,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20" w:lineRule="exact"/>
        <w:rPr>
          <w:rFonts w:ascii="Arial" w:cs="Arial" w:eastAsia="Arial" w:hAnsi="Arial"/>
          <w:sz w:val="16"/>
          <w:szCs w:val="16"/>
          <w:color w:val="auto"/>
        </w:rPr>
      </w:pPr>
    </w:p>
    <w:p>
      <w:pPr>
        <w:ind w:left="-8" w:firstLine="8"/>
        <w:spacing w:after="0" w:line="255"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notice under this Agreement shall be in writing and shall be deemed to have been duly given when delivered personally or when deposited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mail, registered, postage prepaid, and addressed, in the case of the Company, to the Company’s Secretary at 555 Turnpike Street, Canton, MA 02021,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62" w:name="page63"/>
    <w:bookmarkEnd w:id="62"/>
    <w:tbl>
      <w:tblPr>
        <w:tblLayout w:type="fixed"/>
        <w:tblInd w:w="460" w:type="dxa"/>
        <w:tblCellMar>
          <w:top w:w="0" w:type="dxa"/>
          <w:left w:w="0" w:type="dxa"/>
          <w:bottom w:w="0" w:type="dxa"/>
          <w:right w:w="0" w:type="dxa"/>
        </w:tblCellMar>
      </w:tblPr>
      <w:tr>
        <w:trPr>
          <w:trHeight w:val="207"/>
        </w:trPr>
        <w:tc>
          <w:tcPr>
            <w:tcW w:w="6640" w:type="dxa"/>
            <w:vAlign w:val="bottom"/>
            <w:gridSpan w:val="3"/>
          </w:tcPr>
          <w:p>
            <w:pPr>
              <w:spacing w:after="0"/>
              <w:rPr>
                <w:sz w:val="20"/>
                <w:szCs w:val="20"/>
                <w:color w:val="auto"/>
              </w:rPr>
            </w:pPr>
            <w:r>
              <w:rPr>
                <w:rFonts w:ascii="Arial" w:cs="Arial" w:eastAsia="Arial" w:hAnsi="Arial"/>
                <w:sz w:val="18"/>
                <w:szCs w:val="18"/>
                <w:color w:val="auto"/>
                <w:w w:val="91"/>
              </w:rPr>
              <w:t>IN WITNESS WHEREOF, the undersigned have executed this Agreement as of the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5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 Delaware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Optionee acknowledges receipt of a copy of the Plan and represents that he or she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or she has had an opportunity to obtain the advice of counsel prior to executing this Option Agreement.</w:t>
      </w:r>
    </w:p>
    <w:p>
      <w:pPr>
        <w:spacing w:after="0" w:line="178"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30359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2540</wp:posOffset>
            </wp:positionV>
            <wp:extent cx="3112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tabs>
          <w:tab w:leader="none" w:pos="7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57" w:right="3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18.1</w:t>
      </w:r>
    </w:p>
    <w:p>
      <w:pPr>
        <w:spacing w:after="0" w:line="177" w:lineRule="exact"/>
        <w:rPr>
          <w:sz w:val="20"/>
          <w:szCs w:val="20"/>
          <w:color w:val="auto"/>
        </w:rPr>
      </w:pPr>
    </w:p>
    <w:p>
      <w:pPr>
        <w:ind w:left="20" w:right="4100"/>
        <w:spacing w:after="0" w:line="362" w:lineRule="auto"/>
        <w:rPr>
          <w:sz w:val="20"/>
          <w:szCs w:val="20"/>
          <w:color w:val="auto"/>
        </w:rPr>
      </w:pPr>
      <w:r>
        <w:rPr>
          <w:rFonts w:ascii="Arial" w:cs="Arial" w:eastAsia="Arial" w:hAnsi="Arial"/>
          <w:sz w:val="18"/>
          <w:szCs w:val="18"/>
          <w:color w:val="auto"/>
        </w:rPr>
        <w:t>PREFERABILITY LETTER FROM INDEPENDENT REGISTERED PUBLIC ACCOUNTING FIRM August 18, 2006</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Dennis Hernreich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Operating Officer and 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 Turnpike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Canton, Massachusetts 02021</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Hernreich:</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Note 2 of the Notes to the Consolidated Financial Statements of Casual Male Retail Group, Inc. included in its Form 10-Q for the quarter ended July 29, 2006 describes a change in the method of accounting for merchandise inventory from the FIFO retail inventory method to the weighted-average cost method. There are no authoritative criteria for determining a “preferable” method of determining the cost of merchandise inventory based on the particular circumstances; however, we conclude that such change in the method of accounting is to an acceptable alternative method which, based on your business judgment to make this change and for the stated reasons, is preferable in your circumstances. We have not conducted an audit in accordance with the standards of the Public Company Accounting Oversight Board (United States) of any financial statements of the Company as of any date or for any period subsequent to January 28, 2006, and therefore we do not express any opinion on any financial statements of Casual Male Retail Group, Inc. subsequent to that date.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18, 2006</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29, 2006,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August 18, 2006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29, 2006,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August 18, 2006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1."/>
      <w:numFmt w:val="decimal"/>
      <w:start w:val="2"/>
    </w:lvl>
  </w:abstractNum>
  <w:abstractNum w:abstractNumId="3">
    <w:nsid w:val="542289EC"/>
    <w:multiLevelType w:val="hybridMultilevel"/>
    <w:lvl w:ilvl="0">
      <w:lvlJc w:val="left"/>
      <w:lvlText w:val="%1."/>
      <w:numFmt w:val="decimal"/>
      <w:start w:val="3"/>
    </w:lvl>
  </w:abstractNum>
  <w:abstractNum w:abstractNumId="4">
    <w:nsid w:val="6DE91B18"/>
    <w:multiLevelType w:val="hybridMultilevel"/>
    <w:lvl w:ilvl="0">
      <w:lvlJc w:val="left"/>
      <w:lvlText w:val="%1."/>
      <w:numFmt w:val="decimal"/>
      <w:start w:val="4"/>
    </w:lvl>
  </w:abstractNum>
  <w:abstractNum w:abstractNumId="5">
    <w:nsid w:val="38437FDB"/>
    <w:multiLevelType w:val="hybridMultilevel"/>
    <w:lvl w:ilvl="0">
      <w:lvlJc w:val="left"/>
      <w:lvlText w:val="%1."/>
      <w:numFmt w:val="decimal"/>
      <w:start w:val="5"/>
    </w:lvl>
  </w:abstractNum>
  <w:abstractNum w:abstractNumId="6">
    <w:nsid w:val="7644A45C"/>
    <w:multiLevelType w:val="hybridMultilevel"/>
    <w:lvl w:ilvl="0">
      <w:lvlJc w:val="left"/>
      <w:lvlText w:val="%1."/>
      <w:numFmt w:val="decimal"/>
      <w:start w:val="6"/>
    </w:lvl>
  </w:abstractNum>
  <w:abstractNum w:abstractNumId="7">
    <w:nsid w:val="32FFF902"/>
    <w:multiLevelType w:val="hybridMultilevel"/>
    <w:lvl w:ilvl="0">
      <w:lvlJc w:val="left"/>
      <w:lvlText w:val="%1."/>
      <w:numFmt w:val="decimal"/>
      <w:start w:val="7"/>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1."/>
      <w:numFmt w:val="decimal"/>
      <w:start w:val="8"/>
    </w:lvl>
  </w:abstractNum>
  <w:abstractNum w:abstractNumId="11">
    <w:nsid w:val="3DC240FB"/>
    <w:multiLevelType w:val="hybridMultilevel"/>
    <w:lvl w:ilvl="0">
      <w:lvlJc w:val="left"/>
      <w:lvlText w:val="%1."/>
      <w:numFmt w:val="decimal"/>
      <w:start w:val="9"/>
    </w:lvl>
  </w:abstractNum>
  <w:abstractNum w:abstractNumId="12">
    <w:nsid w:val="1BA026FA"/>
    <w:multiLevelType w:val="hybridMultilevel"/>
    <w:lvl w:ilvl="0">
      <w:lvlJc w:val="left"/>
      <w:lvlText w:val="%1."/>
      <w:numFmt w:val="decimal"/>
      <w:start w:val="10"/>
    </w:lvl>
  </w:abstractNum>
  <w:abstractNum w:abstractNumId="13">
    <w:nsid w:val="79A1DEAA"/>
    <w:multiLevelType w:val="hybridMultilevel"/>
    <w:lvl w:ilvl="0">
      <w:lvlJc w:val="left"/>
      <w:lvlText w:val="%1."/>
      <w:numFmt w:val="decimal"/>
      <w:start w:val="1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decimal"/>
      <w:start w:val="1"/>
    </w:lvl>
    <w:lvl w:ilvl="1">
      <w:lvlJc w:val="left"/>
      <w:lvlText w:val="(%2)"/>
      <w:numFmt w:val="lowerLetter"/>
      <w:start w:val="1"/>
    </w:lvl>
  </w:abstractNum>
  <w:abstractNum w:abstractNumId="16">
    <w:nsid w:val="70C6A529"/>
    <w:multiLevelType w:val="hybridMultilevel"/>
    <w:lvl w:ilvl="0">
      <w:lvlJc w:val="left"/>
      <w:lvlText w:val="%1"/>
      <w:numFmt w:val="lowerRoman"/>
      <w:start w:val="1"/>
    </w:lvl>
    <w:lvl w:ilvl="1">
      <w:lvlJc w:val="left"/>
      <w:lvlText w:val="(%2)"/>
      <w:numFmt w:val="lowerLetter"/>
      <w:start w:val="7"/>
    </w:lvl>
  </w:abstractNum>
  <w:abstractNum w:abstractNumId="17">
    <w:nsid w:val="520EEDD1"/>
    <w:multiLevelType w:val="hybridMultilevel"/>
    <w:lvl w:ilvl="0">
      <w:lvlJc w:val="left"/>
      <w:lvlText w:val="(%1)"/>
      <w:numFmt w:val="lowerRoman"/>
      <w:start w:val="2"/>
    </w:lvl>
    <w:lvl w:ilvl="1">
      <w:lvlJc w:val="left"/>
      <w:lvlText w:val="(%2)"/>
      <w:numFmt w:val="lowerLetter"/>
      <w:start w:val="12"/>
    </w:lvl>
  </w:abstractNum>
  <w:abstractNum w:abstractNumId="18">
    <w:nsid w:val="374A3FE6"/>
    <w:multiLevelType w:val="hybridMultilevel"/>
    <w:lvl w:ilvl="0">
      <w:lvlJc w:val="left"/>
      <w:lvlText w:val="(%1)"/>
      <w:numFmt w:val="lowerLetter"/>
      <w:start w:val="14"/>
    </w:lvl>
  </w:abstractNum>
  <w:abstractNum w:abstractNumId="19">
    <w:nsid w:val="4F4EF005"/>
    <w:multiLevelType w:val="hybridMultilevel"/>
    <w:lvl w:ilvl="0">
      <w:lvlJc w:val="left"/>
      <w:lvlText w:val="(%1)"/>
      <w:numFmt w:val="lowerLetter"/>
      <w:start w:val="24"/>
    </w:lvl>
  </w:abstractNum>
  <w:abstractNum w:abstractNumId="20">
    <w:nsid w:val="23F9C13C"/>
    <w:multiLevelType w:val="hybridMultilevel"/>
    <w:lvl w:ilvl="0">
      <w:lvlJc w:val="left"/>
      <w:lvlText w:val="(%1)"/>
      <w:numFmt w:val="lowerLetter"/>
      <w:start w:val="27"/>
    </w:lvl>
  </w:abstractNum>
  <w:abstractNum w:abstractNumId="21">
    <w:nsid w:val="649BB77C"/>
    <w:multiLevelType w:val="hybridMultilevel"/>
    <w:lvl w:ilvl="0">
      <w:lvlJc w:val="left"/>
      <w:lvlText w:val="(%1)"/>
      <w:numFmt w:val="lowerLetter"/>
      <w:start w:val="34"/>
    </w:lvl>
  </w:abstractNum>
  <w:abstractNum w:abstractNumId="22">
    <w:nsid w:val="275AC794"/>
    <w:multiLevelType w:val="hybridMultilevel"/>
    <w:lvl w:ilvl="0">
      <w:lvlJc w:val="left"/>
      <w:lvlText w:val="%1"/>
      <w:numFmt w:val="decimal"/>
      <w:start w:val="1"/>
    </w:lvl>
    <w:lvl w:ilvl="1">
      <w:lvlJc w:val="left"/>
      <w:lvlText w:val="(%2)"/>
      <w:numFmt w:val="lowerLetter"/>
      <w:start w:val="45"/>
    </w:lvl>
  </w:abstractNum>
  <w:abstractNum w:abstractNumId="23">
    <w:nsid w:val="39386575"/>
    <w:multiLevelType w:val="hybridMultilevel"/>
    <w:lvl w:ilvl="0">
      <w:lvlJc w:val="left"/>
      <w:lvlText w:val="%1."/>
      <w:numFmt w:val="decimal"/>
      <w:start w:val="3"/>
    </w:lvl>
    <w:lvl w:ilvl="1">
      <w:lvlJc w:val="left"/>
      <w:lvlText w:val="(%2)"/>
      <w:numFmt w:val="lowerLetter"/>
      <w:start w:val="1"/>
    </w:lvl>
  </w:abstractNum>
  <w:abstractNum w:abstractNumId="24">
    <w:nsid w:val="1CF10FD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
    <w:nsid w:val="180115B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7">
    <w:nsid w:val="47398C8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
    <w:nsid w:val="354FE9F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
    <w:nsid w:val="15B5AF5C"/>
    <w:multiLevelType w:val="hybridMultilevel"/>
    <w:lvl w:ilvl="0">
      <w:lvlJc w:val="left"/>
      <w:lvlText w:val="(%1)"/>
      <w:numFmt w:val="lowerLetter"/>
      <w:start w:val="2"/>
    </w:lvl>
    <w:lvl w:ilvl="1">
      <w:lvlJc w:val="left"/>
      <w:lvlText w:val="(%2)"/>
      <w:numFmt w:val="lowerRoman"/>
      <w:start w:val="1"/>
    </w:lvl>
  </w:abstractNum>
  <w:abstractNum w:abstractNumId="30">
    <w:nsid w:val="741226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
    <w:nsid w:val="D34B6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2">
    <w:nsid w:val="10233C99"/>
    <w:multiLevelType w:val="hybridMultilevel"/>
    <w:lvl w:ilvl="0">
      <w:lvlJc w:val="left"/>
      <w:lvlText w:val="%1"/>
      <w:numFmt w:val="lowerLetter"/>
      <w:start w:val="1"/>
    </w:lvl>
    <w:lvl w:ilvl="1">
      <w:lvlJc w:val="left"/>
      <w:lvlText w:val="(%2)"/>
      <w:numFmt w:val="lowerLetter"/>
      <w:start w:val="61"/>
    </w:lvl>
  </w:abstractNum>
  <w:abstractNum w:abstractNumId="33">
    <w:nsid w:val="3F6AB60F"/>
    <w:multiLevelType w:val="hybridMultilevel"/>
    <w:lvl w:ilvl="0">
      <w:lvlJc w:val="left"/>
      <w:lvlText w:val="(%1)"/>
      <w:numFmt w:val="lowerLetter"/>
      <w:start w:val="4"/>
    </w:lvl>
    <w:lvl w:ilvl="1">
      <w:lvlJc w:val="left"/>
      <w:lvlText w:val="(%2)"/>
      <w:numFmt w:val="lowerLetter"/>
      <w:start w:val="9"/>
    </w:lvl>
  </w:abstractNum>
  <w:abstractNum w:abstractNumId="34">
    <w:nsid w:val="61574095"/>
    <w:multiLevelType w:val="hybridMultilevel"/>
    <w:lvl w:ilvl="0">
      <w:lvlJc w:val="left"/>
      <w:lvlText w:val="(%1)"/>
      <w:numFmt w:val="lowerRoman"/>
      <w:start w:val="2"/>
    </w:lvl>
  </w:abstractNum>
  <w:abstractNum w:abstractNumId="35">
    <w:nsid w:val="7E0C57B1"/>
    <w:multiLevelType w:val="hybridMultilevel"/>
    <w:lvl w:ilvl="0">
      <w:lvlJc w:val="left"/>
      <w:lvlText w:val="%1"/>
      <w:numFmt w:val="lowerLetter"/>
      <w:start w:val="1"/>
    </w:lvl>
    <w:lvl w:ilvl="1">
      <w:lvlJc w:val="left"/>
      <w:lvlText w:val="(%2)"/>
      <w:numFmt w:val="lowerRoman"/>
      <w:start w:val="4"/>
    </w:lvl>
  </w:abstractNum>
  <w:abstractNum w:abstractNumId="36">
    <w:nsid w:val="77AE35EB"/>
    <w:multiLevelType w:val="hybridMultilevel"/>
    <w:lvl w:ilvl="0">
      <w:lvlJc w:val="left"/>
      <w:lvlText w:val="(%1)"/>
      <w:numFmt w:val="lowerLetter"/>
      <w:start w:val="5"/>
    </w:lvl>
    <w:lvl w:ilvl="1">
      <w:lvlJc w:val="left"/>
      <w:lvlText w:val="(%2)"/>
      <w:numFmt w:val="lowerRoman"/>
      <w:start w:val="1"/>
    </w:lvl>
  </w:abstractNum>
  <w:abstractNum w:abstractNumId="37">
    <w:nsid w:val="579BE4F1"/>
    <w:multiLevelType w:val="hybridMultilevel"/>
    <w:lvl w:ilvl="0">
      <w:lvlJc w:val="left"/>
      <w:lvlText w:val="(%1)"/>
      <w:numFmt w:val="lowerLetter"/>
      <w:start w:val="6"/>
    </w:lvl>
  </w:abstractNum>
  <w:abstractNum w:abstractNumId="38">
    <w:nsid w:val="310C50B3"/>
    <w:multiLevelType w:val="hybridMultilevel"/>
    <w:lvl w:ilvl="0">
      <w:lvlJc w:val="left"/>
      <w:lvlText w:val="%1."/>
      <w:numFmt w:val="decimal"/>
      <w:start w:val="7"/>
    </w:lvl>
    <w:lvl w:ilvl="1">
      <w:lvlJc w:val="left"/>
      <w:lvlText w:val="(%2)"/>
      <w:numFmt w:val="lowerLetter"/>
      <w:start w:val="1"/>
    </w:lvl>
  </w:abstractNum>
  <w:abstractNum w:abstractNumId="39">
    <w:nsid w:val="5FF87E05"/>
    <w:multiLevelType w:val="hybridMultilevel"/>
    <w:lvl w:ilvl="0">
      <w:lvlJc w:val="left"/>
      <w:lvlText w:val="%1"/>
      <w:numFmt w:val="decimal"/>
      <w:start w:val="1"/>
    </w:lvl>
    <w:lvl w:ilvl="1">
      <w:lvlJc w:val="left"/>
      <w:lvlText w:val="(%2)"/>
      <w:numFmt w:val="lowerLetter"/>
      <w:start w:val="4"/>
    </w:lvl>
  </w:abstractNum>
  <w:abstractNum w:abstractNumId="40">
    <w:nsid w:val="2F305DEF"/>
    <w:multiLevelType w:val="hybridMultilevel"/>
    <w:lvl w:ilvl="0">
      <w:lvlJc w:val="left"/>
      <w:lvlText w:val="%1."/>
      <w:numFmt w:val="decimal"/>
      <w:start w:val="8"/>
    </w:lvl>
    <w:lvl w:ilvl="1">
      <w:lvlJc w:val="left"/>
      <w:lvlText w:val="(%2)"/>
      <w:numFmt w:val="lowerLetter"/>
      <w:start w:val="1"/>
    </w:lvl>
  </w:abstractNum>
  <w:abstractNum w:abstractNumId="41">
    <w:nsid w:val="25A70BF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2">
    <w:nsid w:val="1DBABF0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3">
    <w:nsid w:val="4AD084E9"/>
    <w:multiLevelType w:val="hybridMultilevel"/>
    <w:lvl w:ilvl="0">
      <w:lvlJc w:val="left"/>
      <w:lvlText w:val="%1"/>
      <w:numFmt w:val="lowerLetter"/>
      <w:start w:val="1"/>
    </w:lvl>
    <w:lvl w:ilvl="1">
      <w:lvlJc w:val="left"/>
      <w:lvlText w:val="(%2)"/>
      <w:numFmt w:val="lowerLetter"/>
      <w:start w:val="61"/>
    </w:lvl>
  </w:abstractNum>
  <w:abstractNum w:abstractNumId="44">
    <w:nsid w:val="1F48EAA1"/>
    <w:multiLevelType w:val="hybridMultilevel"/>
    <w:lvl w:ilvl="0">
      <w:lvlJc w:val="left"/>
      <w:lvlText w:val="(%1)"/>
      <w:numFmt w:val="lowerLetter"/>
      <w:start w:val="2"/>
    </w:lvl>
    <w:lvl w:ilvl="1">
      <w:lvlJc w:val="left"/>
      <w:lvlText w:val="(%2)"/>
      <w:numFmt w:val="lowerLetter"/>
      <w:start w:val="9"/>
    </w:lvl>
  </w:abstractNum>
  <w:abstractNum w:abstractNumId="45">
    <w:nsid w:val="1381823A"/>
    <w:multiLevelType w:val="hybridMultilevel"/>
    <w:lvl w:ilvl="0">
      <w:lvlJc w:val="left"/>
      <w:lvlText w:val="(%1)"/>
      <w:numFmt w:val="lowerRoman"/>
      <w:start w:val="2"/>
    </w:lvl>
  </w:abstractNum>
  <w:abstractNum w:abstractNumId="46">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7">
    <w:nsid w:val="100F8FC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8">
    <w:nsid w:val="6590700B"/>
    <w:multiLevelType w:val="hybridMultilevel"/>
    <w:lvl w:ilvl="0">
      <w:lvlJc w:val="left"/>
      <w:lvlText w:val="(%1)"/>
      <w:numFmt w:val="lowerLetter"/>
      <w:start w:val="3"/>
    </w:lvl>
    <w:lvl w:ilvl="1">
      <w:lvlJc w:val="left"/>
      <w:lvlText w:val="(%2)"/>
      <w:numFmt w:val="lowerRoman"/>
      <w:start w:val="1"/>
    </w:lvl>
  </w:abstractNum>
  <w:abstractNum w:abstractNumId="49">
    <w:nsid w:val="15014ACB"/>
    <w:multiLevelType w:val="hybridMultilevel"/>
    <w:lvl w:ilvl="0">
      <w:lvlJc w:val="left"/>
      <w:lvlText w:val="(%1)"/>
      <w:numFmt w:val="lowerLetter"/>
      <w:start w:val="4"/>
    </w:lvl>
  </w:abstractNum>
  <w:abstractNum w:abstractNumId="50">
    <w:nsid w:val="5F5E7FD0"/>
    <w:multiLevelType w:val="hybridMultilevel"/>
    <w:lvl w:ilvl="0">
      <w:lvlJc w:val="left"/>
      <w:lvlText w:val="(%1)"/>
      <w:numFmt w:val="lowerLetter"/>
      <w:start w:val="7"/>
    </w:lvl>
  </w:abstractNum>
  <w:abstractNum w:abstractNumId="51">
    <w:nsid w:val="98A3148"/>
    <w:multiLevelType w:val="hybridMultilevel"/>
    <w:lvl w:ilvl="0">
      <w:lvlJc w:val="left"/>
      <w:lvlText w:val="(%1)"/>
      <w:numFmt w:val="lowerLetter"/>
      <w:start w:val="11"/>
    </w:lvl>
  </w:abstractNum>
  <w:abstractNum w:abstractNumId="52">
    <w:nsid w:val="799D0247"/>
    <w:multiLevelType w:val="hybridMultilevel"/>
    <w:lvl w:ilvl="0">
      <w:lvlJc w:val="left"/>
      <w:lvlText w:val="%1."/>
      <w:numFmt w:val="decimal"/>
      <w:start w:val="2"/>
    </w:lvl>
  </w:abstractNum>
  <w:abstractNum w:abstractNumId="53">
    <w:nsid w:val="6B94764"/>
    <w:multiLevelType w:val="hybridMultilevel"/>
    <w:lvl w:ilvl="0">
      <w:lvlJc w:val="left"/>
      <w:lvlText w:val="%1."/>
      <w:numFmt w:val="decimal"/>
      <w:start w:val="4"/>
    </w:lvl>
  </w:abstractNum>
  <w:abstractNum w:abstractNumId="54">
    <w:nsid w:val="42C296BD"/>
    <w:multiLevelType w:val="hybridMultilevel"/>
    <w:lvl w:ilvl="0">
      <w:lvlJc w:val="left"/>
      <w:lvlText w:val="(%1)"/>
      <w:numFmt w:val="lowerLetter"/>
      <w:start w:val="2"/>
    </w:lvl>
  </w:abstractNum>
  <w:abstractNum w:abstractNumId="55">
    <w:nsid w:val="168E121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6">
    <w:nsid w:val="1EBA5D23"/>
    <w:multiLevelType w:val="hybridMultilevel"/>
    <w:lvl w:ilvl="0">
      <w:lvlJc w:val="left"/>
      <w:lvlText w:val="(%1)"/>
      <w:numFmt w:val="upperLetter"/>
      <w:start w:val="2"/>
    </w:lvl>
  </w:abstractNum>
  <w:abstractNum w:abstractNumId="57">
    <w:nsid w:val="661E3F1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58">
    <w:nsid w:val="5DC79EA8"/>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59">
    <w:nsid w:val="540A471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60">
    <w:nsid w:val="7BD3EE7B"/>
    <w:multiLevelType w:val="hybridMultilevel"/>
    <w:lvl w:ilvl="0">
      <w:lvlJc w:val="left"/>
      <w:lvlText w:val="%1."/>
      <w:numFmt w:val="decimal"/>
      <w:start w:val="7"/>
    </w:lvl>
    <w:lvl w:ilvl="1">
      <w:lvlJc w:val="left"/>
      <w:lvlText w:val="(%2)"/>
      <w:numFmt w:val="lowerLetter"/>
      <w:start w:val="1"/>
    </w:lvl>
  </w:abstractNum>
  <w:abstractNum w:abstractNumId="61">
    <w:nsid w:val="51D9C564"/>
    <w:multiLevelType w:val="hybridMultilevel"/>
    <w:lvl w:ilvl="0">
      <w:lvlJc w:val="left"/>
      <w:lvlText w:val="%1"/>
      <w:numFmt w:val="decimal"/>
      <w:start w:val="1"/>
    </w:lvl>
    <w:lvl w:ilvl="1">
      <w:lvlJc w:val="left"/>
      <w:lvlText w:val="(%2)"/>
      <w:numFmt w:val="lowerLetter"/>
      <w:start w:val="2"/>
    </w:lvl>
  </w:abstractNum>
  <w:abstractNum w:abstractNumId="62">
    <w:nsid w:val="613EFDC5"/>
    <w:multiLevelType w:val="hybridMultilevel"/>
    <w:lvl w:ilvl="0">
      <w:lvlJc w:val="left"/>
      <w:lvlText w:val="%1."/>
      <w:numFmt w:val="decimal"/>
      <w:start w:val="10"/>
    </w:lvl>
    <w:lvl w:ilvl="1">
      <w:lvlJc w:val="left"/>
      <w:lvlText w:val="%2"/>
      <w:numFmt w:val="lowerLetter"/>
      <w:start w:val="1"/>
    </w:lvl>
  </w:abstractNum>
  <w:abstractNum w:abstractNumId="63">
    <w:nsid w:val="BF72B14"/>
    <w:multiLevelType w:val="hybridMultilevel"/>
    <w:lvl w:ilvl="0">
      <w:lvlJc w:val="left"/>
      <w:lvlText w:val="%1."/>
      <w:numFmt w:val="decimal"/>
      <w:start w:val="2"/>
    </w:lvl>
  </w:abstractNum>
  <w:abstractNum w:abstractNumId="64">
    <w:nsid w:val="11447B73"/>
    <w:multiLevelType w:val="hybridMultilevel"/>
    <w:lvl w:ilvl="0">
      <w:lvlJc w:val="left"/>
      <w:lvlText w:val="%1."/>
      <w:numFmt w:val="decimal"/>
      <w:start w:val="4"/>
    </w:lvl>
  </w:abstractNum>
  <w:abstractNum w:abstractNumId="65">
    <w:nsid w:val="42963E5A"/>
    <w:multiLevelType w:val="hybridMultilevel"/>
    <w:lvl w:ilvl="0">
      <w:lvlJc w:val="left"/>
      <w:lvlText w:val="(%1)"/>
      <w:numFmt w:val="lowerLetter"/>
      <w:start w:val="2"/>
    </w:lvl>
  </w:abstractNum>
  <w:abstractNum w:abstractNumId="66">
    <w:nsid w:val="A0382C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7">
    <w:nsid w:val="8F2B15E"/>
    <w:multiLevelType w:val="hybridMultilevel"/>
    <w:lvl w:ilvl="0">
      <w:lvlJc w:val="left"/>
      <w:lvlText w:val="(%1)"/>
      <w:numFmt w:val="upperLetter"/>
      <w:start w:val="2"/>
    </w:lvl>
  </w:abstractNum>
  <w:abstractNum w:abstractNumId="68">
    <w:nsid w:val="1A32234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69">
    <w:nsid w:val="3B0FD37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70">
    <w:nsid w:val="68EB2F6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71">
    <w:nsid w:val="4962813B"/>
    <w:multiLevelType w:val="hybridMultilevel"/>
    <w:lvl w:ilvl="0">
      <w:lvlJc w:val="left"/>
      <w:lvlText w:val="%1."/>
      <w:numFmt w:val="decimal"/>
      <w:start w:val="7"/>
    </w:lvl>
    <w:lvl w:ilvl="1">
      <w:lvlJc w:val="left"/>
      <w:lvlText w:val="(%2)"/>
      <w:numFmt w:val="lowerLetter"/>
      <w:start w:val="1"/>
    </w:lvl>
  </w:abstractNum>
  <w:abstractNum w:abstractNumId="72">
    <w:nsid w:val="60B6DF70"/>
    <w:multiLevelType w:val="hybridMultilevel"/>
    <w:lvl w:ilvl="0">
      <w:lvlJc w:val="left"/>
      <w:lvlText w:val="%1"/>
      <w:numFmt w:val="decimal"/>
      <w:start w:val="1"/>
    </w:lvl>
    <w:lvl w:ilvl="1">
      <w:lvlJc w:val="left"/>
      <w:lvlText w:val="(%2)"/>
      <w:numFmt w:val="lowerLetter"/>
      <w:start w:val="2"/>
    </w:lvl>
  </w:abstractNum>
  <w:abstractNum w:abstractNumId="73">
    <w:nsid w:val="6A5EE64"/>
    <w:multiLevelType w:val="hybridMultilevel"/>
    <w:lvl w:ilvl="0">
      <w:lvlJc w:val="left"/>
      <w:lvlText w:val="%1."/>
      <w:numFmt w:val="decimal"/>
      <w:start w:val="10"/>
    </w:lvl>
    <w:lvl w:ilvl="1">
      <w:lvlJc w:val="left"/>
      <w:lvlText w:val="%2"/>
      <w:numFmt w:val="lowerLetter"/>
      <w:start w:val="1"/>
    </w:lvl>
  </w:abstractNum>
  <w:abstractNum w:abstractNumId="74">
    <w:nsid w:val="14330624"/>
    <w:multiLevelType w:val="hybridMultilevel"/>
    <w:lvl w:ilvl="0">
      <w:lvlJc w:val="left"/>
      <w:lvlText w:val="%1."/>
      <w:numFmt w:val="decimal"/>
      <w:start w:val="2"/>
    </w:lvl>
  </w:abstractNum>
  <w:abstractNum w:abstractNumId="75">
    <w:nsid w:val="7FFFCA11"/>
    <w:multiLevelType w:val="hybridMultilevel"/>
    <w:lvl w:ilvl="0">
      <w:lvlJc w:val="left"/>
      <w:lvlText w:val="%1."/>
      <w:numFmt w:val="decimal"/>
      <w:start w:val="4"/>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8">
    <w:nsid w:val="100F59DC"/>
    <w:multiLevelType w:val="hybridMultilevel"/>
    <w:lvl w:ilvl="0">
      <w:lvlJc w:val="left"/>
      <w:lvlText w:val="(%1)"/>
      <w:numFmt w:val="upperLetter"/>
      <w:start w:val="2"/>
    </w:lvl>
  </w:abstractNum>
  <w:abstractNum w:abstractNumId="79">
    <w:nsid w:val="7FB7E0A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80">
    <w:nsid w:val="6EB5BD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81">
    <w:nsid w:val="6F6DD9A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82">
    <w:nsid w:val="94211F2"/>
    <w:multiLevelType w:val="hybridMultilevel"/>
    <w:lvl w:ilvl="0">
      <w:lvlJc w:val="left"/>
      <w:lvlText w:val="%1."/>
      <w:numFmt w:val="decimal"/>
      <w:start w:val="7"/>
    </w:lvl>
    <w:lvl w:ilvl="1">
      <w:lvlJc w:val="left"/>
      <w:lvlText w:val="(%2)"/>
      <w:numFmt w:val="lowerLetter"/>
      <w:start w:val="1"/>
    </w:lvl>
  </w:abstractNum>
  <w:abstractNum w:abstractNumId="83">
    <w:nsid w:val="885E1B"/>
    <w:multiLevelType w:val="hybridMultilevel"/>
    <w:lvl w:ilvl="0">
      <w:lvlJc w:val="left"/>
      <w:lvlText w:val="%1"/>
      <w:numFmt w:val="decimal"/>
      <w:start w:val="1"/>
    </w:lvl>
    <w:lvl w:ilvl="1">
      <w:lvlJc w:val="left"/>
      <w:lvlText w:val="(%2)"/>
      <w:numFmt w:val="lowerLetter"/>
      <w:start w:val="2"/>
    </w:lvl>
  </w:abstractNum>
  <w:abstractNum w:abstractNumId="84">
    <w:nsid w:val="76272110"/>
    <w:multiLevelType w:val="hybridMultilevel"/>
    <w:lvl w:ilvl="0">
      <w:lvlJc w:val="left"/>
      <w:lvlText w:val="%1."/>
      <w:numFmt w:val="decimal"/>
      <w:start w:val="10"/>
    </w:lvl>
    <w:lvl w:ilvl="1">
      <w:lvlJc w:val="left"/>
      <w:lvlText w:val="%2"/>
      <w:numFmt w:val="lowerLetter"/>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2019-12-11T21:24:31Z</dcterms:created>
  <dcterms:modified xsi:type="dcterms:W3CDTF">2019-12-11T21:24:31Z</dcterms:modified>
</cp:coreProperties>
</file>