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911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HOLTZMAN SEYMOUR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3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restart"/>
          </w:tcPr>
          <w:p>
            <w:pPr>
              <w:ind w:left="80"/>
              <w:spacing w:after="0" w:line="162" w:lineRule="exact"/>
              <w:rPr>
                <w:sz w:val="20"/>
                <w:szCs w:val="20"/>
                <w:color w:val="auto"/>
              </w:rPr>
            </w:pPr>
            <w:r>
              <w:rPr>
                <w:rFonts w:ascii="Arial" w:cs="Arial" w:eastAsia="Arial" w:hAnsi="Arial"/>
                <w:sz w:val="18"/>
                <w:szCs w:val="18"/>
                <w:color w:val="0000FF"/>
                <w:w w:val="99"/>
              </w:rPr>
              <w:t>X</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500" w:type="dxa"/>
            <w:vAlign w:val="bottom"/>
            <w:vMerge w:val="restart"/>
          </w:tcPr>
          <w:p>
            <w:pPr>
              <w:ind w:left="180"/>
              <w:spacing w:after="0" w:line="162" w:lineRule="exact"/>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12/11/2009</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9"/>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9"/>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2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1"/>
          </w:tcPr>
          <w:p>
            <w:pPr>
              <w:jc w:val="center"/>
              <w:ind w:left="3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420" w:type="dxa"/>
            <w:vAlign w:val="bottom"/>
            <w:gridSpan w:val="4"/>
          </w:tcPr>
          <w:p>
            <w:pPr>
              <w:ind w:left="620"/>
              <w:spacing w:after="0"/>
              <w:rPr>
                <w:sz w:val="20"/>
                <w:szCs w:val="20"/>
                <w:color w:val="auto"/>
              </w:rPr>
            </w:pPr>
            <w:r>
              <w:rPr>
                <w:rFonts w:ascii="Arial" w:cs="Arial" w:eastAsia="Arial" w:hAnsi="Arial"/>
                <w:sz w:val="18"/>
                <w:szCs w:val="18"/>
                <w:color w:val="0000FF"/>
                <w:w w:val="86"/>
              </w:rPr>
              <w:t>12/11/2009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P</w:t>
            </w:r>
          </w:p>
        </w:tc>
        <w:tc>
          <w:tcPr>
            <w:tcW w:w="780" w:type="dxa"/>
            <w:vAlign w:val="bottom"/>
          </w:tcPr>
          <w:p>
            <w:pPr>
              <w:ind w:left="120"/>
              <w:spacing w:after="0"/>
              <w:rPr>
                <w:sz w:val="20"/>
                <w:szCs w:val="20"/>
                <w:color w:val="auto"/>
              </w:rPr>
            </w:pPr>
            <w:r>
              <w:rPr>
                <w:rFonts w:ascii="Arial" w:cs="Arial" w:eastAsia="Arial" w:hAnsi="Arial"/>
                <w:sz w:val="18"/>
                <w:szCs w:val="18"/>
                <w:color w:val="0000FF"/>
              </w:rPr>
              <w:t>25,000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ind w:left="40"/>
              <w:spacing w:after="0" w:line="217" w:lineRule="exact"/>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2.21</w:t>
            </w:r>
            <w:r>
              <w:rPr>
                <w:rFonts w:ascii="Arial" w:cs="Arial" w:eastAsia="Arial" w:hAnsi="Arial"/>
                <w:sz w:val="22"/>
                <w:szCs w:val="22"/>
                <w:color w:val="008000"/>
                <w:w w:val="88"/>
                <w:vertAlign w:val="superscript"/>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59"/>
              <w:spacing w:after="0"/>
              <w:rPr>
                <w:sz w:val="20"/>
                <w:szCs w:val="20"/>
                <w:color w:val="auto"/>
              </w:rPr>
            </w:pPr>
            <w:r>
              <w:rPr>
                <w:rFonts w:ascii="Arial" w:cs="Arial" w:eastAsia="Arial" w:hAnsi="Arial"/>
                <w:sz w:val="18"/>
                <w:szCs w:val="18"/>
                <w:color w:val="0000FF"/>
              </w:rPr>
              <w:t>25,000</w:t>
            </w:r>
          </w:p>
        </w:tc>
        <w:tc>
          <w:tcPr>
            <w:tcW w:w="300" w:type="dxa"/>
            <w:vAlign w:val="bottom"/>
          </w:tcPr>
          <w:p>
            <w:pPr>
              <w:spacing w:after="0"/>
              <w:rPr>
                <w:sz w:val="18"/>
                <w:szCs w:val="18"/>
                <w:color w:val="auto"/>
              </w:rPr>
            </w:pPr>
          </w:p>
        </w:tc>
        <w:tc>
          <w:tcPr>
            <w:tcW w:w="500" w:type="dxa"/>
            <w:vAlign w:val="bottom"/>
          </w:tcPr>
          <w:p>
            <w:pPr>
              <w:ind w:left="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39"/>
              <w:spacing w:after="0"/>
              <w:rPr>
                <w:sz w:val="20"/>
                <w:szCs w:val="20"/>
                <w:color w:val="auto"/>
              </w:rPr>
            </w:pPr>
            <w:r>
              <w:rPr>
                <w:rFonts w:ascii="Arial" w:cs="Arial" w:eastAsia="Arial" w:hAnsi="Arial"/>
                <w:sz w:val="18"/>
                <w:szCs w:val="18"/>
                <w:color w:val="0000FF"/>
                <w:w w:val="87"/>
              </w:rPr>
              <w:t>3,890,069</w:t>
            </w:r>
          </w:p>
        </w:tc>
        <w:tc>
          <w:tcPr>
            <w:tcW w:w="30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0000FF"/>
              </w:rPr>
              <w:t>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26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16"/>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This transaction was executed in multiple trades ranging from $2.205 to $2.22. The Reporting Person hereby undertakes to provide upon request to the SEC, the issuer or any stockholder of the issuer full information regarding the number of shares and prices at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an indirect controlling shareholder of Jewelcor Management, Inc.</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88"/>
              </w:rPr>
              <w:t>Seymour Holtzman</w:t>
            </w:r>
          </w:p>
        </w:tc>
        <w:tc>
          <w:tcPr>
            <w:tcW w:w="7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12/14/2009</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2019-12-16T04:59:25Z</dcterms:created>
  <dcterms:modified xsi:type="dcterms:W3CDTF">2019-12-16T04:59:25Z</dcterms:modified>
</cp:coreProperties>
</file>