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9"/>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SCHEDULE 13D</w:t>
      </w:r>
    </w:p>
    <w:p>
      <w:pPr>
        <w:spacing w:after="0" w:line="4"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Rule 13d-1(a)</w:t>
      </w:r>
    </w:p>
    <w:p>
      <w:pPr>
        <w:spacing w:after="0" w:line="4" w:lineRule="exact"/>
        <w:rPr>
          <w:sz w:val="24"/>
          <w:szCs w:val="24"/>
          <w:color w:val="auto"/>
        </w:rPr>
      </w:pPr>
    </w:p>
    <w:p>
      <w:pPr>
        <w:ind w:left="192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00" w:lineRule="exact"/>
        <w:rPr>
          <w:sz w:val="24"/>
          <w:szCs w:val="24"/>
          <w:color w:val="auto"/>
        </w:rPr>
      </w:pPr>
    </w:p>
    <w:p>
      <w:pPr>
        <w:spacing w:after="0" w:line="35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Casual Male Retail Group, Inc.</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pacing w:after="0" w:line="35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Common Stock, par value $.01 per share</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(Title of Class of Securities)</w:t>
      </w:r>
    </w:p>
    <w:p>
      <w:pPr>
        <w:spacing w:after="0" w:line="373" w:lineRule="exact"/>
        <w:rPr>
          <w:sz w:val="24"/>
          <w:szCs w:val="24"/>
          <w:color w:val="auto"/>
        </w:rPr>
      </w:pPr>
    </w:p>
    <w:p>
      <w:pPr>
        <w:ind w:left="3360"/>
        <w:spacing w:after="0"/>
        <w:rPr>
          <w:sz w:val="20"/>
          <w:szCs w:val="20"/>
          <w:color w:val="auto"/>
        </w:rPr>
      </w:pPr>
      <w:r>
        <w:rPr>
          <w:rFonts w:ascii="Courier New" w:cs="Courier New" w:eastAsia="Courier New" w:hAnsi="Courier New"/>
          <w:sz w:val="16"/>
          <w:szCs w:val="16"/>
          <w:color w:val="auto"/>
        </w:rPr>
        <w:t>148711 10 4</w:t>
      </w:r>
    </w:p>
    <w:p>
      <w:pPr>
        <w:spacing w:after="0" w:line="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(CUSIP Number)</w:t>
      </w:r>
    </w:p>
    <w:p>
      <w:pPr>
        <w:spacing w:after="0" w:line="188"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Kevin S. Moore</w:t>
      </w:r>
    </w:p>
    <w:p>
      <w:pPr>
        <w:spacing w:after="0" w:line="4"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President</w:t>
      </w:r>
    </w:p>
    <w:p>
      <w:pPr>
        <w:spacing w:after="0" w:line="4"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The Clark Estates, Inc.</w:t>
      </w:r>
    </w:p>
    <w:p>
      <w:pPr>
        <w:spacing w:after="0" w:line="4" w:lineRule="exact"/>
        <w:rPr>
          <w:sz w:val="24"/>
          <w:szCs w:val="24"/>
          <w:color w:val="auto"/>
        </w:rPr>
      </w:pPr>
    </w:p>
    <w:p>
      <w:pPr>
        <w:ind w:left="2300"/>
        <w:spacing w:after="0"/>
        <w:rPr>
          <w:sz w:val="20"/>
          <w:szCs w:val="20"/>
          <w:color w:val="auto"/>
        </w:rPr>
      </w:pPr>
      <w:r>
        <w:rPr>
          <w:rFonts w:ascii="Courier New" w:cs="Courier New" w:eastAsia="Courier New" w:hAnsi="Courier New"/>
          <w:sz w:val="16"/>
          <w:szCs w:val="16"/>
          <w:color w:val="auto"/>
        </w:rPr>
        <w:t>One Rockefeller Plaza, 31st Floor</w:t>
      </w:r>
    </w:p>
    <w:p>
      <w:pPr>
        <w:spacing w:after="0" w:line="4"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New York, New York 10020</w:t>
      </w:r>
    </w:p>
    <w:p>
      <w:pPr>
        <w:spacing w:after="0" w:line="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(212) 977-6900</w:t>
      </w:r>
    </w:p>
    <w:p>
      <w:pPr>
        <w:spacing w:after="0" w:line="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(Name, Address and Telephone Number of Person Authorized</w:t>
      </w:r>
    </w:p>
    <w:p>
      <w:pPr>
        <w:spacing w:after="0" w:line="4" w:lineRule="exact"/>
        <w:rPr>
          <w:sz w:val="24"/>
          <w:szCs w:val="24"/>
          <w:color w:val="auto"/>
        </w:rPr>
      </w:pPr>
    </w:p>
    <w:p>
      <w:pPr>
        <w:ind w:left="2020"/>
        <w:spacing w:after="0"/>
        <w:rPr>
          <w:sz w:val="20"/>
          <w:szCs w:val="20"/>
          <w:color w:val="auto"/>
        </w:rPr>
      </w:pPr>
      <w:r>
        <w:rPr>
          <w:rFonts w:ascii="Courier New" w:cs="Courier New" w:eastAsia="Courier New" w:hAnsi="Courier New"/>
          <w:sz w:val="16"/>
          <w:szCs w:val="16"/>
          <w:color w:val="auto"/>
        </w:rPr>
        <w:t>to Receive Notices and Communications)</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Copy to:</w:t>
      </w:r>
    </w:p>
    <w:p>
      <w:pPr>
        <w:spacing w:after="0" w:line="188"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Jeffrey E. LaGueux, Esq.</w:t>
      </w:r>
    </w:p>
    <w:p>
      <w:pPr>
        <w:spacing w:after="0" w:line="4"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Patterson, Belknap, Webb &amp; Tyler LLP</w:t>
      </w:r>
    </w:p>
    <w:p>
      <w:pPr>
        <w:spacing w:after="0" w:line="4" w:lineRule="exact"/>
        <w:rPr>
          <w:sz w:val="24"/>
          <w:szCs w:val="24"/>
          <w:color w:val="auto"/>
        </w:rPr>
      </w:pPr>
    </w:p>
    <w:p>
      <w:pPr>
        <w:ind w:left="2600"/>
        <w:spacing w:after="0"/>
        <w:rPr>
          <w:sz w:val="20"/>
          <w:szCs w:val="20"/>
          <w:color w:val="auto"/>
        </w:rPr>
      </w:pPr>
      <w:r>
        <w:rPr>
          <w:rFonts w:ascii="Courier New" w:cs="Courier New" w:eastAsia="Courier New" w:hAnsi="Courier New"/>
          <w:sz w:val="16"/>
          <w:szCs w:val="16"/>
          <w:color w:val="auto"/>
        </w:rPr>
        <w:t>1133 Avenue of the Americas</w:t>
      </w:r>
    </w:p>
    <w:p>
      <w:pPr>
        <w:spacing w:after="0" w:line="4" w:lineRule="exact"/>
        <w:rPr>
          <w:sz w:val="24"/>
          <w:szCs w:val="24"/>
          <w:color w:val="auto"/>
        </w:rPr>
      </w:pPr>
    </w:p>
    <w:p>
      <w:pPr>
        <w:ind w:left="2500"/>
        <w:spacing w:after="0"/>
        <w:rPr>
          <w:sz w:val="20"/>
          <w:szCs w:val="20"/>
          <w:color w:val="auto"/>
        </w:rPr>
      </w:pPr>
      <w:r>
        <w:rPr>
          <w:rFonts w:ascii="Courier New" w:cs="Courier New" w:eastAsia="Courier New" w:hAnsi="Courier New"/>
          <w:sz w:val="16"/>
          <w:szCs w:val="16"/>
          <w:color w:val="auto"/>
        </w:rPr>
        <w:t>New York, New York 10036-6710</w:t>
      </w:r>
    </w:p>
    <w:p>
      <w:pPr>
        <w:spacing w:after="0" w:line="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(212) 336-2000</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August 8, 2002</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90" w:lineRule="exact"/>
        <w:rPr>
          <w:sz w:val="24"/>
          <w:szCs w:val="24"/>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Sections 240.13d-1(e), 240.13d-1(f) or 240.13d-1(g), check the following box. [ ]</w:t>
      </w:r>
    </w:p>
    <w:p>
      <w:pPr>
        <w:spacing w:after="0" w:line="190" w:lineRule="exact"/>
        <w:rPr>
          <w:sz w:val="24"/>
          <w:szCs w:val="24"/>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NOTE: Schedules filed in paper format shall include a signed original and five copied of the Schedule, including all exhibits. See Rule 13d-7 for other parties to whom copies are sent.</w:t>
      </w:r>
    </w:p>
    <w:p>
      <w:pPr>
        <w:spacing w:after="0" w:line="187" w:lineRule="exact"/>
        <w:rPr>
          <w:sz w:val="24"/>
          <w:szCs w:val="24"/>
          <w:color w:val="auto"/>
        </w:rPr>
      </w:pPr>
    </w:p>
    <w:p>
      <w:pPr>
        <w:ind w:left="2400"/>
        <w:spacing w:after="0"/>
        <w:rPr>
          <w:sz w:val="20"/>
          <w:szCs w:val="20"/>
          <w:color w:val="auto"/>
        </w:rPr>
      </w:pPr>
      <w:r>
        <w:rPr>
          <w:rFonts w:ascii="Courier New" w:cs="Courier New" w:eastAsia="Courier New" w:hAnsi="Courier New"/>
          <w:sz w:val="16"/>
          <w:szCs w:val="16"/>
          <w:color w:val="auto"/>
        </w:rPr>
        <w:t>(Continued on following pages)</w:t>
      </w:r>
    </w:p>
    <w:p>
      <w:pPr>
        <w:spacing w:after="0" w:line="373"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(Page 1 of 7 pages)</w:t>
      </w:r>
    </w:p>
    <w:p>
      <w:pPr>
        <w:sectPr>
          <w:pgSz w:w="11900" w:h="16838" w:orient="portrait"/>
          <w:cols w:equalWidth="0" w:num="1">
            <w:col w:w="10219"/>
          </w:cols>
          <w:pgMar w:left="240" w:top="423"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CUSIP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148711 10 4</w:t>
      </w:r>
    </w:p>
    <w:p>
      <w:pPr>
        <w:spacing w:after="0" w:line="188" w:lineRule="exact"/>
        <w:rPr>
          <w:sz w:val="20"/>
          <w:szCs w:val="20"/>
          <w:color w:val="auto"/>
        </w:rPr>
      </w:pPr>
    </w:p>
    <w:p>
      <w:pPr>
        <w:ind w:left="1240" w:hanging="761"/>
        <w:spacing w:after="0"/>
        <w:tabs>
          <w:tab w:leader="none" w:pos="12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w:t>
      </w:r>
    </w:p>
    <w:p>
      <w:pPr>
        <w:spacing w:after="0" w:line="5" w:lineRule="exact"/>
        <w:rPr>
          <w:rFonts w:ascii="Courier New" w:cs="Courier New" w:eastAsia="Courier New" w:hAnsi="Courier New"/>
          <w:sz w:val="16"/>
          <w:szCs w:val="16"/>
          <w:color w:val="auto"/>
        </w:rPr>
      </w:pPr>
    </w:p>
    <w:p>
      <w:pPr>
        <w:ind w:left="1240" w:right="51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 OF ABOVE PERSON The Clark Estates, Inc.</w:t>
      </w:r>
    </w:p>
    <w:p>
      <w:pPr>
        <w:spacing w:after="0" w:line="2" w:lineRule="exact"/>
        <w:rPr>
          <w:rFonts w:ascii="Courier New" w:cs="Courier New" w:eastAsia="Courier New" w:hAnsi="Courier New"/>
          <w:sz w:val="16"/>
          <w:szCs w:val="16"/>
          <w:color w:val="auto"/>
        </w:rPr>
      </w:pPr>
    </w:p>
    <w:p>
      <w:pPr>
        <w:ind w:left="1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13-5524538</w:t>
      </w:r>
    </w:p>
    <w:p>
      <w:pPr>
        <w:spacing w:after="0" w:line="188" w:lineRule="exact"/>
        <w:rPr>
          <w:rFonts w:ascii="Courier New" w:cs="Courier New" w:eastAsia="Courier New" w:hAnsi="Courier New"/>
          <w:sz w:val="16"/>
          <w:szCs w:val="16"/>
          <w:color w:val="auto"/>
        </w:rPr>
      </w:pPr>
    </w:p>
    <w:p>
      <w:pPr>
        <w:ind w:left="1240" w:hanging="761"/>
        <w:spacing w:after="0"/>
        <w:tabs>
          <w:tab w:leader="none" w:pos="12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pacing w:after="0" w:line="3" w:lineRule="exact"/>
        <w:rPr>
          <w:rFonts w:ascii="Courier New" w:cs="Courier New" w:eastAsia="Courier New" w:hAnsi="Courier New"/>
          <w:sz w:val="16"/>
          <w:szCs w:val="16"/>
          <w:color w:val="auto"/>
        </w:rPr>
      </w:pPr>
    </w:p>
    <w:p>
      <w:pPr>
        <w:ind w:left="1640" w:hanging="392"/>
        <w:spacing w:after="0"/>
        <w:tabs>
          <w:tab w:leader="none" w:pos="164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 w:lineRule="exact"/>
        <w:rPr>
          <w:rFonts w:ascii="Courier New" w:cs="Courier New" w:eastAsia="Courier New" w:hAnsi="Courier New"/>
          <w:sz w:val="16"/>
          <w:szCs w:val="16"/>
          <w:color w:val="auto"/>
        </w:rPr>
      </w:pPr>
    </w:p>
    <w:p>
      <w:pPr>
        <w:ind w:left="1640" w:hanging="392"/>
        <w:spacing w:after="0"/>
        <w:tabs>
          <w:tab w:leader="none" w:pos="164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188" w:lineRule="exact"/>
        <w:rPr>
          <w:rFonts w:ascii="Courier New" w:cs="Courier New" w:eastAsia="Courier New" w:hAnsi="Courier New"/>
          <w:sz w:val="16"/>
          <w:szCs w:val="16"/>
          <w:color w:val="auto"/>
        </w:rPr>
      </w:pPr>
    </w:p>
    <w:p>
      <w:pPr>
        <w:ind w:left="1240" w:hanging="761"/>
        <w:spacing w:after="0"/>
        <w:tabs>
          <w:tab w:leader="none" w:pos="12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88" w:lineRule="exact"/>
        <w:rPr>
          <w:rFonts w:ascii="Courier New" w:cs="Courier New" w:eastAsia="Courier New" w:hAnsi="Courier New"/>
          <w:sz w:val="16"/>
          <w:szCs w:val="16"/>
          <w:color w:val="auto"/>
        </w:rPr>
      </w:pPr>
    </w:p>
    <w:p>
      <w:pPr>
        <w:ind w:left="1240" w:hanging="761"/>
        <w:spacing w:after="0"/>
        <w:tabs>
          <w:tab w:leader="none" w:pos="12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OO</w:t>
      </w:r>
    </w:p>
    <w:p>
      <w:pPr>
        <w:spacing w:after="0" w:line="190" w:lineRule="exact"/>
        <w:rPr>
          <w:sz w:val="20"/>
          <w:szCs w:val="20"/>
          <w:color w:val="auto"/>
        </w:rPr>
      </w:pPr>
    </w:p>
    <w:p>
      <w:pPr>
        <w:ind w:left="1240" w:right="2719" w:hanging="761"/>
        <w:spacing w:after="0" w:line="242" w:lineRule="auto"/>
        <w:tabs>
          <w:tab w:leader="none" w:pos="12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ITEMS 2(d) OR 2(e) [ ]</w:t>
      </w:r>
    </w:p>
    <w:p>
      <w:pPr>
        <w:spacing w:after="0" w:line="188" w:lineRule="exact"/>
        <w:rPr>
          <w:rFonts w:ascii="Courier New" w:cs="Courier New" w:eastAsia="Courier New" w:hAnsi="Courier New"/>
          <w:sz w:val="16"/>
          <w:szCs w:val="16"/>
          <w:color w:val="auto"/>
        </w:rPr>
      </w:pPr>
    </w:p>
    <w:p>
      <w:pPr>
        <w:ind w:left="1240" w:right="5519" w:hanging="761"/>
        <w:spacing w:after="0" w:line="242" w:lineRule="auto"/>
        <w:tabs>
          <w:tab w:leader="none" w:pos="12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New York</w:t>
      </w:r>
    </w:p>
    <w:p>
      <w:pPr>
        <w:spacing w:after="0" w:line="187" w:lineRule="exact"/>
        <w:rPr>
          <w:sz w:val="20"/>
          <w:szCs w:val="20"/>
          <w:color w:val="auto"/>
        </w:rPr>
      </w:pPr>
    </w:p>
    <w:tbl>
      <w:tblPr>
        <w:tblLayout w:type="fixed"/>
        <w:tblInd w:w="680" w:type="dxa"/>
        <w:tblCellMar>
          <w:top w:w="0" w:type="dxa"/>
          <w:left w:w="0" w:type="dxa"/>
          <w:bottom w:w="0" w:type="dxa"/>
          <w:right w:w="0" w:type="dxa"/>
        </w:tblCellMar>
      </w:tblPr>
      <w:tr>
        <w:trPr>
          <w:trHeight w:val="181"/>
        </w:trPr>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NUMBER OF</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w:t>
            </w: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SOLE VOTING</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POWER</w:t>
            </w:r>
          </w:p>
        </w:tc>
      </w:tr>
      <w:tr>
        <w:trPr>
          <w:trHeight w:val="185"/>
        </w:trPr>
        <w:tc>
          <w:tcPr>
            <w:tcW w:w="1720" w:type="dxa"/>
            <w:vAlign w:val="bottom"/>
          </w:tcPr>
          <w:p>
            <w:pPr>
              <w:jc w:val="center"/>
              <w:ind w:right="500"/>
              <w:spacing w:after="0"/>
              <w:rPr>
                <w:sz w:val="20"/>
                <w:szCs w:val="20"/>
                <w:color w:val="auto"/>
              </w:rPr>
            </w:pPr>
            <w:r>
              <w:rPr>
                <w:rFonts w:ascii="Courier New" w:cs="Courier New" w:eastAsia="Courier New" w:hAnsi="Courier New"/>
                <w:sz w:val="16"/>
                <w:szCs w:val="16"/>
                <w:color w:val="auto"/>
              </w:rPr>
              <w:t>SHARES</w:t>
            </w:r>
          </w:p>
        </w:tc>
        <w:tc>
          <w:tcPr>
            <w:tcW w:w="1100" w:type="dxa"/>
            <w:vAlign w:val="bottom"/>
          </w:tcPr>
          <w:p>
            <w:pPr>
              <w:spacing w:after="0"/>
              <w:rPr>
                <w:sz w:val="16"/>
                <w:szCs w:val="16"/>
                <w:color w:val="auto"/>
              </w:rPr>
            </w:pP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2,346,359*</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w w:val="97"/>
              </w:rPr>
              <w:t>(See Item 5.)</w:t>
            </w:r>
          </w:p>
        </w:tc>
      </w:tr>
      <w:tr>
        <w:trPr>
          <w:trHeight w:val="185"/>
        </w:trPr>
        <w:tc>
          <w:tcPr>
            <w:tcW w:w="1720" w:type="dxa"/>
            <w:vAlign w:val="bottom"/>
          </w:tcPr>
          <w:p>
            <w:pPr>
              <w:jc w:val="center"/>
              <w:ind w:right="500"/>
              <w:spacing w:after="0"/>
              <w:rPr>
                <w:sz w:val="20"/>
                <w:szCs w:val="20"/>
                <w:color w:val="auto"/>
              </w:rPr>
            </w:pPr>
            <w:r>
              <w:rPr>
                <w:rFonts w:ascii="Courier New" w:cs="Courier New" w:eastAsia="Courier New" w:hAnsi="Courier New"/>
                <w:sz w:val="16"/>
                <w:szCs w:val="16"/>
                <w:color w:val="auto"/>
                <w:w w:val="98"/>
              </w:rPr>
              <w:t>BENEFICIALLY</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w:t>
            </w:r>
          </w:p>
        </w:tc>
        <w:tc>
          <w:tcPr>
            <w:tcW w:w="26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SHARED VOTING POWER</w:t>
            </w:r>
          </w:p>
        </w:tc>
      </w:tr>
      <w:tr>
        <w:trPr>
          <w:trHeight w:val="185"/>
        </w:trPr>
        <w:tc>
          <w:tcPr>
            <w:tcW w:w="1720" w:type="dxa"/>
            <w:vAlign w:val="bottom"/>
          </w:tcPr>
          <w:p>
            <w:pPr>
              <w:jc w:val="center"/>
              <w:ind w:right="500"/>
              <w:spacing w:after="0"/>
              <w:rPr>
                <w:sz w:val="20"/>
                <w:szCs w:val="20"/>
                <w:color w:val="auto"/>
              </w:rPr>
            </w:pPr>
            <w:r>
              <w:rPr>
                <w:rFonts w:ascii="Courier New" w:cs="Courier New" w:eastAsia="Courier New" w:hAnsi="Courier New"/>
                <w:sz w:val="16"/>
                <w:szCs w:val="16"/>
                <w:color w:val="auto"/>
              </w:rPr>
              <w:t>OWNED BY</w:t>
            </w:r>
          </w:p>
        </w:tc>
        <w:tc>
          <w:tcPr>
            <w:tcW w:w="1100" w:type="dxa"/>
            <w:vAlign w:val="bottom"/>
          </w:tcPr>
          <w:p>
            <w:pPr>
              <w:spacing w:after="0"/>
              <w:rPr>
                <w:sz w:val="16"/>
                <w:szCs w:val="16"/>
                <w:color w:val="auto"/>
              </w:rPr>
            </w:pP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spacing w:after="0"/>
              <w:rPr>
                <w:sz w:val="16"/>
                <w:szCs w:val="16"/>
                <w:color w:val="auto"/>
              </w:rPr>
            </w:pPr>
          </w:p>
        </w:tc>
      </w:tr>
      <w:tr>
        <w:trPr>
          <w:trHeight w:val="185"/>
        </w:trPr>
        <w:tc>
          <w:tcPr>
            <w:tcW w:w="1720" w:type="dxa"/>
            <w:vAlign w:val="bottom"/>
          </w:tcPr>
          <w:p>
            <w:pPr>
              <w:jc w:val="center"/>
              <w:ind w:right="500"/>
              <w:spacing w:after="0"/>
              <w:rPr>
                <w:sz w:val="20"/>
                <w:szCs w:val="20"/>
                <w:color w:val="auto"/>
              </w:rPr>
            </w:pPr>
            <w:r>
              <w:rPr>
                <w:rFonts w:ascii="Courier New" w:cs="Courier New" w:eastAsia="Courier New" w:hAnsi="Courier New"/>
                <w:sz w:val="16"/>
                <w:szCs w:val="16"/>
                <w:color w:val="auto"/>
                <w:w w:val="98"/>
              </w:rPr>
              <w:t>EACH</w:t>
            </w: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REPORTING</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w:t>
            </w:r>
          </w:p>
        </w:tc>
        <w:tc>
          <w:tcPr>
            <w:tcW w:w="26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SOLE DISPOSITIVE POWER</w:t>
            </w:r>
          </w:p>
        </w:tc>
      </w:tr>
      <w:tr>
        <w:trPr>
          <w:trHeight w:val="185"/>
        </w:trPr>
        <w:tc>
          <w:tcPr>
            <w:tcW w:w="1720" w:type="dxa"/>
            <w:vAlign w:val="bottom"/>
          </w:tcPr>
          <w:p>
            <w:pPr>
              <w:jc w:val="center"/>
              <w:ind w:right="500"/>
              <w:spacing w:after="0"/>
              <w:rPr>
                <w:sz w:val="20"/>
                <w:szCs w:val="20"/>
                <w:color w:val="auto"/>
              </w:rPr>
            </w:pPr>
            <w:r>
              <w:rPr>
                <w:rFonts w:ascii="Courier New" w:cs="Courier New" w:eastAsia="Courier New" w:hAnsi="Courier New"/>
                <w:sz w:val="16"/>
                <w:szCs w:val="16"/>
                <w:color w:val="auto"/>
              </w:rPr>
              <w:t>PERSON</w:t>
            </w:r>
          </w:p>
        </w:tc>
        <w:tc>
          <w:tcPr>
            <w:tcW w:w="1100" w:type="dxa"/>
            <w:vAlign w:val="bottom"/>
          </w:tcPr>
          <w:p>
            <w:pPr>
              <w:spacing w:after="0"/>
              <w:rPr>
                <w:sz w:val="16"/>
                <w:szCs w:val="16"/>
                <w:color w:val="auto"/>
              </w:rPr>
            </w:pP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2,346,359*</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w w:val="97"/>
              </w:rPr>
              <w:t>(See Item 5.)</w:t>
            </w:r>
          </w:p>
        </w:tc>
      </w:tr>
      <w:tr>
        <w:trPr>
          <w:trHeight w:val="185"/>
        </w:trPr>
        <w:tc>
          <w:tcPr>
            <w:tcW w:w="1720" w:type="dxa"/>
            <w:vAlign w:val="bottom"/>
          </w:tcPr>
          <w:p>
            <w:pPr>
              <w:jc w:val="center"/>
              <w:ind w:right="500"/>
              <w:spacing w:after="0"/>
              <w:rPr>
                <w:sz w:val="20"/>
                <w:szCs w:val="20"/>
                <w:color w:val="auto"/>
              </w:rPr>
            </w:pPr>
            <w:r>
              <w:rPr>
                <w:rFonts w:ascii="Courier New" w:cs="Courier New" w:eastAsia="Courier New" w:hAnsi="Courier New"/>
                <w:sz w:val="16"/>
                <w:szCs w:val="16"/>
                <w:color w:val="auto"/>
                <w:w w:val="98"/>
              </w:rPr>
              <w:t>WITH</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w:t>
            </w:r>
          </w:p>
        </w:tc>
        <w:tc>
          <w:tcPr>
            <w:tcW w:w="26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SHARED DISPOSITIVE POWER</w:t>
            </w:r>
          </w:p>
        </w:tc>
      </w:tr>
      <w:tr>
        <w:trPr>
          <w:trHeight w:val="185"/>
        </w:trPr>
        <w:tc>
          <w:tcPr>
            <w:tcW w:w="1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spacing w:after="0"/>
              <w:rPr>
                <w:sz w:val="16"/>
                <w:szCs w:val="16"/>
                <w:color w:val="auto"/>
              </w:rPr>
            </w:pPr>
          </w:p>
        </w:tc>
      </w:tr>
    </w:tbl>
    <w:p>
      <w:pPr>
        <w:spacing w:after="0" w:line="190" w:lineRule="exact"/>
        <w:rPr>
          <w:sz w:val="20"/>
          <w:szCs w:val="20"/>
          <w:color w:val="auto"/>
        </w:rPr>
      </w:pPr>
    </w:p>
    <w:p>
      <w:pPr>
        <w:ind w:left="1240" w:right="3119" w:hanging="857"/>
        <w:spacing w:after="0" w:line="242" w:lineRule="auto"/>
        <w:tabs>
          <w:tab w:leader="none" w:pos="12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2,346,359* (See Item 5.)</w:t>
      </w:r>
    </w:p>
    <w:p>
      <w:pPr>
        <w:spacing w:after="0" w:line="188" w:lineRule="exact"/>
        <w:rPr>
          <w:rFonts w:ascii="Courier New" w:cs="Courier New" w:eastAsia="Courier New" w:hAnsi="Courier New"/>
          <w:sz w:val="16"/>
          <w:szCs w:val="16"/>
          <w:color w:val="auto"/>
        </w:rPr>
      </w:pPr>
    </w:p>
    <w:p>
      <w:pPr>
        <w:ind w:left="1240" w:right="3019" w:hanging="857"/>
        <w:spacing w:after="0" w:line="242" w:lineRule="auto"/>
        <w:tabs>
          <w:tab w:leader="none" w:pos="12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200" w:lineRule="exact"/>
        <w:rPr>
          <w:rFonts w:ascii="Courier New" w:cs="Courier New" w:eastAsia="Courier New" w:hAnsi="Courier New"/>
          <w:sz w:val="16"/>
          <w:szCs w:val="16"/>
          <w:color w:val="auto"/>
        </w:rPr>
      </w:pPr>
    </w:p>
    <w:p>
      <w:pPr>
        <w:spacing w:after="0" w:line="358" w:lineRule="exact"/>
        <w:rPr>
          <w:rFonts w:ascii="Courier New" w:cs="Courier New" w:eastAsia="Courier New" w:hAnsi="Courier New"/>
          <w:sz w:val="16"/>
          <w:szCs w:val="16"/>
          <w:color w:val="auto"/>
        </w:rPr>
      </w:pPr>
    </w:p>
    <w:p>
      <w:pPr>
        <w:ind w:left="1240" w:right="4159" w:hanging="857"/>
        <w:spacing w:after="0" w:line="242" w:lineRule="auto"/>
        <w:tabs>
          <w:tab w:leader="none" w:pos="12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6.7% (See Item 5.)</w:t>
      </w:r>
    </w:p>
    <w:p>
      <w:pPr>
        <w:spacing w:after="0" w:line="188" w:lineRule="exact"/>
        <w:rPr>
          <w:rFonts w:ascii="Courier New" w:cs="Courier New" w:eastAsia="Courier New" w:hAnsi="Courier New"/>
          <w:sz w:val="16"/>
          <w:szCs w:val="16"/>
          <w:color w:val="auto"/>
        </w:rPr>
      </w:pPr>
    </w:p>
    <w:p>
      <w:pPr>
        <w:ind w:left="1240" w:right="6659" w:hanging="857"/>
        <w:spacing w:after="0" w:line="242" w:lineRule="auto"/>
        <w:tabs>
          <w:tab w:leader="none" w:pos="12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CO</w:t>
      </w:r>
    </w:p>
    <w:p>
      <w:pPr>
        <w:spacing w:after="0" w:line="189" w:lineRule="exact"/>
        <w:rPr>
          <w:sz w:val="20"/>
          <w:szCs w:val="20"/>
          <w:color w:val="auto"/>
        </w:rPr>
      </w:pPr>
    </w:p>
    <w:p>
      <w:pPr>
        <w:ind w:left="2980" w:right="2719" w:hanging="2501"/>
        <w:spacing w:after="0" w:line="486" w:lineRule="auto"/>
        <w:tabs>
          <w:tab w:leader="none" w:pos="67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934,559 Warrant Shares (as hereinafter defined). (See Item 5.) (Page 2 of 7 pages)</w:t>
      </w:r>
    </w:p>
    <w:p>
      <w:pPr>
        <w:sectPr>
          <w:pgSz w:w="11900" w:h="16838" w:orient="portrait"/>
          <w:cols w:equalWidth="0" w:num="1">
            <w:col w:w="10219"/>
          </w:cols>
          <w:pgMar w:left="240" w:top="485" w:right="1440" w:bottom="1440" w:gutter="0" w:footer="0" w:header="0"/>
        </w:sectPr>
      </w:pPr>
    </w:p>
    <w:bookmarkStart w:id="2" w:name="page3"/>
    <w:bookmarkEnd w:id="2"/>
    <w:p>
      <w:pPr>
        <w:ind w:left="1"/>
        <w:spacing w:after="0"/>
        <w:tabs>
          <w:tab w:leader="none" w:pos="1701"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190"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This statement on Schedule 13D relates to shares of Common Stock, par value $.01 per share (the "Common Stock"), of Casual Male Retail Group, Inc., a Delaware corporation formerly named Designs, Inc. (the "Issuer"). The principal executive offices of the Issuer are located at 555 Turnpike Street, Canton, Massachusetts 02021.</w:t>
      </w:r>
    </w:p>
    <w:p>
      <w:pPr>
        <w:spacing w:after="0" w:line="185"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190" w:lineRule="exact"/>
        <w:rPr>
          <w:sz w:val="20"/>
          <w:szCs w:val="20"/>
          <w:color w:val="auto"/>
        </w:rPr>
      </w:pPr>
    </w:p>
    <w:p>
      <w:pPr>
        <w:ind w:left="1" w:right="2639" w:firstLine="1728"/>
        <w:spacing w:after="0" w:line="243" w:lineRule="auto"/>
        <w:tabs>
          <w:tab w:leader="none" w:pos="211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 This statement is being filed by The Clark Estates, Inc. (the "Reporting Person"), a New York corporation with its principal business address and principal office at One Rockefeller Plaza, 31st Floor, New York, New York 10020.</w:t>
      </w:r>
    </w:p>
    <w:p>
      <w:pPr>
        <w:spacing w:after="0" w:line="190" w:lineRule="exact"/>
        <w:rPr>
          <w:sz w:val="20"/>
          <w:szCs w:val="20"/>
          <w:color w:val="auto"/>
        </w:rPr>
      </w:pPr>
    </w:p>
    <w:p>
      <w:pPr>
        <w:ind w:left="1" w:right="2539" w:firstLine="1729"/>
        <w:spacing w:after="0" w:line="243" w:lineRule="auto"/>
        <w:rPr>
          <w:sz w:val="20"/>
          <w:szCs w:val="20"/>
          <w:color w:val="auto"/>
        </w:rPr>
      </w:pPr>
      <w:r>
        <w:rPr>
          <w:rFonts w:ascii="Courier New" w:cs="Courier New" w:eastAsia="Courier New" w:hAnsi="Courier New"/>
          <w:sz w:val="16"/>
          <w:szCs w:val="16"/>
          <w:color w:val="auto"/>
        </w:rPr>
        <w:t>The Reporting Person is principally engaged in the business of providing management and administrative services to certain institutional, corporate, partnership, individual and trust accounts affiliated with the Clark family.</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Schedule I sets forth the information required by Items 2(a) -</w:t>
      </w:r>
    </w:p>
    <w:p>
      <w:pPr>
        <w:spacing w:after="0" w:line="5" w:lineRule="exact"/>
        <w:rPr>
          <w:sz w:val="20"/>
          <w:szCs w:val="20"/>
          <w:color w:val="auto"/>
        </w:rPr>
      </w:pPr>
    </w:p>
    <w:p>
      <w:pPr>
        <w:ind w:left="1" w:right="3019" w:hanging="1"/>
        <w:spacing w:after="0" w:line="242" w:lineRule="auto"/>
        <w:tabs>
          <w:tab w:leader="none" w:pos="3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2(f) of Schedule 13D for each executive officer and director of the Reporting Person.</w:t>
      </w:r>
    </w:p>
    <w:p>
      <w:pPr>
        <w:spacing w:after="0" w:line="188" w:lineRule="exact"/>
        <w:rPr>
          <w:rFonts w:ascii="Courier New" w:cs="Courier New" w:eastAsia="Courier New" w:hAnsi="Courier New"/>
          <w:sz w:val="16"/>
          <w:szCs w:val="16"/>
          <w:color w:val="auto"/>
        </w:rPr>
      </w:pPr>
    </w:p>
    <w:p>
      <w:pPr>
        <w:ind w:left="1" w:right="2539" w:firstLine="1728"/>
        <w:spacing w:after="0" w:line="244" w:lineRule="auto"/>
        <w:tabs>
          <w:tab w:leader="none" w:pos="211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 During the last five years neither the Reporting Person nor (to the best knowledge of the Reporting Person) any of its directors or executive officers has (i) been convicted in a criminal proceeding (excluding traffic violations or similar misdemeanors) or (ii) been a party to a civil proceeding of a judicial or administrative body of competent jurisdiction as a result of which it was or is subject to a judgment, decree or final order enjoining future violations of, or prohibiting or mandating activities subject to, federal or state securities laws or finding any violation with respect to such laws.</w:t>
      </w:r>
    </w:p>
    <w:p>
      <w:pPr>
        <w:spacing w:after="0" w:line="187"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190"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Effective as of May 14, 2002, Clark Partners I, L.P. ("Clark Partners") purchased from the Issuer in a private placement transaction (i) a 12% Senior Subordinated Note due 2007 in the principal amount of $10,000,000 (the "Initial Note") with interest payable quarterly and a warrant (the "Initial Warrant") to acquire 700,000 shares of Common Stock (the "Initial Warrant Shares") at an exercise price of $0.01 per share and (ii) a 12% Senior Subordinated Note due 2007 in the principal amount of $1,250,000 (the "Subsequent Note" and, together with the Initial Note, the "Notes") with interest payable quarterly and a warrant (the "Subsequent Warrant") to acquire 87,500 shares of Common Stock at an exercise price of $0.01 per share (the "Subsequent Warrant Shares") pursuant to an Amended and Restated Note Agreement (the "Note Agreement").</w:t>
      </w:r>
    </w:p>
    <w:p>
      <w:pPr>
        <w:spacing w:after="0" w:line="191"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Effective as of May 14, 2002, Clark Partners purchased from the Issuer in a private placement transaction (i) 14,118 shares of the Issuer's Series B Preferred Stock (the "Preferred Shares") and (ii) warrants (the "Conditional Warrants" and, together with the Initial Warrants and the Subsequent Warrants, the "Warrants") to purchase 147,059 shares of Common Stock (the "Conditional Warrant Shares" and, together with the Initial Warrant Shares and the Subsequent Warrant Shares, the "Warrant Shares") at an exercise price of $8.50 per share for an aggregate purchase price of $6,000,000 pursuant to a Subscription Agreement (the "Subscription</w:t>
      </w:r>
    </w:p>
    <w:p>
      <w:pPr>
        <w:spacing w:after="0" w:line="187"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(Page 3 of 7 pages)</w:t>
      </w:r>
    </w:p>
    <w:p>
      <w:pPr>
        <w:sectPr>
          <w:pgSz w:w="11900" w:h="16838" w:orient="portrait"/>
          <w:cols w:equalWidth="0" w:num="1">
            <w:col w:w="10221"/>
          </w:cols>
          <w:pgMar w:left="239" w:top="485" w:right="1440" w:bottom="1440" w:gutter="0" w:footer="0" w:header="0"/>
        </w:sectPr>
      </w:pPr>
    </w:p>
    <w:bookmarkStart w:id="3" w:name="page4"/>
    <w:bookmarkEnd w:id="3"/>
    <w:p>
      <w:pPr>
        <w:ind w:right="2539"/>
        <w:spacing w:after="0" w:line="244" w:lineRule="auto"/>
        <w:rPr>
          <w:sz w:val="20"/>
          <w:szCs w:val="20"/>
          <w:color w:val="auto"/>
        </w:rPr>
      </w:pPr>
      <w:r>
        <w:rPr>
          <w:rFonts w:ascii="Courier New" w:cs="Courier New" w:eastAsia="Courier New" w:hAnsi="Courier New"/>
          <w:sz w:val="16"/>
          <w:szCs w:val="16"/>
          <w:color w:val="auto"/>
        </w:rPr>
        <w:t>Agreement"). At the time of issuance, the Preferred Shares were non-convertible and the Conditional Warrants were not exercisable, but the Preferred Shares were subject to automatic conversion into shares of Common Stock (in the ratio of 100 shares of Common Stock for each Preferred Share, subject to adjustment in certain circumstances) and the Conditional Warrants were subject to immediate exercise, in each case upon the Issuer's obtaining stockholder approval for the issuance of such shares of Common Stock upon conversion of the Preferred Shares and exercise of the Conditional Warrants. On August 8, 2002, the stockholders of the Issuer approved such issuance and, accordingly, on that date the Preferred Shares were automatically converted into 1,411,800 shares of Common Stock (the "Shares").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Clark Partners is a limited partnership, the general partner of which is Ninth Floor Corporation. The Reporting Person provides management and administrative services to Clark Partners. The purchase price for the Shares and the Notes was provided by funds available for investment by accounts for which the Reporting Person provides management and administrative services.</w:t>
      </w:r>
    </w:p>
    <w:p>
      <w:pPr>
        <w:spacing w:after="0" w:line="187"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In connection with these private placements, the Issuer agreed pursuant to a Registration Rights Agreement (the "Registration Rights Agreement") to file a Registration Statement with the SEC after obtaining the stockholder approval referred to above with respect to the shares of Common Stock issuable upon conversion of the Series B Preferred Stock and the exercise of the Warrants and certain other warrants issued in connection with these private placements. Such Registration Statement has been filed and is currently effective.</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190"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The purpose of the purchase of the Shares and the acquisition of the Warrants was for investment. The Reporting Person currently does not have any plans or proposals of the type set forth in Paragraphs (a) through (j) of Item 4 of Schedule 13D, except that the Reporting Person may acquire additional shares of the Common Stock in open market transactions for investment purposes and may dispose of shares of Common Stock in open market transactions or otherwise. Any decision of the Reporting Person either to purchase additional shares of the Common Stock or to dispose of any of such shares will take into account various factors, including general economic and stock market conditions.</w:t>
      </w:r>
    </w:p>
    <w:p>
      <w:pPr>
        <w:spacing w:after="0" w:line="17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Stephen M. Duff, an employee of the Reporting Person, is a member of the Board of Directors of the Issuer. (As a director, Mr. Duff has been granted options to purchase 30,000 shares of the Common Stock, 10,000 of which are vested.) Mr. Duff is also the holder of 1,682 shares of Common Stock. Such shares have not been included in the number of shares beneficially owned by the Reporting Person.</w:t>
      </w:r>
    </w:p>
    <w:p>
      <w:pPr>
        <w:spacing w:after="0" w:line="186" w:lineRule="exact"/>
        <w:rPr>
          <w:sz w:val="20"/>
          <w:szCs w:val="20"/>
          <w:color w:val="auto"/>
        </w:rPr>
      </w:pPr>
    </w:p>
    <w:p>
      <w:pPr>
        <w:spacing w:after="0"/>
        <w:tabs>
          <w:tab w:leader="none" w:pos="560" w:val="left"/>
          <w:tab w:leader="none" w:pos="1700" w:val="left"/>
        </w:tabs>
        <w:rPr>
          <w:sz w:val="20"/>
          <w:szCs w:val="20"/>
          <w:color w:val="auto"/>
        </w:rPr>
      </w:pPr>
      <w:r>
        <w:rPr>
          <w:rFonts w:ascii="Courier New" w:cs="Courier New" w:eastAsia="Courier New" w:hAnsi="Courier New"/>
          <w:sz w:val="16"/>
          <w:szCs w:val="16"/>
          <w:color w:val="auto"/>
        </w:rPr>
        <w:t>ITEM</w:t>
        <w:tab/>
        <w:t>5.</w:t>
      </w:r>
      <w:r>
        <w:rPr>
          <w:sz w:val="20"/>
          <w:szCs w:val="20"/>
          <w:color w:val="auto"/>
        </w:rPr>
        <w:tab/>
      </w:r>
      <w:r>
        <w:rPr>
          <w:rFonts w:ascii="Courier New" w:cs="Courier New" w:eastAsia="Courier New" w:hAnsi="Courier New"/>
          <w:sz w:val="16"/>
          <w:szCs w:val="16"/>
          <w:color w:val="auto"/>
        </w:rPr>
        <w:t>INTEREST IN SECURITIES OF THE ISSUER</w:t>
      </w:r>
    </w:p>
    <w:p>
      <w:pPr>
        <w:spacing w:after="0" w:line="190" w:lineRule="exact"/>
        <w:rPr>
          <w:sz w:val="20"/>
          <w:szCs w:val="20"/>
          <w:color w:val="auto"/>
        </w:rPr>
      </w:pPr>
    </w:p>
    <w:p>
      <w:pPr>
        <w:ind w:right="2539" w:firstLine="1728"/>
        <w:spacing w:after="0" w:line="263" w:lineRule="auto"/>
        <w:tabs>
          <w:tab w:leader="none" w:pos="211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2,346,359 shares of Common Stock beneficially owned by the Reporting Person, which includes the Warrant Shares, all of which are held of record by Clark Partners, constitute approximately 6.7% of the outstanding shares of the Common Stock, computed in accordance with the provisions of SEC Rule 13d-3(d)(1) (based upon an aggregate of 34,115,807 outstanding shares of the Common Stock as of September 16, 2002, as disclosed in the Issuer's Quarterly Report on Form 10-Q for the quarter ended August 3, 2002).</w:t>
      </w:r>
    </w:p>
    <w:p>
      <w:pPr>
        <w:spacing w:after="0" w:line="3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(Page 4 of 7 pages)</w:t>
      </w:r>
    </w:p>
    <w:p>
      <w:pPr>
        <w:sectPr>
          <w:pgSz w:w="11900" w:h="16838" w:orient="portrait"/>
          <w:cols w:equalWidth="0" w:num="1">
            <w:col w:w="10219"/>
          </w:cols>
          <w:pgMar w:left="240" w:top="487" w:right="1440" w:bottom="1440" w:gutter="0" w:footer="0" w:header="0"/>
        </w:sectPr>
      </w:pPr>
    </w:p>
    <w:bookmarkStart w:id="4" w:name="page5"/>
    <w:bookmarkEnd w:id="4"/>
    <w:p>
      <w:pPr>
        <w:ind w:right="2539" w:firstLine="1728"/>
        <w:spacing w:after="0" w:line="243" w:lineRule="auto"/>
        <w:tabs>
          <w:tab w:leader="none" w:pos="211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Reporting Person has the sole power to vote or to direct the vote and to dispose of or direct the disposition of the shares of the Common Stock referred to above.</w:t>
      </w:r>
    </w:p>
    <w:p>
      <w:pPr>
        <w:spacing w:after="0" w:line="188" w:lineRule="exact"/>
        <w:rPr>
          <w:rFonts w:ascii="Courier New" w:cs="Courier New" w:eastAsia="Courier New" w:hAnsi="Courier New"/>
          <w:sz w:val="16"/>
          <w:szCs w:val="16"/>
          <w:color w:val="auto"/>
        </w:rPr>
      </w:pPr>
    </w:p>
    <w:p>
      <w:pPr>
        <w:ind w:right="2719" w:firstLine="1728"/>
        <w:spacing w:after="0" w:line="243" w:lineRule="auto"/>
        <w:tabs>
          <w:tab w:leader="none" w:pos="211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Reporting Person, nor any of the accounts referred to above, nor (to the best knowledge of the Reporting Person) any of its executive officers or directors has effected any transaction in the Common Stock during the 60 days preceding the date hereof.</w:t>
      </w:r>
    </w:p>
    <w:p>
      <w:pPr>
        <w:spacing w:after="0" w:line="189"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accounts referred to in Item 3 have the right to receive or the power to direct the receipt of dividends from, or the proceeds from the sale of, the Shares and the Warrant Shares.</w:t>
      </w:r>
    </w:p>
    <w:p>
      <w:pPr>
        <w:spacing w:after="0" w:line="186" w:lineRule="exact"/>
        <w:rPr>
          <w:rFonts w:ascii="Courier New" w:cs="Courier New" w:eastAsia="Courier New" w:hAnsi="Courier New"/>
          <w:sz w:val="16"/>
          <w:szCs w:val="16"/>
          <w:color w:val="auto"/>
        </w:rPr>
      </w:pPr>
    </w:p>
    <w:p>
      <w:pPr>
        <w:ind w:left="2200" w:hanging="472"/>
        <w:spacing w:after="0"/>
        <w:tabs>
          <w:tab w:leader="none" w:pos="2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0" w:lineRule="exact"/>
        <w:rPr>
          <w:sz w:val="20"/>
          <w:szCs w:val="20"/>
          <w:color w:val="auto"/>
        </w:rPr>
      </w:pPr>
    </w:p>
    <w:p>
      <w:pPr>
        <w:ind w:left="1720" w:right="2639" w:hanging="1728"/>
        <w:spacing w:after="0" w:line="242" w:lineRule="auto"/>
        <w:tabs>
          <w:tab w:leader="none" w:pos="17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374"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Except for the Note Agreement, the Subscription Agreement and the Registration Rights Agreement, neither the Reporting Person nor (to the best knowledge of the Reporting Person) any of its executive officers or directors has any contract, arrangement, understanding or relationship (legal or otherwise) with any person with respect to any securities of the Issuer, including but not limited to the transfer or voting of any of such securities, finder's fees, joint ventures, loan or option agreements, puts or calls, guarantees of profits, division of profits or losses, or the giving or withholding of proxies.</w:t>
      </w:r>
    </w:p>
    <w:p>
      <w:pPr>
        <w:spacing w:after="0" w:line="189"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The Issuer granted shelf and piggyback resale registration rights to Clark Partners with respect to the Shares and the Warrant Shares pursuant to the Registration Rights Agreement.</w:t>
      </w:r>
    </w:p>
    <w:p>
      <w:pPr>
        <w:spacing w:after="0" w:line="18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373"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3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(Page 5 of 7 pages)</w:t>
      </w:r>
    </w:p>
    <w:p>
      <w:pPr>
        <w:sectPr>
          <w:pgSz w:w="11900" w:h="16838" w:orient="portrait"/>
          <w:cols w:equalWidth="0" w:num="1">
            <w:col w:w="10219"/>
          </w:cols>
          <w:pgMar w:left="240" w:top="487" w:right="1440" w:bottom="1440" w:gutter="0" w:footer="0" w:header="0"/>
        </w:sectPr>
      </w:pPr>
    </w:p>
    <w:bookmarkStart w:id="5" w:name="page6"/>
    <w:bookmarkEnd w:id="5"/>
    <w:p>
      <w:pPr>
        <w:ind w:left="3460"/>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485" w:right="1440" w:bottom="1440" w:gutter="0" w:footer="0" w:header="0"/>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9, 2002</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CLARK ESTATES, INC.</w:t>
      </w:r>
    </w:p>
    <w:p>
      <w:pPr>
        <w:spacing w:after="0" w:line="200" w:lineRule="exact"/>
        <w:rPr>
          <w:sz w:val="20"/>
          <w:szCs w:val="20"/>
          <w:color w:val="auto"/>
        </w:rPr>
      </w:pPr>
    </w:p>
    <w:p>
      <w:pPr>
        <w:sectPr>
          <w:pgSz w:w="11900" w:h="16838" w:orient="portrait"/>
          <w:cols w:equalWidth="0" w:num="3">
            <w:col w:w="480" w:space="200"/>
            <w:col w:w="3400" w:space="720"/>
            <w:col w:w="5419"/>
          </w:cols>
          <w:pgMar w:left="240" w:top="485" w:right="1440" w:bottom="1440" w:gutter="0" w:footer="0" w:header="0"/>
          <w:type w:val="continuous"/>
        </w:sectPr>
      </w:pPr>
    </w:p>
    <w:p>
      <w:pPr>
        <w:spacing w:after="0" w:line="173"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KEVIN S. MOORE</w:t>
      </w:r>
    </w:p>
    <w:p>
      <w:pPr>
        <w:spacing w:after="0" w:line="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5"/>
          <w:szCs w:val="15"/>
          <w:color w:val="auto"/>
        </w:rPr>
        <w:t>Name:</w:t>
        <w:tab/>
        <w:t>Kevin S. Moore</w:t>
      </w:r>
    </w:p>
    <w:p>
      <w:pPr>
        <w:spacing w:after="0" w:line="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Title:</w:t>
        <w:tab/>
        <w:t>President</w:t>
      </w:r>
    </w:p>
    <w:p>
      <w:pPr>
        <w:spacing w:after="0" w:line="190" w:lineRule="exact"/>
        <w:rPr>
          <w:sz w:val="20"/>
          <w:szCs w:val="20"/>
          <w:color w:val="auto"/>
        </w:rPr>
      </w:pPr>
    </w:p>
    <w:p>
      <w:pPr>
        <w:sectPr>
          <w:pgSz w:w="11900" w:h="16838" w:orient="portrait"/>
          <w:cols w:equalWidth="0" w:num="2">
            <w:col w:w="5100" w:space="560"/>
            <w:col w:w="4559"/>
          </w:cols>
          <w:pgMar w:left="240" w:top="485" w:right="1440" w:bottom="1440" w:gutter="0" w:footer="0" w:header="0"/>
          <w:type w:val="continuous"/>
        </w:sectPr>
      </w:pPr>
    </w:p>
    <w:p>
      <w:pPr>
        <w:ind w:left="2980"/>
        <w:spacing w:after="0"/>
        <w:rPr>
          <w:sz w:val="20"/>
          <w:szCs w:val="20"/>
          <w:color w:val="auto"/>
        </w:rPr>
      </w:pPr>
      <w:r>
        <w:rPr>
          <w:rFonts w:ascii="Courier New" w:cs="Courier New" w:eastAsia="Courier New" w:hAnsi="Courier New"/>
          <w:sz w:val="15"/>
          <w:szCs w:val="15"/>
          <w:color w:val="auto"/>
        </w:rPr>
        <w:t>(Page 6 of 7 pages)</w:t>
      </w:r>
    </w:p>
    <w:p>
      <w:pPr>
        <w:sectPr>
          <w:pgSz w:w="11900" w:h="16838" w:orient="portrait"/>
          <w:cols w:equalWidth="0" w:num="1">
            <w:col w:w="10219"/>
          </w:cols>
          <w:pgMar w:left="240" w:top="485" w:right="1440" w:bottom="1440" w:gutter="0" w:footer="0" w:header="0"/>
          <w:type w:val="continuous"/>
        </w:sectPr>
      </w:pPr>
    </w:p>
    <w:bookmarkStart w:id="6" w:name="page7"/>
    <w:bookmarkEnd w:id="6"/>
    <w:p>
      <w:pPr>
        <w:jc w:val="center"/>
        <w:ind w:right="3840"/>
        <w:spacing w:after="0"/>
        <w:rPr>
          <w:sz w:val="20"/>
          <w:szCs w:val="20"/>
          <w:color w:val="auto"/>
        </w:rPr>
      </w:pPr>
      <w:r>
        <w:rPr>
          <w:rFonts w:ascii="Courier New" w:cs="Courier New" w:eastAsia="Courier New" w:hAnsi="Courier New"/>
          <w:sz w:val="16"/>
          <w:szCs w:val="16"/>
          <w:color w:val="auto"/>
        </w:rPr>
        <w:t>Schedule I</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DIRECTORS AND EXECUTIVE OFFICERS OF THE CLARK ESTATES, INC.</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800" w:type="dxa"/>
            <w:vAlign w:val="bottom"/>
          </w:tcPr>
          <w:p>
            <w:pPr>
              <w:ind w:left="880"/>
              <w:spacing w:after="0"/>
              <w:rPr>
                <w:sz w:val="20"/>
                <w:szCs w:val="20"/>
                <w:color w:val="auto"/>
              </w:rPr>
            </w:pPr>
            <w:r>
              <w:rPr>
                <w:rFonts w:ascii="Courier New" w:cs="Courier New" w:eastAsia="Courier New" w:hAnsi="Courier New"/>
                <w:sz w:val="16"/>
                <w:szCs w:val="16"/>
                <w:color w:val="auto"/>
              </w:rPr>
              <w:t>PRINCIPAL OCCUPATION</w:t>
            </w: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NAME, PRINCIPAL BUSINESS AND ADDRESS OF EMPLOYER</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0" w:type="dxa"/>
            <w:vAlign w:val="bottom"/>
          </w:tcPr>
          <w:p>
            <w:pPr>
              <w:ind w:left="1060"/>
              <w:spacing w:after="0"/>
              <w:rPr>
                <w:sz w:val="20"/>
                <w:szCs w:val="20"/>
                <w:color w:val="auto"/>
              </w:rPr>
            </w:pPr>
            <w:r>
              <w:rPr>
                <w:rFonts w:ascii="Courier New" w:cs="Courier New" w:eastAsia="Courier New" w:hAnsi="Courier New"/>
                <w:sz w:val="16"/>
                <w:szCs w:val="16"/>
                <w:color w:val="auto"/>
              </w:rPr>
              <w:t>--------------------</w:t>
            </w:r>
          </w:p>
        </w:tc>
        <w:tc>
          <w:tcPr>
            <w:tcW w:w="5040" w:type="dxa"/>
            <w:vAlign w:val="bottom"/>
            <w:gridSpan w:val="2"/>
          </w:tcPr>
          <w:p>
            <w:pPr>
              <w:ind w:left="44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Jane Forbes Clark</w:t>
            </w:r>
          </w:p>
        </w:tc>
        <w:tc>
          <w:tcPr>
            <w:tcW w:w="3800" w:type="dxa"/>
            <w:vAlign w:val="bottom"/>
          </w:tcPr>
          <w:p>
            <w:pPr>
              <w:ind w:left="880"/>
              <w:spacing w:after="0"/>
              <w:rPr>
                <w:sz w:val="20"/>
                <w:szCs w:val="20"/>
                <w:color w:val="auto"/>
              </w:rPr>
            </w:pPr>
            <w:r>
              <w:rPr>
                <w:rFonts w:ascii="Courier New" w:cs="Courier New" w:eastAsia="Courier New" w:hAnsi="Courier New"/>
                <w:sz w:val="16"/>
                <w:szCs w:val="16"/>
                <w:color w:val="auto"/>
              </w:rPr>
              <w:t>Chairman and Director</w:t>
            </w: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Clark Estates, Inc.</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Management Services</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One Rockefeller Plaza, 31st Floor</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980" w:type="dxa"/>
            <w:vAlign w:val="bottom"/>
          </w:tcPr>
          <w:p>
            <w:pPr>
              <w:ind w:left="240"/>
              <w:spacing w:after="0"/>
              <w:rPr>
                <w:sz w:val="20"/>
                <w:szCs w:val="20"/>
                <w:color w:val="auto"/>
              </w:rPr>
            </w:pPr>
            <w:r>
              <w:rPr>
                <w:rFonts w:ascii="Courier New" w:cs="Courier New" w:eastAsia="Courier New" w:hAnsi="Courier New"/>
                <w:sz w:val="16"/>
                <w:szCs w:val="16"/>
                <w:color w:val="auto"/>
                <w:w w:val="99"/>
              </w:rPr>
              <w:t>New York, New York</w:t>
            </w:r>
          </w:p>
        </w:tc>
        <w:tc>
          <w:tcPr>
            <w:tcW w:w="3060" w:type="dxa"/>
            <w:vAlign w:val="bottom"/>
          </w:tcPr>
          <w:p>
            <w:pPr>
              <w:jc w:val="right"/>
              <w:ind w:right="2320"/>
              <w:spacing w:after="0"/>
              <w:rPr>
                <w:sz w:val="20"/>
                <w:szCs w:val="20"/>
                <w:color w:val="auto"/>
              </w:rPr>
            </w:pPr>
            <w:r>
              <w:rPr>
                <w:rFonts w:ascii="Courier New" w:cs="Courier New" w:eastAsia="Courier New" w:hAnsi="Courier New"/>
                <w:sz w:val="16"/>
                <w:szCs w:val="16"/>
                <w:color w:val="auto"/>
              </w:rPr>
              <w:t>10020</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Kevin S. Moore</w:t>
            </w:r>
          </w:p>
        </w:tc>
        <w:tc>
          <w:tcPr>
            <w:tcW w:w="3800" w:type="dxa"/>
            <w:vAlign w:val="bottom"/>
          </w:tcPr>
          <w:p>
            <w:pPr>
              <w:ind w:left="880"/>
              <w:spacing w:after="0"/>
              <w:rPr>
                <w:sz w:val="20"/>
                <w:szCs w:val="20"/>
                <w:color w:val="auto"/>
              </w:rPr>
            </w:pPr>
            <w:r>
              <w:rPr>
                <w:rFonts w:ascii="Courier New" w:cs="Courier New" w:eastAsia="Courier New" w:hAnsi="Courier New"/>
                <w:sz w:val="16"/>
                <w:szCs w:val="16"/>
                <w:color w:val="auto"/>
              </w:rPr>
              <w:t>President and Director</w:t>
            </w: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Clark Estates, Inc.</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Management Services</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One Rockefeller Plaza, 31st Floor</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980" w:type="dxa"/>
            <w:vAlign w:val="bottom"/>
          </w:tcPr>
          <w:p>
            <w:pPr>
              <w:ind w:left="240"/>
              <w:spacing w:after="0"/>
              <w:rPr>
                <w:sz w:val="20"/>
                <w:szCs w:val="20"/>
                <w:color w:val="auto"/>
              </w:rPr>
            </w:pPr>
            <w:r>
              <w:rPr>
                <w:rFonts w:ascii="Courier New" w:cs="Courier New" w:eastAsia="Courier New" w:hAnsi="Courier New"/>
                <w:sz w:val="16"/>
                <w:szCs w:val="16"/>
                <w:color w:val="auto"/>
                <w:w w:val="99"/>
              </w:rPr>
              <w:t>New York, New York</w:t>
            </w:r>
          </w:p>
        </w:tc>
        <w:tc>
          <w:tcPr>
            <w:tcW w:w="3060" w:type="dxa"/>
            <w:vAlign w:val="bottom"/>
          </w:tcPr>
          <w:p>
            <w:pPr>
              <w:jc w:val="right"/>
              <w:ind w:right="2320"/>
              <w:spacing w:after="0"/>
              <w:rPr>
                <w:sz w:val="20"/>
                <w:szCs w:val="20"/>
                <w:color w:val="auto"/>
              </w:rPr>
            </w:pPr>
            <w:r>
              <w:rPr>
                <w:rFonts w:ascii="Courier New" w:cs="Courier New" w:eastAsia="Courier New" w:hAnsi="Courier New"/>
                <w:sz w:val="16"/>
                <w:szCs w:val="16"/>
                <w:color w:val="auto"/>
              </w:rPr>
              <w:t>10020</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Anne L. Peretz</w:t>
            </w:r>
          </w:p>
        </w:tc>
        <w:tc>
          <w:tcPr>
            <w:tcW w:w="3800" w:type="dxa"/>
            <w:vAlign w:val="bottom"/>
          </w:tcPr>
          <w:p>
            <w:pPr>
              <w:ind w:left="880"/>
              <w:spacing w:after="0"/>
              <w:rPr>
                <w:sz w:val="20"/>
                <w:szCs w:val="20"/>
                <w:color w:val="auto"/>
              </w:rPr>
            </w:pPr>
            <w:r>
              <w:rPr>
                <w:rFonts w:ascii="Courier New" w:cs="Courier New" w:eastAsia="Courier New" w:hAnsi="Courier New"/>
                <w:sz w:val="16"/>
                <w:szCs w:val="16"/>
                <w:color w:val="auto"/>
              </w:rPr>
              <w:t>Director</w:t>
            </w: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Clark Estates, Inc.</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Management Services</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One Rockefeller Plaza, 31st Floor</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980" w:type="dxa"/>
            <w:vAlign w:val="bottom"/>
          </w:tcPr>
          <w:p>
            <w:pPr>
              <w:ind w:left="240"/>
              <w:spacing w:after="0"/>
              <w:rPr>
                <w:sz w:val="20"/>
                <w:szCs w:val="20"/>
                <w:color w:val="auto"/>
              </w:rPr>
            </w:pPr>
            <w:r>
              <w:rPr>
                <w:rFonts w:ascii="Courier New" w:cs="Courier New" w:eastAsia="Courier New" w:hAnsi="Courier New"/>
                <w:sz w:val="16"/>
                <w:szCs w:val="16"/>
                <w:color w:val="auto"/>
                <w:w w:val="99"/>
              </w:rPr>
              <w:t>New York, New York</w:t>
            </w:r>
          </w:p>
        </w:tc>
        <w:tc>
          <w:tcPr>
            <w:tcW w:w="3060" w:type="dxa"/>
            <w:vAlign w:val="bottom"/>
          </w:tcPr>
          <w:p>
            <w:pPr>
              <w:jc w:val="right"/>
              <w:ind w:right="2320"/>
              <w:spacing w:after="0"/>
              <w:rPr>
                <w:sz w:val="20"/>
                <w:szCs w:val="20"/>
                <w:color w:val="auto"/>
              </w:rPr>
            </w:pPr>
            <w:r>
              <w:rPr>
                <w:rFonts w:ascii="Courier New" w:cs="Courier New" w:eastAsia="Courier New" w:hAnsi="Courier New"/>
                <w:sz w:val="16"/>
                <w:szCs w:val="16"/>
                <w:color w:val="auto"/>
              </w:rPr>
              <w:t>10020</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Eric L. Straus</w:t>
            </w:r>
          </w:p>
        </w:tc>
        <w:tc>
          <w:tcPr>
            <w:tcW w:w="3800" w:type="dxa"/>
            <w:vAlign w:val="bottom"/>
          </w:tcPr>
          <w:p>
            <w:pPr>
              <w:ind w:left="880"/>
              <w:spacing w:after="0"/>
              <w:rPr>
                <w:sz w:val="20"/>
                <w:szCs w:val="20"/>
                <w:color w:val="auto"/>
              </w:rPr>
            </w:pPr>
            <w:r>
              <w:rPr>
                <w:rFonts w:ascii="Courier New" w:cs="Courier New" w:eastAsia="Courier New" w:hAnsi="Courier New"/>
                <w:sz w:val="16"/>
                <w:szCs w:val="16"/>
                <w:color w:val="auto"/>
              </w:rPr>
              <w:t>Senior Vice President and</w:t>
            </w: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Clark Estates, Inc.</w:t>
            </w:r>
          </w:p>
        </w:tc>
      </w:tr>
      <w:tr>
        <w:trPr>
          <w:trHeight w:val="185"/>
        </w:trPr>
        <w:tc>
          <w:tcPr>
            <w:tcW w:w="2680" w:type="dxa"/>
            <w:vAlign w:val="bottom"/>
          </w:tcPr>
          <w:p>
            <w:pPr>
              <w:spacing w:after="0"/>
              <w:rPr>
                <w:sz w:val="16"/>
                <w:szCs w:val="16"/>
                <w:color w:val="auto"/>
              </w:rPr>
            </w:pPr>
          </w:p>
        </w:tc>
        <w:tc>
          <w:tcPr>
            <w:tcW w:w="3800" w:type="dxa"/>
            <w:vAlign w:val="bottom"/>
          </w:tcPr>
          <w:p>
            <w:pPr>
              <w:ind w:left="880"/>
              <w:spacing w:after="0"/>
              <w:rPr>
                <w:sz w:val="20"/>
                <w:szCs w:val="20"/>
                <w:color w:val="auto"/>
              </w:rPr>
            </w:pPr>
            <w:r>
              <w:rPr>
                <w:rFonts w:ascii="Courier New" w:cs="Courier New" w:eastAsia="Courier New" w:hAnsi="Courier New"/>
                <w:sz w:val="16"/>
                <w:szCs w:val="16"/>
                <w:color w:val="auto"/>
              </w:rPr>
              <w:t>Director</w:t>
            </w: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Management Services</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One Rockefeller Plaza, 31st Floor</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980" w:type="dxa"/>
            <w:vAlign w:val="bottom"/>
          </w:tcPr>
          <w:p>
            <w:pPr>
              <w:ind w:left="240"/>
              <w:spacing w:after="0"/>
              <w:rPr>
                <w:sz w:val="20"/>
                <w:szCs w:val="20"/>
                <w:color w:val="auto"/>
              </w:rPr>
            </w:pPr>
            <w:r>
              <w:rPr>
                <w:rFonts w:ascii="Courier New" w:cs="Courier New" w:eastAsia="Courier New" w:hAnsi="Courier New"/>
                <w:sz w:val="16"/>
                <w:szCs w:val="16"/>
                <w:color w:val="auto"/>
                <w:w w:val="99"/>
              </w:rPr>
              <w:t>New York, New York</w:t>
            </w:r>
          </w:p>
        </w:tc>
        <w:tc>
          <w:tcPr>
            <w:tcW w:w="3060" w:type="dxa"/>
            <w:vAlign w:val="bottom"/>
          </w:tcPr>
          <w:p>
            <w:pPr>
              <w:jc w:val="right"/>
              <w:ind w:right="2320"/>
              <w:spacing w:after="0"/>
              <w:rPr>
                <w:sz w:val="20"/>
                <w:szCs w:val="20"/>
                <w:color w:val="auto"/>
              </w:rPr>
            </w:pPr>
            <w:r>
              <w:rPr>
                <w:rFonts w:ascii="Courier New" w:cs="Courier New" w:eastAsia="Courier New" w:hAnsi="Courier New"/>
                <w:sz w:val="16"/>
                <w:szCs w:val="16"/>
                <w:color w:val="auto"/>
              </w:rPr>
              <w:t>10020</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Marshall F. Wallach</w:t>
            </w:r>
          </w:p>
        </w:tc>
        <w:tc>
          <w:tcPr>
            <w:tcW w:w="3800" w:type="dxa"/>
            <w:vAlign w:val="bottom"/>
          </w:tcPr>
          <w:p>
            <w:pPr>
              <w:ind w:left="880"/>
              <w:spacing w:after="0"/>
              <w:rPr>
                <w:sz w:val="20"/>
                <w:szCs w:val="20"/>
                <w:color w:val="auto"/>
              </w:rPr>
            </w:pPr>
            <w:r>
              <w:rPr>
                <w:rFonts w:ascii="Courier New" w:cs="Courier New" w:eastAsia="Courier New" w:hAnsi="Courier New"/>
                <w:sz w:val="16"/>
                <w:szCs w:val="16"/>
                <w:color w:val="auto"/>
              </w:rPr>
              <w:t>Director, The Clark Estates,</w:t>
            </w: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Wallach Corporation</w:t>
            </w:r>
          </w:p>
        </w:tc>
      </w:tr>
      <w:tr>
        <w:trPr>
          <w:trHeight w:val="185"/>
        </w:trPr>
        <w:tc>
          <w:tcPr>
            <w:tcW w:w="2680" w:type="dxa"/>
            <w:vAlign w:val="bottom"/>
          </w:tcPr>
          <w:p>
            <w:pPr>
              <w:spacing w:after="0"/>
              <w:rPr>
                <w:sz w:val="16"/>
                <w:szCs w:val="16"/>
                <w:color w:val="auto"/>
              </w:rPr>
            </w:pPr>
          </w:p>
        </w:tc>
        <w:tc>
          <w:tcPr>
            <w:tcW w:w="3800" w:type="dxa"/>
            <w:vAlign w:val="bottom"/>
          </w:tcPr>
          <w:p>
            <w:pPr>
              <w:ind w:left="880"/>
              <w:spacing w:after="0"/>
              <w:rPr>
                <w:sz w:val="20"/>
                <w:szCs w:val="20"/>
                <w:color w:val="auto"/>
              </w:rPr>
            </w:pPr>
            <w:r>
              <w:rPr>
                <w:rFonts w:ascii="Courier New" w:cs="Courier New" w:eastAsia="Courier New" w:hAnsi="Courier New"/>
                <w:sz w:val="16"/>
                <w:szCs w:val="16"/>
                <w:color w:val="auto"/>
              </w:rPr>
              <w:t>Inc.</w:t>
            </w:r>
          </w:p>
        </w:tc>
        <w:tc>
          <w:tcPr>
            <w:tcW w:w="1980" w:type="dxa"/>
            <w:vAlign w:val="bottom"/>
          </w:tcPr>
          <w:p>
            <w:pPr>
              <w:ind w:left="240"/>
              <w:spacing w:after="0"/>
              <w:rPr>
                <w:sz w:val="20"/>
                <w:szCs w:val="20"/>
                <w:color w:val="auto"/>
              </w:rPr>
            </w:pPr>
            <w:r>
              <w:rPr>
                <w:rFonts w:ascii="Courier New" w:cs="Courier New" w:eastAsia="Courier New" w:hAnsi="Courier New"/>
                <w:sz w:val="16"/>
                <w:szCs w:val="16"/>
                <w:color w:val="auto"/>
                <w:w w:val="99"/>
              </w:rPr>
              <w:t>Investment Banking</w:t>
            </w:r>
          </w:p>
        </w:tc>
        <w:tc>
          <w:tcPr>
            <w:tcW w:w="3060" w:type="dxa"/>
            <w:vAlign w:val="bottom"/>
          </w:tcPr>
          <w:p>
            <w:pPr>
              <w:spacing w:after="0"/>
              <w:rPr>
                <w:sz w:val="16"/>
                <w:szCs w:val="16"/>
                <w:color w:val="auto"/>
              </w:rPr>
            </w:pPr>
          </w:p>
        </w:tc>
      </w:tr>
      <w:tr>
        <w:trPr>
          <w:trHeight w:val="185"/>
        </w:trPr>
        <w:tc>
          <w:tcPr>
            <w:tcW w:w="2680" w:type="dxa"/>
            <w:vAlign w:val="bottom"/>
          </w:tcPr>
          <w:p>
            <w:pPr>
              <w:spacing w:after="0"/>
              <w:rPr>
                <w:sz w:val="16"/>
                <w:szCs w:val="16"/>
                <w:color w:val="auto"/>
              </w:rPr>
            </w:pPr>
          </w:p>
        </w:tc>
        <w:tc>
          <w:tcPr>
            <w:tcW w:w="3800" w:type="dxa"/>
            <w:vAlign w:val="bottom"/>
          </w:tcPr>
          <w:p>
            <w:pPr>
              <w:ind w:left="880"/>
              <w:spacing w:after="0"/>
              <w:rPr>
                <w:sz w:val="20"/>
                <w:szCs w:val="20"/>
                <w:color w:val="auto"/>
              </w:rPr>
            </w:pPr>
            <w:r>
              <w:rPr>
                <w:rFonts w:ascii="Courier New" w:cs="Courier New" w:eastAsia="Courier New" w:hAnsi="Courier New"/>
                <w:sz w:val="16"/>
                <w:szCs w:val="16"/>
                <w:color w:val="auto"/>
              </w:rPr>
              <w:t>President, The Wallach</w:t>
            </w: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1401 17th Street, Suite 750</w:t>
            </w:r>
          </w:p>
        </w:tc>
      </w:tr>
      <w:tr>
        <w:trPr>
          <w:trHeight w:val="185"/>
        </w:trPr>
        <w:tc>
          <w:tcPr>
            <w:tcW w:w="2680" w:type="dxa"/>
            <w:vAlign w:val="bottom"/>
          </w:tcPr>
          <w:p>
            <w:pPr>
              <w:spacing w:after="0"/>
              <w:rPr>
                <w:sz w:val="16"/>
                <w:szCs w:val="16"/>
                <w:color w:val="auto"/>
              </w:rPr>
            </w:pPr>
          </w:p>
        </w:tc>
        <w:tc>
          <w:tcPr>
            <w:tcW w:w="3800" w:type="dxa"/>
            <w:vAlign w:val="bottom"/>
          </w:tcPr>
          <w:p>
            <w:pPr>
              <w:ind w:left="880"/>
              <w:spacing w:after="0"/>
              <w:rPr>
                <w:sz w:val="20"/>
                <w:szCs w:val="20"/>
                <w:color w:val="auto"/>
              </w:rPr>
            </w:pPr>
            <w:r>
              <w:rPr>
                <w:rFonts w:ascii="Courier New" w:cs="Courier New" w:eastAsia="Courier New" w:hAnsi="Courier New"/>
                <w:sz w:val="16"/>
                <w:szCs w:val="16"/>
                <w:color w:val="auto"/>
              </w:rPr>
              <w:t>Corporation</w:t>
            </w:r>
          </w:p>
        </w:tc>
        <w:tc>
          <w:tcPr>
            <w:tcW w:w="1980" w:type="dxa"/>
            <w:vAlign w:val="bottom"/>
          </w:tcPr>
          <w:p>
            <w:pPr>
              <w:ind w:left="240"/>
              <w:spacing w:after="0"/>
              <w:rPr>
                <w:sz w:val="20"/>
                <w:szCs w:val="20"/>
                <w:color w:val="auto"/>
              </w:rPr>
            </w:pPr>
            <w:r>
              <w:rPr>
                <w:rFonts w:ascii="Courier New" w:cs="Courier New" w:eastAsia="Courier New" w:hAnsi="Courier New"/>
                <w:sz w:val="16"/>
                <w:szCs w:val="16"/>
                <w:color w:val="auto"/>
              </w:rPr>
              <w:t>Denver, Colorado</w:t>
            </w:r>
          </w:p>
        </w:tc>
        <w:tc>
          <w:tcPr>
            <w:tcW w:w="3060" w:type="dxa"/>
            <w:vAlign w:val="bottom"/>
          </w:tcPr>
          <w:p>
            <w:pPr>
              <w:jc w:val="right"/>
              <w:ind w:right="2500"/>
              <w:spacing w:after="0"/>
              <w:rPr>
                <w:sz w:val="20"/>
                <w:szCs w:val="20"/>
                <w:color w:val="auto"/>
              </w:rPr>
            </w:pPr>
            <w:r>
              <w:rPr>
                <w:rFonts w:ascii="Courier New" w:cs="Courier New" w:eastAsia="Courier New" w:hAnsi="Courier New"/>
                <w:sz w:val="16"/>
                <w:szCs w:val="16"/>
                <w:color w:val="auto"/>
                <w:w w:val="95"/>
              </w:rPr>
              <w:t>80202</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Richard C. Vanison</w:t>
            </w:r>
          </w:p>
        </w:tc>
        <w:tc>
          <w:tcPr>
            <w:tcW w:w="3800" w:type="dxa"/>
            <w:vAlign w:val="bottom"/>
          </w:tcPr>
          <w:p>
            <w:pPr>
              <w:ind w:left="880"/>
              <w:spacing w:after="0"/>
              <w:rPr>
                <w:sz w:val="20"/>
                <w:szCs w:val="20"/>
                <w:color w:val="auto"/>
              </w:rPr>
            </w:pPr>
            <w:r>
              <w:rPr>
                <w:rFonts w:ascii="Courier New" w:cs="Courier New" w:eastAsia="Courier New" w:hAnsi="Courier New"/>
                <w:sz w:val="16"/>
                <w:szCs w:val="16"/>
                <w:color w:val="auto"/>
              </w:rPr>
              <w:t>Vice President and Treasurer</w:t>
            </w: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Clark Estates, Inc.</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Management Services</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One Rockefeller Plaza, 31st Floor</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980" w:type="dxa"/>
            <w:vAlign w:val="bottom"/>
          </w:tcPr>
          <w:p>
            <w:pPr>
              <w:ind w:left="240"/>
              <w:spacing w:after="0"/>
              <w:rPr>
                <w:sz w:val="20"/>
                <w:szCs w:val="20"/>
                <w:color w:val="auto"/>
              </w:rPr>
            </w:pPr>
            <w:r>
              <w:rPr>
                <w:rFonts w:ascii="Courier New" w:cs="Courier New" w:eastAsia="Courier New" w:hAnsi="Courier New"/>
                <w:sz w:val="16"/>
                <w:szCs w:val="16"/>
                <w:color w:val="auto"/>
                <w:w w:val="99"/>
              </w:rPr>
              <w:t>New York, New York</w:t>
            </w:r>
          </w:p>
        </w:tc>
        <w:tc>
          <w:tcPr>
            <w:tcW w:w="3060" w:type="dxa"/>
            <w:vAlign w:val="bottom"/>
          </w:tcPr>
          <w:p>
            <w:pPr>
              <w:jc w:val="right"/>
              <w:ind w:right="2320"/>
              <w:spacing w:after="0"/>
              <w:rPr>
                <w:sz w:val="20"/>
                <w:szCs w:val="20"/>
                <w:color w:val="auto"/>
              </w:rPr>
            </w:pPr>
            <w:r>
              <w:rPr>
                <w:rFonts w:ascii="Courier New" w:cs="Courier New" w:eastAsia="Courier New" w:hAnsi="Courier New"/>
                <w:sz w:val="16"/>
                <w:szCs w:val="16"/>
                <w:color w:val="auto"/>
              </w:rPr>
              <w:t>10020</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William T. Burdick</w:t>
            </w:r>
          </w:p>
        </w:tc>
        <w:tc>
          <w:tcPr>
            <w:tcW w:w="3800" w:type="dxa"/>
            <w:vAlign w:val="bottom"/>
          </w:tcPr>
          <w:p>
            <w:pPr>
              <w:ind w:left="880"/>
              <w:spacing w:after="0"/>
              <w:rPr>
                <w:sz w:val="20"/>
                <w:szCs w:val="20"/>
                <w:color w:val="auto"/>
              </w:rPr>
            </w:pPr>
            <w:r>
              <w:rPr>
                <w:rFonts w:ascii="Courier New" w:cs="Courier New" w:eastAsia="Courier New" w:hAnsi="Courier New"/>
                <w:sz w:val="16"/>
                <w:szCs w:val="16"/>
                <w:color w:val="auto"/>
              </w:rPr>
              <w:t>Secretary</w:t>
            </w: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Clark Estates, Inc.</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Management Services</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One Rockefeller Plaza, 31st Floor</w:t>
            </w:r>
          </w:p>
        </w:tc>
      </w:tr>
      <w:tr>
        <w:trPr>
          <w:trHeight w:val="185"/>
        </w:trPr>
        <w:tc>
          <w:tcPr>
            <w:tcW w:w="2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980" w:type="dxa"/>
            <w:vAlign w:val="bottom"/>
          </w:tcPr>
          <w:p>
            <w:pPr>
              <w:ind w:left="240"/>
              <w:spacing w:after="0"/>
              <w:rPr>
                <w:sz w:val="20"/>
                <w:szCs w:val="20"/>
                <w:color w:val="auto"/>
              </w:rPr>
            </w:pPr>
            <w:r>
              <w:rPr>
                <w:rFonts w:ascii="Courier New" w:cs="Courier New" w:eastAsia="Courier New" w:hAnsi="Courier New"/>
                <w:sz w:val="16"/>
                <w:szCs w:val="16"/>
                <w:color w:val="auto"/>
                <w:w w:val="99"/>
              </w:rPr>
              <w:t>New York, New York</w:t>
            </w:r>
          </w:p>
        </w:tc>
        <w:tc>
          <w:tcPr>
            <w:tcW w:w="3060" w:type="dxa"/>
            <w:vAlign w:val="bottom"/>
          </w:tcPr>
          <w:p>
            <w:pPr>
              <w:jc w:val="right"/>
              <w:ind w:right="2320"/>
              <w:spacing w:after="0"/>
              <w:rPr>
                <w:sz w:val="20"/>
                <w:szCs w:val="20"/>
                <w:color w:val="auto"/>
              </w:rPr>
            </w:pPr>
            <w:r>
              <w:rPr>
                <w:rFonts w:ascii="Courier New" w:cs="Courier New" w:eastAsia="Courier New" w:hAnsi="Courier New"/>
                <w:sz w:val="16"/>
                <w:szCs w:val="16"/>
                <w:color w:val="auto"/>
              </w:rPr>
              <w:t>10020</w:t>
            </w:r>
          </w:p>
        </w:tc>
      </w:tr>
    </w:tbl>
    <w:p>
      <w:pPr>
        <w:spacing w:after="0" w:line="375" w:lineRule="exact"/>
        <w:rPr>
          <w:sz w:val="20"/>
          <w:szCs w:val="20"/>
          <w:color w:val="auto"/>
        </w:rPr>
      </w:pPr>
    </w:p>
    <w:p>
      <w:pPr>
        <w:ind w:right="4420"/>
        <w:spacing w:after="0" w:line="242" w:lineRule="auto"/>
        <w:rPr>
          <w:sz w:val="20"/>
          <w:szCs w:val="20"/>
          <w:color w:val="auto"/>
        </w:rPr>
      </w:pPr>
      <w:r>
        <w:rPr>
          <w:rFonts w:ascii="Courier New" w:cs="Courier New" w:eastAsia="Courier New" w:hAnsi="Courier New"/>
          <w:sz w:val="16"/>
          <w:szCs w:val="16"/>
          <w:color w:val="auto"/>
        </w:rPr>
        <w:t>All of the executive officers and directors of The Clark Estates, Inc. are United States citizens.</w:t>
      </w:r>
    </w:p>
    <w:p>
      <w:pPr>
        <w:spacing w:after="0" w:line="18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(Page 7 of 7 pages)</w:t>
      </w:r>
    </w:p>
    <w:sectPr>
      <w:pgSz w:w="11900" w:h="16838" w:orient="portrait"/>
      <w:cols w:equalWidth="0" w:num="1">
        <w:col w:w="11520"/>
      </w:cols>
      <w:pgMar w:left="240" w:top="48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lvl w:ilvl="1">
      <w:lvlJc w:val="left"/>
      <w:lvlText w:val="(%2)"/>
      <w:numFmt w:val="lowerLetter"/>
      <w:start w:val="1"/>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1."/>
      <w:numFmt w:val="decimal"/>
      <w:start w:val="1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lvl w:ilvl="1">
      <w:lvlJc w:val="left"/>
      <w:lvlText w:val="(%2)"/>
      <w:numFmt w:val="lowerLetter"/>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2019-12-20T01:54:43Z</dcterms:created>
  <dcterms:modified xsi:type="dcterms:W3CDTF">2019-12-20T01:54:43Z</dcterms:modified>
</cp:coreProperties>
</file>