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ind w:left="3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-234315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1"/>
        </w:trPr>
        <w:tc>
          <w:tcPr>
            <w:tcW w:w="626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5255260</wp:posOffset>
            </wp:positionH>
            <wp:positionV relativeFrom="paragraph">
              <wp:posOffset>-619125</wp:posOffset>
            </wp:positionV>
            <wp:extent cx="57785" cy="6324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3968115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-1649095</wp:posOffset>
            </wp:positionH>
            <wp:positionV relativeFrom="paragraph">
              <wp:posOffset>13970</wp:posOffset>
            </wp:positionV>
            <wp:extent cx="7047230" cy="44373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437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40" w:space="340"/>
            <w:col w:w="8500"/>
          </w:cols>
          <w:pgMar w:left="460" w:top="220" w:right="359" w:bottom="1440" w:gutter="0" w:footer="0" w:header="0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0"/>
          <w:szCs w:val="20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KANTER HARVEY S</w:t>
        </w:r>
      </w:hyperlink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DESTINATION XL GROUP, INC.</w:t>
      </w:r>
    </w:p>
    <w:p>
      <w:pPr>
        <w:spacing w:after="0" w:line="5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555 TURNPIKE STREET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3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CANTON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02021</w:t>
            </w: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3820" w:type="dxa"/>
            <w:vAlign w:val="bottom"/>
            <w:gridSpan w:val="4"/>
          </w:tcPr>
          <w:p>
            <w:pPr>
              <w:ind w:left="60"/>
              <w:spacing w:after="0" w:line="200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[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DXLG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 w:line="1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03/23/2023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2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President and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80"/>
        <w:spacing w:after="0" w:line="214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00"/>
            <w:col w:w="7240"/>
          </w:cols>
          <w:pgMar w:left="460" w:top="220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9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 Derivative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 (Instr. 3 and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Common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90,456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8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8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03/23/2023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90,456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5"/>
              </w:rPr>
              <w:t>03/23/2033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2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90,456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260"/>
        <w:spacing w:after="0" w:line="244" w:lineRule="auto"/>
        <w:tabs>
          <w:tab w:leader="none" w:pos="16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("RSUs") for performance-based compensation granted to the Reporting Person based on the Company's performance over the applicable performance period under the 2020-2022 Long-Term Incentive Plan. The RSU's vest August 31, 2023.</w:t>
      </w:r>
    </w:p>
    <w:p>
      <w:pPr>
        <w:spacing w:after="0" w:line="2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Each RSU, as defined in the Company's 2016 Incentive Compensation Plan, represents a contingent right to receive one share of DXLG common stock.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Harvey S. Kanter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03/27/2023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2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2404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2023-03-27T15:46:10Z</dcterms:created>
  <dcterms:modified xsi:type="dcterms:W3CDTF">2023-03-27T15:46:10Z</dcterms:modified>
</cp:coreProperties>
</file>