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00" w:type="dxa"/>
        <w:tblCellMar>
          <w:top w:w="0" w:type="dxa"/>
          <w:left w:w="0" w:type="dxa"/>
          <w:bottom w:w="0" w:type="dxa"/>
          <w:right w:w="0" w:type="dxa"/>
        </w:tblCellMar>
      </w:tblPr>
      <w:tr>
        <w:trPr>
          <w:trHeight w:val="214"/>
        </w:trPr>
        <w:tc>
          <w:tcPr>
            <w:tcW w:w="6120" w:type="dxa"/>
            <w:vAlign w:val="bottom"/>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6120" w:type="dxa"/>
            <w:vAlign w:val="bottom"/>
          </w:tcPr>
          <w:p>
            <w:pPr>
              <w:jc w:val="center"/>
              <w:ind w:right="34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120" w:type="dxa"/>
            <w:vAlign w:val="bottom"/>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90"/>
        </w:trPr>
        <w:tc>
          <w:tcPr>
            <w:tcW w:w="6120" w:type="dxa"/>
            <w:vAlign w:val="bottom"/>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20" w:type="dxa"/>
            <w:vAlign w:val="bottom"/>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(781) 828-9300</w:t>
            </w:r>
          </w:p>
        </w:tc>
        <w:tc>
          <w:tcPr>
            <w:tcW w:w="1500" w:type="dxa"/>
            <w:vAlign w:val="bottom"/>
          </w:tcPr>
          <w:p>
            <w:pPr>
              <w:spacing w:after="0"/>
              <w:rPr>
                <w:sz w:val="24"/>
                <w:szCs w:val="24"/>
                <w:color w:val="auto"/>
              </w:rPr>
            </w:pPr>
          </w:p>
        </w:tc>
      </w:tr>
      <w:tr>
        <w:trPr>
          <w:trHeight w:val="190"/>
        </w:trPr>
        <w:tc>
          <w:tcPr>
            <w:tcW w:w="6120" w:type="dxa"/>
            <w:vAlign w:val="bottom"/>
          </w:tcPr>
          <w:p>
            <w:pPr>
              <w:jc w:val="center"/>
              <w:ind w:left="20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5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August 1, 2014 was 50,638,196.</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2"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2, 2014 and February 1,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2, 2014</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 2014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(Fiscal 2013)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gridSpan w:val="4"/>
          </w:tcPr>
          <w:p>
            <w:pPr>
              <w:jc w:val="right"/>
              <w:ind w:right="251"/>
              <w:spacing w:after="0" w:line="118" w:lineRule="exact"/>
              <w:rPr>
                <w:sz w:val="20"/>
                <w:szCs w:val="20"/>
                <w:color w:val="auto"/>
              </w:rPr>
            </w:pPr>
            <w:r>
              <w:rPr>
                <w:rFonts w:ascii="Times New Roman" w:cs="Times New Roman" w:eastAsia="Times New Roman" w:hAnsi="Times New Roman"/>
                <w:sz w:val="13"/>
                <w:szCs w:val="13"/>
                <w:color w:val="auto"/>
              </w:rPr>
              <w:t>(In thousands, except share data)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5,567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6,428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116,028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136,970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126,441</w:t>
            </w:r>
          </w:p>
        </w:tc>
        <w:tc>
          <w:tcPr>
            <w:tcW w:w="0" w:type="dxa"/>
            <w:vAlign w:val="bottom"/>
          </w:tcPr>
          <w:p>
            <w:pPr>
              <w:spacing w:after="0"/>
              <w:rPr>
                <w:sz w:val="1"/>
                <w:szCs w:val="1"/>
                <w:color w:val="auto"/>
              </w:rPr>
            </w:pP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111,866</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255,942</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6,457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gain on sale-leaseback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1,465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33,921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27,929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25,695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95,467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16,154</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and lease incentives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25,458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gain on sale-leaseback, net of current portion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15,387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61,038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56,183</w:t>
            </w:r>
          </w:p>
        </w:tc>
        <w:tc>
          <w:tcPr>
            <w:tcW w:w="0" w:type="dxa"/>
            <w:vAlign w:val="bottom"/>
          </w:tcPr>
          <w:p>
            <w:pPr>
              <w:spacing w:after="0"/>
              <w:rPr>
                <w:sz w:val="1"/>
                <w:szCs w:val="1"/>
                <w:color w:val="auto"/>
              </w:rPr>
            </w:pPr>
          </w:p>
        </w:tc>
      </w:tr>
      <w:tr>
        <w:trPr>
          <w:trHeight w:val="33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61,515,635 and 61,473,083 shares issued at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August 2, 2014 and February 1, 2014,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298,151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10,877,439 shares at August 2, 2014 and February 1, 2014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(87,977)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(107,176)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(4,176)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99,437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255,942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60" w:type="dxa"/>
            <w:vAlign w:val="bottom"/>
          </w:tcPr>
          <w:p>
            <w:pPr>
              <w:spacing w:after="0"/>
              <w:rPr>
                <w:sz w:val="13"/>
                <w:szCs w:val="13"/>
                <w:color w:val="auto"/>
              </w:rPr>
            </w:pPr>
          </w:p>
        </w:tc>
        <w:tc>
          <w:tcPr>
            <w:tcW w:w="22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August 2, 2014</w:t>
            </w:r>
          </w:p>
        </w:tc>
        <w:tc>
          <w:tcPr>
            <w:tcW w:w="240" w:type="dxa"/>
            <w:vAlign w:val="bottom"/>
          </w:tcPr>
          <w:p>
            <w:pPr>
              <w:spacing w:after="0"/>
              <w:rPr>
                <w:sz w:val="12"/>
                <w:szCs w:val="12"/>
                <w:color w:val="auto"/>
              </w:rPr>
            </w:pPr>
          </w:p>
        </w:tc>
        <w:tc>
          <w:tcPr>
            <w:tcW w:w="144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August 3, 2013</w:t>
            </w:r>
          </w:p>
        </w:tc>
        <w:tc>
          <w:tcPr>
            <w:tcW w:w="148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August 2, 2014</w:t>
            </w:r>
          </w:p>
        </w:tc>
        <w:tc>
          <w:tcPr>
            <w:tcW w:w="10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August 3, 2013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240" w:type="dxa"/>
            <w:vAlign w:val="bottom"/>
          </w:tcPr>
          <w:p>
            <w:pPr>
              <w:spacing w:after="0"/>
              <w:rPr>
                <w:sz w:val="15"/>
                <w:szCs w:val="15"/>
                <w:color w:val="auto"/>
              </w:rPr>
            </w:pPr>
          </w:p>
        </w:tc>
        <w:tc>
          <w:tcPr>
            <w:tcW w:w="14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(Fiscal 2013)</w:t>
            </w:r>
          </w:p>
        </w:tc>
        <w:tc>
          <w:tcPr>
            <w:tcW w:w="14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(Fiscal 2013)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6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103,707</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98,046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200,474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56,285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52,797</w:t>
            </w:r>
          </w:p>
        </w:tc>
        <w:tc>
          <w:tcPr>
            <w:tcW w:w="2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109,123</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47,422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45,249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91,351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89,587</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45,242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43,077</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86,819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4,513</w:t>
            </w:r>
          </w:p>
        </w:tc>
        <w:tc>
          <w:tcPr>
            <w:tcW w:w="2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11,128</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50,940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47,590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97,947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89,947</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(3,518)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(2,341)</w:t>
            </w:r>
          </w:p>
        </w:tc>
        <w:tc>
          <w:tcPr>
            <w:tcW w:w="2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(6,596)</w:t>
            </w:r>
          </w:p>
        </w:tc>
        <w:tc>
          <w:tcPr>
            <w:tcW w:w="2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(3,969)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(2,582)</w:t>
            </w:r>
          </w:p>
        </w:tc>
        <w:tc>
          <w:tcPr>
            <w:tcW w:w="2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(7,458)</w:t>
            </w:r>
          </w:p>
        </w:tc>
        <w:tc>
          <w:tcPr>
            <w:tcW w:w="2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(4,032)</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(1,587)</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(7,568)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0.08)</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0.16)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48,743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48,479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48,699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48,743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48,479</w:t>
            </w:r>
          </w:p>
        </w:tc>
        <w:tc>
          <w:tcPr>
            <w:tcW w:w="2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48,699</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taxes: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Pension plan</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p>
      <w:pPr>
        <w:spacing w:after="0" w:line="27" w:lineRule="exact"/>
        <w:rPr>
          <w:sz w:val="20"/>
          <w:szCs w:val="20"/>
          <w:color w:val="auto"/>
        </w:rPr>
      </w:pPr>
    </w:p>
    <w:p>
      <w:pPr>
        <w:ind w:left="180" w:right="40" w:hanging="179"/>
        <w:spacing w:after="0" w:line="261" w:lineRule="auto"/>
        <w:rPr>
          <w:sz w:val="20"/>
          <w:szCs w:val="20"/>
          <w:color w:val="auto"/>
        </w:rPr>
      </w:pPr>
      <w:r>
        <w:rPr>
          <w:rFonts w:ascii="Times New Roman" w:cs="Times New Roman" w:eastAsia="Times New Roman" w:hAnsi="Times New Roman"/>
          <w:sz w:val="18"/>
          <w:szCs w:val="18"/>
          <w:color w:val="auto"/>
        </w:rPr>
        <w:t>Tax (provision) benefit related to items of other comprehensive income (loss)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Six Months Ended</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August 2, 2014</w:t>
            </w: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August 3, 2013</w:t>
            </w: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August 2, 2014</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August 3, 2013</w:t>
            </w:r>
          </w:p>
        </w:tc>
      </w:tr>
      <w:tr>
        <w:trPr>
          <w:trHeight w:val="173"/>
        </w:trPr>
        <w:tc>
          <w:tcPr>
            <w:tcW w:w="2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(Fiscal 2013)</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(Fiscal 2013)</w:t>
            </w:r>
          </w:p>
        </w:tc>
      </w:tr>
      <w:tr>
        <w:trPr>
          <w:trHeight w:val="232"/>
        </w:trPr>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w:t>
            </w:r>
          </w:p>
        </w:tc>
        <w:tc>
          <w:tcPr>
            <w:tcW w:w="600" w:type="dxa"/>
            <w:vAlign w:val="bottom"/>
            <w:gridSpan w:val="2"/>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(1,587)</w:t>
            </w:r>
          </w:p>
        </w:tc>
        <w:tc>
          <w:tcPr>
            <w:tcW w:w="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(7,568)</w:t>
            </w:r>
          </w:p>
        </w:tc>
        <w:tc>
          <w:tcPr>
            <w:tcW w:w="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20"/>
                <w:szCs w:val="20"/>
                <w:color w:val="auto"/>
              </w:rPr>
            </w:pPr>
          </w:p>
        </w:tc>
      </w:tr>
      <w:tr>
        <w:trPr>
          <w:trHeight w:val="38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107</w:t>
            </w:r>
          </w:p>
        </w:tc>
        <w:tc>
          <w:tcPr>
            <w:tcW w:w="4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277</w:t>
            </w:r>
          </w:p>
        </w:tc>
        <w:tc>
          <w:tcPr>
            <w:tcW w:w="4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r>
        <w:trPr>
          <w:trHeight w:val="232"/>
        </w:trPr>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w:t>
            </w:r>
          </w:p>
        </w:tc>
        <w:tc>
          <w:tcPr>
            <w:tcW w:w="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-985520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-702310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-410845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80" w:space="720"/>
            <w:col w:w="552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6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b w:val="1"/>
                <w:bCs w:val="1"/>
                <w:color w:val="auto"/>
              </w:rPr>
              <w:t>153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b w:val="1"/>
                <w:bCs w:val="1"/>
                <w:color w:val="auto"/>
              </w:rPr>
              <w:t>384</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21</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(3,879)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(1,592)</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(7,184)</w:t>
            </w:r>
          </w:p>
        </w:tc>
        <w:tc>
          <w:tcPr>
            <w:tcW w:w="6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August 2, 2014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0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72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7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Amounts</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Deficit</w:t>
            </w: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9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 2014</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615</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296,501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(87,977)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(99,608)</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104,971</w:t>
            </w: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1,463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restricted stock, net of issuances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 compensation</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Unrecognized loss associated with Pension</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Plan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August 2, 2014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615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298,151</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(87,977</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(107,176</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center"/>
              <w:ind w:left="331"/>
              <w:spacing w:after="0"/>
              <w:rPr>
                <w:sz w:val="20"/>
                <w:szCs w:val="20"/>
                <w:color w:val="auto"/>
              </w:rPr>
            </w:pPr>
            <w:r>
              <w:rPr>
                <w:rFonts w:ascii="Times New Roman" w:cs="Times New Roman" w:eastAsia="Times New Roman" w:hAnsi="Times New Roman"/>
                <w:sz w:val="14"/>
                <w:szCs w:val="14"/>
                <w:color w:val="auto"/>
              </w:rPr>
              <w:t>Six Months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August 2, 2014</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August 3, 2013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6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(Fiscal 2013)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8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(7,568)</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Amortization of deferred gain on sale leaseback</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(733)</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11,128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1,463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Issuance of common stock to Board of Directors</w:t>
            </w:r>
          </w:p>
        </w:tc>
        <w:tc>
          <w:tcPr>
            <w:tcW w:w="2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106</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1,919</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(10,472)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(953)</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976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rent and lease incentives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2,623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(1,506)</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(2,672)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(18,930)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(18,930)</w:t>
            </w:r>
          </w:p>
        </w:tc>
        <w:tc>
          <w:tcPr>
            <w:tcW w:w="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81</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8,912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(3,007)</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borrowings under credit facility</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16,666</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22,625</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24"/>
                <w:szCs w:val="24"/>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1,023</w:t>
            </w:r>
          </w:p>
        </w:tc>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4,544</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5,567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(formerly known as Casual Male Retail Group, Inc. and collectively with its subsidiaries is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2014 included in the Company’s Annual Report on Form 10-K, which was filed with the Securities and Exchange Commission on March 17, 2014.</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2014 and Fiscal 2013 are 52-week periods ending January 31, 2015 and February 1, 2014,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ShoesXL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fiscal 2014, the Company is reporting revenue from its on-site tailoring and the related tailoring costs associated with such revenue as part of “Sales” and “Cost of Goods Sold Including Occupancy Costs”, respectively, on the Consolidated Statement of Operations. The Company has reclassified the revenue and related cost of goods sold for the second quarter and first six months of fiscal 2013 from “Selling, General and Administrative Expenses”, where the amounts were previously netted, to “Sales” and “Cost of Goods Sold Including Occupancy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1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At August 2, 2014, the “Casual Male” trademark had a carrying value of $1.9 million and is considered a definite-lived asset. The Company is amortizing the remaining carrying value of $1.9 million on an accelerated basis, consistent with projected cash flows through fiscal 2018, its estimated remaining useful life.</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“Rochester” trademark is considered an indefinite-lived intangible asset and has a carrying value of $1.5 million. During the first six months of fiscal 2014, no event or circumstance occurred which would cause a reduction in the fair value of the Company’s reporting units, requiring interim testing of the Company’s “Rochester” trademark.</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Financial Instruments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ASC Topic 825, Financial Instruments, requires disclosure of the fair value of certain financial instruments. ASC Topic 820, Fair Value Measurements and Disclosures, defines fair value, establishes a framework for measuring fair value and enhances disclosures about fair value measurements.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fair value of long-term debt is classified within Level 2 of the valuation hierarchy. At August 2, 2014 the fair value approximates the carrying amount based upon terms available to the Company for borrowings with similar arrangements and remaining maturities.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68"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Accumulated Other Comprehensive Income (Loss) - (“AOCI”)</w:t>
      </w:r>
    </w:p>
    <w:p>
      <w:pPr>
        <w:spacing w:after="0" w:line="11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six months ended August 2, 2014 and August 3, 2013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August 2, 2014</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August 3, 2013</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Pension</w:t>
            </w:r>
          </w:p>
        </w:tc>
        <w:tc>
          <w:tcPr>
            <w:tcW w:w="200" w:type="dxa"/>
            <w:vAlign w:val="bottom"/>
          </w:tcPr>
          <w:p>
            <w:pPr>
              <w:spacing w:after="0"/>
              <w:rPr>
                <w:sz w:val="10"/>
                <w:szCs w:val="10"/>
                <w:color w:val="auto"/>
              </w:rPr>
            </w:pPr>
          </w:p>
        </w:tc>
        <w:tc>
          <w:tcPr>
            <w:tcW w:w="8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540" w:type="dxa"/>
            <w:vAlign w:val="bottom"/>
            <w:gridSpan w:val="5"/>
          </w:tcPr>
          <w:p>
            <w:pPr>
              <w:jc w:val="right"/>
              <w:ind w:right="400"/>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0"/>
                <w:szCs w:val="10"/>
                <w:color w:val="auto"/>
              </w:rPr>
            </w:pPr>
          </w:p>
        </w:tc>
        <w:tc>
          <w:tcPr>
            <w:tcW w:w="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Foreign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For the three months ended:</w:t>
            </w: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Pension</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Plans</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Currency</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Plans</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Currency</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quarter</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$(4,408)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$(4,329)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net of</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15"/>
                <w:szCs w:val="15"/>
                <w:color w:val="auto"/>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quarter</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(4,270)</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(4,176)</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(5,635)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August 2, 2014</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August 3, 2013</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Pension</w:t>
            </w:r>
          </w:p>
        </w:tc>
        <w:tc>
          <w:tcPr>
            <w:tcW w:w="200" w:type="dxa"/>
            <w:vAlign w:val="bottom"/>
          </w:tcPr>
          <w:p>
            <w:pPr>
              <w:spacing w:after="0"/>
              <w:rPr>
                <w:sz w:val="10"/>
                <w:szCs w:val="10"/>
                <w:color w:val="auto"/>
              </w:rPr>
            </w:pPr>
          </w:p>
        </w:tc>
        <w:tc>
          <w:tcPr>
            <w:tcW w:w="8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540" w:type="dxa"/>
            <w:vAlign w:val="bottom"/>
            <w:gridSpan w:val="5"/>
          </w:tcPr>
          <w:p>
            <w:pPr>
              <w:jc w:val="right"/>
              <w:ind w:right="400"/>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0"/>
                <w:szCs w:val="10"/>
                <w:color w:val="auto"/>
              </w:rPr>
            </w:pPr>
          </w:p>
        </w:tc>
        <w:tc>
          <w:tcPr>
            <w:tcW w:w="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Foreign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For the six months ended:</w:t>
            </w: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Pension</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Plans</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Currency</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Plans</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Currency</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$(4,547)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$(4,560)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$(5,828)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net of</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15"/>
                <w:szCs w:val="15"/>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quarter</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(4,270)</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(4,176)</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(5,635)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60" w:right="4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(gain)/loss on pension plans which was charged to “Selling, General and Administrative” Expense on the Consolidated Statement of Operations for all periods presented. The amortization of the unrecognized loss, before tax, was $56,000 and $92,000 for the three months ended August 2, 2014 and August 3, 2013, respectively. The corresponding tax benefit was $35,000 for the three months ended August 3, 2013. There was no tax benefit for the three months ended August 2, 2014.</w:t>
      </w:r>
    </w:p>
    <w:p>
      <w:pPr>
        <w:spacing w:after="0" w:line="2" w:lineRule="exact"/>
        <w:rPr>
          <w:rFonts w:ascii="Times New Roman" w:cs="Times New Roman" w:eastAsia="Times New Roman" w:hAnsi="Times New Roman"/>
          <w:sz w:val="18"/>
          <w:szCs w:val="18"/>
          <w:color w:val="auto"/>
        </w:rPr>
      </w:pPr>
    </w:p>
    <w:p>
      <w:pPr>
        <w:ind w:left="460" w:right="24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August 2, 2014 and August 3, 2013, the amortization of the unrecognized loss, before tax, was $113,000 and $176,000, respectively. The corresponding tax benefit was $69,000 for the six months ended August 3, 2013. There was no tax benefit for the six months ended August 2,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from the Company’s retail store operation is recorded upon purchase of merchandise by customers, net of an allowance for sales returns. Revenue from the Company’s catalog and e-commerce operations is recognized at the time a customer order is delivered, net of an allowance for sales returns. Revenue is recognized by the operating segment that fulfills a customer’s order.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7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w:t>
      </w:r>
      <w:r>
        <w:rPr>
          <w:rFonts w:ascii="Times New Roman" w:cs="Times New Roman" w:eastAsia="Times New Roman" w:hAnsi="Times New Roman"/>
          <w:sz w:val="18"/>
          <w:szCs w:val="18"/>
          <w:i w:val="1"/>
          <w:iCs w:val="1"/>
          <w:color w:val="auto"/>
        </w:rPr>
        <w:t>Presentation of Financial Statements (Top 205): Reporting Discontinued Operations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Disposals of Components of an Entity </w:t>
      </w:r>
      <w:r>
        <w:rPr>
          <w:rFonts w:ascii="Times New Roman" w:cs="Times New Roman" w:eastAsia="Times New Roman" w:hAnsi="Times New Roman"/>
          <w:sz w:val="18"/>
          <w:szCs w:val="18"/>
          <w:color w:val="auto"/>
        </w:rPr>
        <w:t>(“ASU 2014-08”). The objective of ASU No. 2014-08 is to clarify the criteria for determining which disposals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discontinued operations and also modifies related disclosure requirements. The standard is required to be adopted by public business entities in annual periods beginning on or after December 15, 2014, and interim periods within those annual periods. Early adoption is permitted for new disposals beginning in the first quarter of 2014, provided financial statements have not been issued before the release of this standard.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supersedes the revenue recognition requirements in</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ASC 605, “Revenue Recognition,” as well as various other sections of the ASC, such as, but not limited to, ASC 340-20, “Other Assets and Deferred Costs-Capitalized Advertising Costs.” The core principle of ASU 2014-09 is that an entity should recognize revenue in a way that depicts the transfer of promised 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ASU 2014-09 is effective for fiscal years, and interim periods within those years, beginning after December 15, 2016,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not permitted. The Company is in the process of evaluating the impact of ASU 2014-09 on its Consolidated Financial Statements, including the choice of retrospective application upon adoption.</w:t>
      </w:r>
    </w:p>
    <w:p>
      <w:pPr>
        <w:sectPr>
          <w:pgSz w:w="11900" w:h="16838" w:orient="portrait"/>
          <w:cols w:equalWidth="0" w:num="1">
            <w:col w:w="11420"/>
          </w:cols>
          <w:pgMar w:left="240" w:top="268"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8" w:right="239" w:bottom="1440" w:gutter="0" w:footer="0" w:header="0"/>
          <w:type w:val="continuous"/>
        </w:sectPr>
      </w:pPr>
    </w:p>
    <w:bookmarkStart w:id="9" w:name="page10"/>
    <w:bookmarkEnd w:id="9"/>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Bank of America, N.A.</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June 26, 2013, the Company amended its credit facility with Bank of America, N.A by executing the First Amendment to the Sixth Amended and Restated Loan and Security Agreement (as amended, the “Credit Facility”).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Facility provides for a maximum committed borrowing of $100 million, which, pursuant to an accordion feature, may be increased to $150 million upon the request of the Company and the agreement of the lender(s) participating in the increase. The Credit Facility includes a sublimit of $20 million for commercial and standby letter of credits or the sublimit of up to $15 million for swingline loans. The Company’s ability to borrow under the Credit Facility is determined using an availability formula based on eligible assets. The maturity date of the Credit Facility is June 26, 2018. The Company’s obligations under the Credit Facility are secured by a lien on all of its assets.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made pursuant to the Credit Facility will bear interest at a rate equal to the base rate (determined as the highest of (a) Bank of America N.A.’s prime rate, (b) the Federal Funds rate plus 0.50% or (c) the annual LIBOR rate for the respective interest period) plus a varying percentage, based on the Company’s borrowing base, of 0.50%-0.75% for prime-based borrowings and 1.50%-1.75% for LIBOR-based borrowings. The Company is also subject to an unused line fee of 0.25%. At August 2, 2014, the Company’s prime-based interest rate was 3.75%. At August 2, 2014, the Company had approximately $20.0 million of its outstanding borrowings in a LIBOR-based contract with an interest rate of 1.65%. The LIBOR-based contracts expired August 7, 2014 through August 10, 2014.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August 2, 2014, the Company had outstanding borrowings under the Credit Facility of $25.7 million. Outstanding standby letters of credit were $2.2 million and documentary letters of credit were $1.1 million. Unused excess availability at August 2, 2014 was $71.0 million. Average monthly borrowings outstanding under the Credit Facility during the first six months of fiscal 2014 were $28.3 million, resulting in an average unused excess availability of approximately $65.2 million. The Company’s ability to borrow under the Credit Facility is determined using an availability formula based on eligible assets, with increased advance rates based on seasonality.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amount outstanding under the Credit Facility at August 2, 2014 approximated the carrying value.</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long-term debt are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60"/>
        </w:trPr>
        <w:tc>
          <w:tcPr>
            <w:tcW w:w="4780" w:type="dxa"/>
            <w:vAlign w:val="bottom"/>
            <w:gridSpan w:val="3"/>
            <w:vMerge w:val="continue"/>
          </w:tcPr>
          <w:p>
            <w:pPr>
              <w:spacing w:after="0"/>
              <w:rPr>
                <w:sz w:val="13"/>
                <w:szCs w:val="13"/>
                <w:color w:val="auto"/>
              </w:rPr>
            </w:pPr>
          </w:p>
        </w:tc>
        <w:tc>
          <w:tcPr>
            <w:tcW w:w="2560" w:type="dxa"/>
            <w:vAlign w:val="bottom"/>
            <w:gridSpan w:val="2"/>
          </w:tcPr>
          <w:p>
            <w:pPr>
              <w:jc w:val="right"/>
              <w:ind w:right="70"/>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1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$22,611</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9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16,154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a Master Loan and Security Agreement with Banc of America Leasing &amp; Capital, LLC, dated July 20, 2007 and amended September 30, 2013 (the “Master Agreement”), the Company has entered into twelve equipment security notes (in aggregate, the “Notes”). The Company has borrowed an aggregate of $26.4 million between September 2013 and June 2014, of which $8.9 million was borrowed during the first six months of fiscal 2014. The Notes are for a term of 48 months and accrue interest at fixed rates ranging from 3.07% and 3.50%. Principal and interest are paid monthly, in arrears.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66" w:right="259" w:bottom="1440" w:gutter="0" w:footer="0" w:header="0"/>
        </w:sectPr>
      </w:pPr>
    </w:p>
    <w:bookmarkStart w:id="10" w:name="page11"/>
    <w:bookmarkEnd w:id="10"/>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2013-2016 LTIP</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2013, the 2013-2016 Destination XL Group, Inc. Long-Term Incentive Plan (the “2013-2016 LTIP”) was approved and put into place.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Assuming the Company achieves the performance target and 100% of the Projected Benefit Amount vests, excluding estimated forfeitures, the total potential value of all awards over this four-year period, as of August 2, 2014, would be approximately $19.5 million. Approximately half of the compensation expense relates to the time-vested awards, which is being expensed over forty-four months, based on the respective vesting dates. As the performance targets were not deemed probable at August 2, 2014, no expense for the performance-based awards has been recognized through the first six months of fiscal 2014. However, as a result of two terminations during the first six months of fiscal 2014, the Company did recognize additional stock compensation expense of approximately $77,000 related to the partial pro-rata vesting of the performance awards that each former employee was entitled to pursuant to the terms of the 2013-2016 LTIP. In total, 10,200 shares of performance-related restricted stock vested and performance-related options to purchase 12,418 shares of common stock vested.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2006 Plan—Stock Option and Restricted Share Award Activity</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stock option activity and restricted share activity under the 2006 Plan for the first six months of fiscal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4040" w:type="dxa"/>
            <w:vAlign w:val="bottom"/>
            <w:gridSpan w:val="3"/>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0"/>
        </w:trPr>
        <w:tc>
          <w:tcPr>
            <w:tcW w:w="4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40" w:type="dxa"/>
            <w:vAlign w:val="bottom"/>
            <w:gridSpan w:val="3"/>
            <w:vMerge w:val="continue"/>
          </w:tcPr>
          <w:p>
            <w:pPr>
              <w:spacing w:after="0"/>
              <w:rPr>
                <w:sz w:val="15"/>
                <w:szCs w:val="15"/>
                <w:color w:val="auto"/>
              </w:rPr>
            </w:pPr>
          </w:p>
        </w:tc>
        <w:tc>
          <w:tcPr>
            <w:tcW w:w="112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3"/>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9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options at beginning of year</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2,721,569</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5"/>
              </w:rPr>
              <w:t>4.95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(87,306)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Options exercised </w:t>
            </w:r>
            <w:r>
              <w:rPr>
                <w:rFonts w:ascii="Times New Roman" w:cs="Times New Roman" w:eastAsia="Times New Roman" w:hAnsi="Times New Roman"/>
                <w:sz w:val="15"/>
                <w:szCs w:val="15"/>
                <w:color w:val="auto"/>
              </w:rPr>
              <w:t>(1)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years</w:t>
            </w:r>
          </w:p>
        </w:tc>
        <w:tc>
          <w:tcPr>
            <w:tcW w:w="1380" w:type="dxa"/>
            <w:vAlign w:val="bottom"/>
            <w:gridSpan w:val="5"/>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$671,295</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340,069</w:t>
            </w:r>
          </w:p>
        </w:tc>
        <w:tc>
          <w:tcPr>
            <w:tcW w:w="34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138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$329,714</w:t>
            </w:r>
          </w:p>
        </w:tc>
        <w:tc>
          <w:tcPr>
            <w:tcW w:w="0" w:type="dxa"/>
            <w:vAlign w:val="bottom"/>
          </w:tcPr>
          <w:p>
            <w:pPr>
              <w:spacing w:after="0"/>
              <w:rPr>
                <w:sz w:val="1"/>
                <w:szCs w:val="1"/>
                <w:color w:val="auto"/>
              </w:rPr>
            </w:pPr>
          </w:p>
        </w:tc>
      </w:tr>
      <w:tr>
        <w:trPr>
          <w:trHeight w:val="441"/>
        </w:trPr>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The intrinsic value of options exercised was immaterial.</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4"/>
                <w:szCs w:val="24"/>
                <w:color w:val="auto"/>
              </w:rPr>
            </w:pPr>
          </w:p>
        </w:tc>
        <w:tc>
          <w:tcPr>
            <w:tcW w:w="2480" w:type="dxa"/>
            <w:vAlign w:val="bottom"/>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6"/>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4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6"/>
          </w:tcPr>
          <w:p>
            <w:pPr>
              <w:jc w:val="center"/>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Restricted shares outstanding at beginning of year</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2,017,940</w:t>
            </w: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 granted</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74,018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Deferred shares granted </w:t>
            </w:r>
            <w:r>
              <w:rPr>
                <w:rFonts w:ascii="Times New Roman" w:cs="Times New Roman" w:eastAsia="Times New Roman" w:hAnsi="Times New Roman"/>
                <w:sz w:val="15"/>
                <w:szCs w:val="15"/>
                <w:color w:val="auto"/>
              </w:rPr>
              <w:t>(2)</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 vested</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(143,203)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canceled</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(67,974)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Restricted and Deferred shares outstanding at end of quarter</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1,886,229</w:t>
            </w:r>
          </w:p>
        </w:tc>
        <w:tc>
          <w:tcPr>
            <w:tcW w:w="2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74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 restricted share is equal to the Company’s closing stock price on the date of grant.</w:t>
      </w:r>
    </w:p>
    <w:p>
      <w:pPr>
        <w:spacing w:after="0" w:line="27"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six months of fiscal 2014, the Company granted 5,448 shares of deferred stock, with a fair value of approximately $28,560 to a director as compensation in lieu of cash and in accordance with his irrevocable election. The shares of deferred stock will vest three years from the date of grant. The Company is recognizing compensation expense over the respective vesting periods.</w:t>
      </w:r>
    </w:p>
    <w:p>
      <w:pPr>
        <w:spacing w:after="0" w:line="29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u w:val="single" w:color="auto"/>
          <w:color w:val="auto"/>
        </w:rPr>
        <w:t>1992 Stock Incentive Plan (the “1992 Plan”)—Stock Option Activity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1992 Plan for the first six months of fiscal 2014:</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360" w:type="dxa"/>
            <w:vAlign w:val="bottom"/>
            <w:gridSpan w:val="2"/>
            <w:vMerge w:val="continue"/>
          </w:tcPr>
          <w:p>
            <w:pPr>
              <w:spacing w:after="0"/>
              <w:rPr>
                <w:sz w:val="12"/>
                <w:szCs w:val="12"/>
                <w:color w:val="auto"/>
              </w:rPr>
            </w:pPr>
          </w:p>
        </w:tc>
        <w:tc>
          <w:tcPr>
            <w:tcW w:w="1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800" w:type="dxa"/>
            <w:vAlign w:val="bottom"/>
            <w:gridSpan w:val="2"/>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4840" w:type="dxa"/>
            <w:vAlign w:val="bottom"/>
            <w:gridSpan w:val="3"/>
            <w:vMerge w:val="continue"/>
          </w:tcPr>
          <w:p>
            <w:pPr>
              <w:spacing w:after="0"/>
              <w:rPr>
                <w:sz w:val="13"/>
                <w:szCs w:val="13"/>
                <w:color w:val="auto"/>
              </w:rPr>
            </w:pPr>
          </w:p>
        </w:tc>
        <w:tc>
          <w:tcPr>
            <w:tcW w:w="136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3"/>
                <w:szCs w:val="13"/>
                <w:color w:val="auto"/>
              </w:rPr>
            </w:pPr>
          </w:p>
        </w:tc>
        <w:tc>
          <w:tcPr>
            <w:tcW w:w="15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7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beginning of year</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911,775</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6.82</w:t>
            </w: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(440,775)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7.28</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spacing w:after="0"/>
              <w:rPr>
                <w:sz w:val="18"/>
                <w:szCs w:val="18"/>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5.67</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quarter</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463,500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6.40</w:t>
            </w: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0.4 years</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463,500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6.40</w:t>
            </w: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0.4 years</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620" w:right="5180" w:hanging="5612"/>
        <w:spacing w:after="0" w:line="367" w:lineRule="auto"/>
        <w:tabs>
          <w:tab w:leader="none" w:pos="45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intrinsic value of the options outstanding at August 2, 2014 was immaterial. 12</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Availability Under the 2006 Plan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August 2, 2014, the Company had 1,175,472 shares available for future grant under the 2006 Plan, of which 1,035,230 remain available under the sublimit for awards other than options and stock appreciation rights. No further grants can be made under the 1992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Stock Purchase Plan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granted 20,155 shares of common stock, with a fair value of approximately $105,942, to certain of its non-employee directors as compensation in lieu of cash in the first six months of fiscal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Assumptions for Stock Options and Restricted Stock</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2014, the Company granted 74,018 shares of restricted stock, 5,448 shares of deferred stock and stock options to purchase 106,882 shares of common stock. For the first six months of fiscal 2013, the Company granted stock options to purchase 2,739,187 shares of common stock and 2,229,364 shares of restricted stock. The majority of the stock option and restricted stock grants for both periods is attributable to the Company’s 2013-2016 LTIP and include a combination of time-based and performance-based awards.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Black-Scholes option-pricing model. The following assumptions were used for grants for the first six months of fiscal 2014 and fiscal 2013:</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40" w:type="dxa"/>
            <w:vAlign w:val="bottom"/>
            <w:gridSpan w:val="2"/>
          </w:tcPr>
          <w:p>
            <w:pPr>
              <w:jc w:val="center"/>
              <w:ind w:left="2259"/>
              <w:spacing w:after="0"/>
              <w:rPr>
                <w:sz w:val="20"/>
                <w:szCs w:val="20"/>
                <w:color w:val="auto"/>
              </w:rPr>
            </w:pPr>
            <w:r>
              <w:rPr>
                <w:rFonts w:ascii="Times New Roman" w:cs="Times New Roman" w:eastAsia="Times New Roman" w:hAnsi="Times New Roman"/>
                <w:sz w:val="14"/>
                <w:szCs w:val="14"/>
                <w:color w:val="auto"/>
              </w:rPr>
              <w:t>August 2, 2014</w:t>
            </w:r>
          </w:p>
        </w:tc>
        <w:tc>
          <w:tcPr>
            <w:tcW w:w="152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color w:val="auto"/>
              </w:rPr>
              <w:t>August 3, 2013</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46.0%</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40" w:type="dxa"/>
            <w:vAlign w:val="bottom"/>
            <w:gridSpan w:val="2"/>
          </w:tcPr>
          <w:p>
            <w:pPr>
              <w:jc w:val="center"/>
              <w:ind w:left="2259"/>
              <w:spacing w:after="0"/>
              <w:rPr>
                <w:sz w:val="20"/>
                <w:szCs w:val="20"/>
                <w:color w:val="auto"/>
              </w:rPr>
            </w:pPr>
            <w:r>
              <w:rPr>
                <w:rFonts w:ascii="Times New Roman" w:cs="Times New Roman" w:eastAsia="Times New Roman" w:hAnsi="Times New Roman"/>
                <w:sz w:val="18"/>
                <w:szCs w:val="18"/>
                <w:color w:val="auto"/>
                <w:w w:val="98"/>
              </w:rPr>
              <w:t>0.79%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0.34-0.79%</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 yrs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3.0-4.1 yrs</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360" w:type="dxa"/>
            <w:vAlign w:val="bottom"/>
          </w:tcPr>
          <w:p>
            <w:pPr>
              <w:spacing w:after="0"/>
              <w:rPr>
                <w:sz w:val="20"/>
                <w:szCs w:val="20"/>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first six months of fiscal 2014 and fiscal 2013, the Company recognized total stock-based compensation expense of $1.5 million and $0.7 million, respectively. The total compensation cost related to time-vested stock options and time-based restricted stock awards not yet recognized as of August 2, 2014 is approximately $4.0 million, net of estimated forfeitures, which will be expensed over a weighted average remaining life of 21 months. At August 2, 2014, the Company had $7.2 million of unrecognized compensation expense, net of estimated forfeitures, related to its performance-based stock options and restricted stock. As discussed above, the Company will begin recognizing compensation if, and when, achievement of the performance targets becomes probable.</w:t>
      </w:r>
    </w:p>
    <w:p>
      <w:pPr>
        <w:spacing w:after="0" w:line="33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For the three months</w:t>
            </w:r>
          </w:p>
        </w:tc>
        <w:tc>
          <w:tcPr>
            <w:tcW w:w="16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For the six months</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August 2,</w:t>
            </w:r>
          </w:p>
        </w:tc>
        <w:tc>
          <w:tcPr>
            <w:tcW w:w="134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August 2,</w:t>
            </w:r>
          </w:p>
        </w:tc>
        <w:tc>
          <w:tcPr>
            <w:tcW w:w="104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August 3,</w:t>
            </w: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August 3,</w:t>
            </w:r>
          </w:p>
        </w:tc>
        <w:tc>
          <w:tcPr>
            <w:tcW w:w="0" w:type="dxa"/>
            <w:vAlign w:val="bottom"/>
          </w:tcPr>
          <w:p>
            <w:pPr>
              <w:spacing w:after="0"/>
              <w:rPr>
                <w:sz w:val="1"/>
                <w:szCs w:val="1"/>
                <w:color w:val="auto"/>
              </w:rPr>
            </w:pPr>
          </w:p>
        </w:tc>
      </w:tr>
      <w:tr>
        <w:trPr>
          <w:trHeight w:val="171"/>
        </w:trPr>
        <w:tc>
          <w:tcPr>
            <w:tcW w:w="6960" w:type="dxa"/>
            <w:vAlign w:val="bottom"/>
            <w:vMerge w:val="continue"/>
          </w:tcPr>
          <w:p>
            <w:pPr>
              <w:spacing w:after="0"/>
              <w:rPr>
                <w:sz w:val="14"/>
                <w:szCs w:val="14"/>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4"/>
                <w:szCs w:val="14"/>
                <w:color w:val="auto"/>
              </w:rPr>
            </w:pP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2013</w:t>
            </w:r>
          </w:p>
        </w:tc>
        <w:tc>
          <w:tcPr>
            <w:tcW w:w="4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4"/>
                <w:szCs w:val="14"/>
                <w:color w:val="auto"/>
              </w:rPr>
            </w:pP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Common Stock Outstanding:</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48,743</w:t>
            </w: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48,479</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48,699</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equivalents – stock options and restricted stock. Common stock equivalents</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520 and 231 shares for the three months ended August 2, 2014 and August 3, 2013,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and 538 and 273 shares for the six months ended August 2, 2014 and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3, 2013, respectively, were excluded due to the net loss</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48,743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48,479</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48,699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8" w:right="279" w:bottom="1440" w:gutter="0" w:footer="0" w:header="0"/>
        </w:sectPr>
      </w:pPr>
    </w:p>
    <w:bookmarkStart w:id="13" w:name="page14"/>
    <w:bookmarkEnd w:id="13"/>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2, 2014</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August 3, 2013</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2, 2014</w:t>
            </w: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August 3, 2013</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(time-vested)</w:t>
            </w:r>
          </w:p>
        </w:tc>
        <w:tc>
          <w:tcPr>
            <w:tcW w:w="96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1,648</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2,077</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1,648</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(time-vested)</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1,115</w:t>
            </w:r>
          </w:p>
        </w:tc>
        <w:tc>
          <w:tcPr>
            <w:tcW w:w="3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$4.96 - $7.52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$4.96 - $10.26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$4.96 - $7.52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$4.96 - $10.26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August 2, 2014, expire from August 4, 2014 to January 29, 2024.</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Excluded from the Company’s computation of basic and diluted earnings per share for the second quarter and first six months of fiscal 2014, were 936,224 shares of unvested performance-based restricted stock and 1,158,570 performance-based stock options. These performance-based awards will be included in the computation of basic and diluted earnings per share if, and when, the respective performance targets are achieved. In addition, another 936,224 shares of unvested time-based restricted stock were excluded from the computation of basic earnings per share until such shares vest. See Note 3, Stock-Based Compensation, for a discussion of the Company’s 2013-2016 LTIP and the respective performance targets.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1,872,448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25"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At August 2, 2014, the Company had total deferred tax assets of approximately $73.9 million, total deferred tax liabilities of $16.0 million and a corresponding valuation allowance of $57.9 million.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2014, the Company believes that a full allowance remains appropriate at this time.</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August 2, 2014, the Company had net operating loss carryforwards of $111.9 million for federal income tax purposes and $64.1 million for state income tax purposes that are available to offset future taxable income through fiscal year 2034. Additionally, the Company has alternative minimum tax credit carryforwards of $2.3 million, which are available to further reduce income taxes over an indefinite period. Additionally, the Company has $0.1 million and $2.5 million of net operating loss for tax purposes related to the Company’s operations in the Netherlands and Canada, respectively, though both are expected to expire largely unutilized. Included in the net operating loss carryforwards for both federal and state income tax is approximately $13.4 million relating to stock compensation deductions, the tax benefit from which, if realized, will be credited to additional paid-in capital.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14" w:name="page15"/>
    <w:bookmarkEnd w:id="14"/>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tax provision for the second quarter and first six months of fiscal 2014, which was computed on a discrete basis, reflects the increase in state gross margin tax and foreign income tax as well as an increase in the valuation allowance against the deferred tax assets. The Company’s effective tax rate for the first six months of fiscal 2013 was 26.1%, which was lower than the statutory U.S. federal tax rate and blended state tax rate due to impact of discrete and permanent items that reduced the income tax benefit recognized on the Company’s pre-tax loss.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Income Taxes, the Company will recognize the benefit from a tax position only if it is more likely than not that the position would be sustained upon audit based solely on the technical merits of the tax position. The liability for unrecognized tax benefits at August 2, 2014 was $3.2 million. This amount is directly associated with a prior year tax position related to exiting the European direct business. The amount of unrecognized tax benefit has been presented as a reduction in the reported amounts of its federal and state NOL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concluded all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matters for years through fiscal 1998, with remaining fiscal years subject to income tax examination by federal tax authorities.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0"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2014 and beyond, the expected benefit of marketing initiatives and anticipated pace and number of store openings in fiscal 2014.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February 1, 2014, filed with the Securities and Exchange Commission on March 17, 2014, that sets forth certain risks and uncertainties that may have an impact on future results and direction of the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Destination XL Group, Inc. (formerly known as Casual Male Retail Group, Inc., and together with our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Casual Male XL Outlets, Rochester Clothing, B&amp;T Factory Direct™, ShoesXL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LivingXL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At August 2, 2014, we operated 113 Destination XL stores, 181 Casual Male XL retail stores, 51 Casual Male XL outlet stores and 9 Rochester Clothing stores. Our direct business includes our DestinationXL.com e-commerce site and several mailers which support our brands and product extensions.</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“ours,” “us” and “the Company” refer to Destination XL Group, Inc. and our consolidated subsidiaries. We refer to our fiscal years which end on January 31, 2015 and February 1, 2014 as “fiscal 2014” and “fiscal 2013,” respectively. Both fiscal years are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fiscal 2014, total comparable sales for all periods include our retail stores that have been open for at least 13 months and our U.S. direct business. Our U.S. direct business is included as part of our calculation of total comparable sales because we are a multi-channel retailer offering our customers convenient alternatives for their shopping needs. Retail comparable sales reflect same-store sales and exclude our U.S. direct business. The method of calculating comparable sales varies across the retail industry and, as a result, our calculation of comparable sales is not necessarily comparable to similarly titled measures reported by other companies.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66" w:right="259" w:bottom="1440" w:gutter="0" w:footer="0" w:header="0"/>
        </w:sectPr>
      </w:pPr>
    </w:p>
    <w:bookmarkStart w:id="16" w:name="page17"/>
    <w:bookmarkEnd w:id="1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the end of fiscal 2013, the majority of our DXL stores were considered relocations and comparable to all the closed Casual Male XL and/or Rochester Clothing stores in each respective market area for the first twelve months. Due to the small number of DXL stores opened for more than a year, we believed that this was a useful comparison as to how a DXL store was performing in the market when compared to the sales of the predecessor stores. However, with 61 DXL stores open at least 13 months, we believe that a traditional DXL comparable will have more meaning going forward. Therefore, beginning with fiscal year 2014, only DXL stores that have been open at least 13 months will be included in comparable store sales.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SEARS CANADA BUSINESS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2014, we notified Sears Canada of our intent to exit the business and began the process of an orderly wind-down. Because we are winding down the business, beginning in the second quarter of fiscal 2014, sales from our Sears Canada business will no longer be included in our comparable sales results. We anticipate concluding the wind-down in the fourth quarter of fiscal 2014. Sears Canada represented less than 5% of our total direct business in fiscal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fiscal 2014, we began reporting alterations revenue in top line sales with the associated tailor wages in cost of goods sold. As alterations and tailors become a more significant part of our business model, we believe the revenue and cost should be shown within gross margin rather than encompassed in selling, general and administrative expenses (“SG&amp;A”). We have reclassified the results for the second quarter and first six months of fiscal 2013 to reflect this presentation on a comparative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 shows GAAP net loss per diluted share for fiscal 2014 and Non-GAAP adjusted net loss per diluted share for fiscal 2014, with a comparison to GAAP net income for fiscal 2014. See “Presentation of Non-GAAP Measures” below for a reconciliation of GAAP net loss to non-GAAP adjusted net loss.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Second Quarter</w:t>
            </w:r>
          </w:p>
        </w:tc>
        <w:tc>
          <w:tcPr>
            <w:tcW w:w="140" w:type="dxa"/>
            <w:vAlign w:val="bottom"/>
          </w:tcPr>
          <w:p>
            <w:pPr>
              <w:spacing w:after="0"/>
              <w:rPr>
                <w:sz w:val="13"/>
                <w:szCs w:val="13"/>
                <w:color w:val="auto"/>
              </w:rPr>
            </w:pPr>
          </w:p>
        </w:tc>
        <w:tc>
          <w:tcPr>
            <w:tcW w:w="18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First Six Months</w:t>
            </w:r>
          </w:p>
        </w:tc>
      </w:tr>
      <w:tr>
        <w:trPr>
          <w:trHeight w:val="173"/>
        </w:trPr>
        <w:tc>
          <w:tcPr>
            <w:tcW w:w="1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2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2013</w:t>
            </w:r>
          </w:p>
        </w:tc>
      </w:tr>
      <w:tr>
        <w:trPr>
          <w:trHeight w:val="176"/>
        </w:trPr>
        <w:tc>
          <w:tcPr>
            <w:tcW w:w="19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Diluted earnings per share:</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32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(GAAP basis)</w:t>
            </w:r>
          </w:p>
        </w:tc>
        <w:tc>
          <w:tcPr>
            <w:tcW w:w="20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(Non-GAAP basis)</w:t>
            </w:r>
            <w:r>
              <w:rPr>
                <w:rFonts w:ascii="Times New Roman" w:cs="Times New Roman" w:eastAsia="Times New Roman" w:hAnsi="Times New Roman"/>
                <w:sz w:val="15"/>
                <w:szCs w:val="15"/>
                <w:color w:val="auto"/>
              </w:rPr>
              <w:t>(1)</w:t>
            </w:r>
          </w:p>
        </w:tc>
        <w:tc>
          <w:tcPr>
            <w:tcW w:w="208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diluted share, on a non-GAAP basis, assumes a normalized tax rate of 40%.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2014, we reported a net loss of $4.0 million, or $(0.08) per diluted share, as compared to a net loss for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2013 of $1.6 million, or $(0.03) per diluted share. For the second quarter of fiscal 2014 we incurred transition costs of $1.7 million, or $0.03 per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(no tax benefit), which includes $0.6 million of pre-opening occupancy costs, $0.8 million of selling, general and administrative (SG&amp;A)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related to trademark amortization. This compares to transition costs incurred in the second quarter of fiscal 2013 of $3.1 million, or $0.04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share. Our results for the second quarter include a loss from operations from our Sears Canada business, as discussed above, of $1.0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$(0.02) per diluted share, as compared to net income of $0.1 million for the second quarter of fiscal 2013. On a non-GAAP basis, our adjusted net loss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fiscal 2014, assuming a normal tax benefit, was $2.4 million, or $(0.05) per diluted share, as compared to $(0.03) per diluted share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fiscal 2013.</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comparable sales growth continues to be driven by our DXL stores, which have had double-digit comparable sales increases for five consecutive quarters. Comparable sales for our DXL stores were up 11.3% for the second quarter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17" w:name="page18"/>
    <w:bookmarkEnd w:id="1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2014 as compared to the second quarter of fiscal 2013. We are seeing a positive shift in our DXL store metrics. In fiscal 2013, our comparable sales growth was primarily driven by an increase in dollars per transaction. For the second quarter of fiscal 2014, however, while our dollars per transaction decreased slightly by 1.1%, the number of transactions increased by 13.1% and our conversion rate from store traffic increased 6.2%, primarily as a result of our marketing and in-store promotional initiatives. We estimate that sales per square foot for our DXL stores will be $160-$165 per square foot at the end of fiscal 2014 as compared to $147 per square foot at the end of fiscal 2013.</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Rochester Clothing and Casual Male XL retail and outlet stores reported a combined comparable sales increase of 7.1% for the second quarter of fiscal 2014. As we discussed in the first quarter of fiscal 2014, we returned to standard operating hours for many of our Casual Male XL retail stores and this has had a significant impact on sales.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Sales from our U.S. direct business, with a comparable sales increase of 0.5% for the second quarter of fiscal 2014, were disappointing but not unexpected. This is partially due to the fact that our direct business was still up against our prior year catalog business for the beginning of the second quarter. However, during the quarter we improved website functionality, increased our digital display marketing and promotional cadence and, as a result, with no residual prior year catalog sales, we saw a double-digit comparable sales increase in our direct business in the month of July. We expect to see a similar level of growth through the remainder of fiscal 2014, as our internet business continues to grow with no residual prior year catalog sales.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merchandise margin for the second quarter of fiscal 2014 decreased by approximately 120 basis points from the second quarter of fiscal 2013. The primary reason for the decrease was the increased promotional activity as we focus on driving conversion of our Casual Male XL customers to our DXL stores and top line sales. Markdowns were higher due to increased in-store promotions and customer acquisition initiatives. While these efforts adversely affected our merchandise margin rate for the second quarter of fiscal 2014, we believe it is helping to transition our existing customer base to our DXL store locations and to drive overall store traffic.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outlined during the first quarter, we are still in the process of implementing several other initiatives in fiscal 2014. In summary:</w:t>
      </w:r>
    </w:p>
    <w:p>
      <w:pPr>
        <w:spacing w:after="0" w:line="129" w:lineRule="exact"/>
        <w:rPr>
          <w:sz w:val="20"/>
          <w:szCs w:val="20"/>
          <w:color w:val="auto"/>
        </w:rPr>
      </w:pPr>
    </w:p>
    <w:p>
      <w:pPr>
        <w:ind w:left="1480" w:hanging="446"/>
        <w:spacing w:after="0" w:line="261"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Protecting and growing our existing customer base</w:t>
      </w:r>
      <w:r>
        <w:rPr>
          <w:rFonts w:ascii="Times New Roman" w:cs="Times New Roman" w:eastAsia="Times New Roman" w:hAnsi="Times New Roman"/>
          <w:sz w:val="18"/>
          <w:szCs w:val="18"/>
          <w:color w:val="auto"/>
        </w:rPr>
        <w:t>. As a result of our marketing initiatives and in-store marketing at our Casual Male 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our customer base is growing. Our promotional marketing activities during the first six months of fiscal 2014 have helped to improve store traffic and increase our transactions. In addition to attracting new customers to our DXL concept, we are also continuing to work on specific marketing initiatives geared towards converting and retaining our existing customer base.</w:t>
      </w:r>
    </w:p>
    <w:p>
      <w:pPr>
        <w:spacing w:after="0" w:line="85" w:lineRule="exact"/>
        <w:rPr>
          <w:rFonts w:ascii="Times New Roman" w:cs="Times New Roman" w:eastAsia="Times New Roman" w:hAnsi="Times New Roman"/>
          <w:sz w:val="18"/>
          <w:szCs w:val="18"/>
          <w:color w:val="auto"/>
        </w:rPr>
      </w:pPr>
    </w:p>
    <w:p>
      <w:pPr>
        <w:ind w:left="1480" w:right="40" w:hanging="446"/>
        <w:spacing w:after="0" w:line="261"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Opening 5,000 – 6,000 square foot DXL stores</w:t>
      </w:r>
      <w:r>
        <w:rPr>
          <w:rFonts w:ascii="Times New Roman" w:cs="Times New Roman" w:eastAsia="Times New Roman" w:hAnsi="Times New Roman"/>
          <w:sz w:val="18"/>
          <w:szCs w:val="18"/>
          <w:color w:val="auto"/>
        </w:rPr>
        <w:t>. We are planning to open 5 of these smaller concept stores during the second half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The smaller square footage will allow us to enter markets that otherwise could not support our larger DXL format. Although the square footage will be less, we will still be able to display a full assortment of our merchandise. The success of this concept in smaller markets will provide us with increased opportunities for continued store growth beyond our projected 220 - 250 DXL stores.</w:t>
      </w:r>
    </w:p>
    <w:p>
      <w:pPr>
        <w:spacing w:after="0" w:line="85" w:lineRule="exact"/>
        <w:rPr>
          <w:rFonts w:ascii="Times New Roman" w:cs="Times New Roman" w:eastAsia="Times New Roman" w:hAnsi="Times New Roman"/>
          <w:sz w:val="18"/>
          <w:szCs w:val="18"/>
          <w:color w:val="auto"/>
        </w:rPr>
      </w:pPr>
    </w:p>
    <w:p>
      <w:pPr>
        <w:ind w:left="1480" w:right="40" w:hanging="446"/>
        <w:spacing w:after="0" w:line="259"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Slowing down the pace of our existing Casual Male XL store closings</w:t>
      </w:r>
      <w:r>
        <w:rPr>
          <w:rFonts w:ascii="Times New Roman" w:cs="Times New Roman" w:eastAsia="Times New Roman" w:hAnsi="Times New Roman"/>
          <w:sz w:val="18"/>
          <w:szCs w:val="18"/>
          <w:color w:val="auto"/>
        </w:rPr>
        <w:t>. In addition, we have returned to standard operating hours for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Casual Male XL stores. This change in store hours has had a significant impact on comparable sales. For the second quarter of fiscal 2014, the Casual Male XL retail stores had a comparable sales increase of 11.3% as compared to the second quarter of fiscal 2013. Our existing Casual Male XL stores are also providing us with a marketing tool to help transition our existing customer base to our DXL concept, through Casual Male XL in-store advertising and promotional coupons for our DXL stores.</w:t>
      </w:r>
    </w:p>
    <w:p>
      <w:pPr>
        <w:spacing w:after="0" w:line="85" w:lineRule="exact"/>
        <w:rPr>
          <w:rFonts w:ascii="Times New Roman" w:cs="Times New Roman" w:eastAsia="Times New Roman" w:hAnsi="Times New Roman"/>
          <w:sz w:val="18"/>
          <w:szCs w:val="18"/>
          <w:color w:val="auto"/>
        </w:rPr>
      </w:pPr>
    </w:p>
    <w:p>
      <w:pPr>
        <w:ind w:left="1480" w:right="80" w:hanging="446"/>
        <w:spacing w:after="0" w:line="261"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Opening the majority of our DXL stores prior to the fourth quarter of fiscal 2014</w:t>
      </w:r>
      <w:r>
        <w:rPr>
          <w:rFonts w:ascii="Times New Roman" w:cs="Times New Roman" w:eastAsia="Times New Roman" w:hAnsi="Times New Roman"/>
          <w:sz w:val="18"/>
          <w:szCs w:val="18"/>
          <w:color w:val="auto"/>
        </w:rPr>
        <w:t>. During the first six months of fiscal 2014, we opened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new DXL stores and are scheduled to open an additional 26 stores through the remainder of fiscal 2014, with the majority opening by the end of the third quarter. Our intention is to get these new stores open prior to the holiday shopping season to maximize the profitability of each store.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Campaign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first six months of fiscal 2014, we implemented several initiatives to educate our Casual Male XL customer about our new DXL stores, including several promotions to entice our existing customers to shop the new store format. During the second quarter, we distributed, on a limited basis to customers who had not shopped within 2 years, our “Experience Book” to help introduce our customers to the DXL concept. In addition, we have also had great response to our “Free Polo Shirt” offer. These types of programs have had a very positive impact on increased traffic to our DXL stores and customer reactivations.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we head into our fall selling season, we will launch our fall advertising campaign, which will include television and radio commercials. In an effort to align our media presence with our key selling weeks, we will be moving our fall advertising closer to the holidays. We will launch an initial flight of advertising in mid-October, which is about three weeks later than in the fall of 2013, and will run the second flight of television and radio commercials at Thanksgiving running through mid-December. With this shift in advertising, our sales in the third quarter of fiscal 2014 will be up against the earlier advertising campaign in fiscal 2013. We expect this shift will have a negative impact on our third quarter sales, but we believe the later timing will help drive traffic and sales during the key holiday shopping season.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2014 Outlook</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earnings guidance of a net loss of $(0.21)-$(0.27) per diluted share, or $(0.12)-$(0.16) per diluted share on a non-GAAP basis, remains unchanged from the guidance previously disclosed. We have adjusted our expected year-end borrowing levels to reflect our intention to take early receipt of Spring merchandise at the end of the fiscal year. Accordingly, our guidance for fiscal 2014 is as follows:</w:t>
      </w:r>
    </w:p>
    <w:p>
      <w:pPr>
        <w:spacing w:after="0" w:line="82"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range of $413.0 million to $418.0 million</w:t>
      </w:r>
    </w:p>
    <w:p>
      <w:pPr>
        <w:spacing w:after="0" w:line="130" w:lineRule="exact"/>
        <w:rPr>
          <w:rFonts w:ascii="Times New Roman" w:cs="Times New Roman" w:eastAsia="Times New Roman" w:hAnsi="Times New Roman"/>
          <w:sz w:val="18"/>
          <w:szCs w:val="18"/>
          <w:color w:val="auto"/>
        </w:rPr>
      </w:pPr>
    </w:p>
    <w:p>
      <w:pPr>
        <w:ind w:left="900" w:right="760" w:hanging="325"/>
        <w:spacing w:after="0" w:line="313"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rate is expected to be 45.5% to 46.1% as compared to 46.0% in fiscal 2013. The change is based on merchandise margins decreasing by approximately 60 to 100 basis points and occupancy as a percentage of sales improving by 50 to 70 basis points.</w:t>
      </w:r>
    </w:p>
    <w:p>
      <w:pPr>
        <w:spacing w:after="0" w:line="43" w:lineRule="exact"/>
        <w:rPr>
          <w:rFonts w:ascii="Times New Roman" w:cs="Times New Roman" w:eastAsia="Times New Roman" w:hAnsi="Times New Roman"/>
          <w:sz w:val="17"/>
          <w:szCs w:val="17"/>
          <w:color w:val="auto"/>
        </w:rPr>
      </w:pPr>
    </w:p>
    <w:p>
      <w:pPr>
        <w:jc w:val="both"/>
        <w:ind w:left="900" w:right="60" w:hanging="325"/>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costs are expected to be $176.0 million to $177.6 million, or an increase of approximately $5.3 million to $6.9 million, which is primarily related to store payroll hours to support the increase in forecasted sales, discussed above. As a percentage of sales, SG&amp;A expenses are expected to increase by 140 to 150 basis points.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spend approximately $45.7 million in capital expenditures in fiscal 2014, which will be partially offset by approximately $9.3 million in tenant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allowances, primarily related to opening our DXL stores. We expect to fund the remainder of our capital expenditures through a combination of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equipment financings, and borrowings under our credit facility. At the end of fiscal 2014, we expect to have total debt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$55.0-$60.0 million, consisting of $20.0 million from equipment financing notes with the balance from our credit facility. This is a slight increase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estimate of $50.0-$55.0 million. At the end of the year, we plan to take early receipt of a portion of our spring inventory to ensure that we 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 inventory position before the season. As a result, from a liquidity perspective, we expect cash flow from operating activities of $11.6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$9.3 million of tenant allowances), resulting in free cash flow (as defined below under “Presentation of Non-GAAP Measures”) of approximately $(34.1)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This is a change from our previous estimate of cash flow from operating activities of $22.5 million and free cash flow of $(23.2)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relates to the shift in inventory receipts.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Presentation of Non-GAAP Measures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above discussion includes a net loss for the second quarter and first six months of fiscal 2014, on a non-GAAP basis, of $(0.05) per diluted share and $(0.09) per diluted share, respectively. In addition, our guidance for fiscal 2014 includes a net loss, on a non-GAAP basis, of $(0.12) to $(0.16) per diluted share. For fiscal 2014, we expect to continue to provide a full valuation allowance against our deferred tax assets; therefore, we will not recognize any income tax benefit in fiscal 2014.</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net loss of $(0.12) to $(0.16) per diluted share for fiscal 2014 was calculated by taking the 2014 forecasted net loss of $(0.21)-$(0.27) and multiplying each by 40% to calculate an estimated income tax benefit of $0.09-$0.11 per diluted share, resulting in an adjusted non-GAAP net loss of $(0.12)-$(0.16) per diluted share.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6" w:right="23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comparison purposes, the following is a reconciliation of net loss, on a GAAP basis, to a net loss, on a non-GAAP basis, assuming a normal tax benefit of 40% for the second quarter and first six months of fiscal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For the six months ended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color w:val="auto"/>
              </w:rPr>
              <w:t>August 2, 2014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color w:val="auto"/>
              </w:rPr>
              <w:t>August 3, 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color w:val="auto"/>
              </w:rPr>
              <w:t>August 2, 2014</w:t>
            </w:r>
          </w:p>
        </w:tc>
        <w:tc>
          <w:tcPr>
            <w:tcW w:w="28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color w:val="auto"/>
              </w:rPr>
              <w:t>August 3,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vMerge w:val="restart"/>
          </w:tcPr>
          <w:p>
            <w:pPr>
              <w:spacing w:after="0"/>
              <w:rPr>
                <w:sz w:val="10"/>
                <w:szCs w:val="10"/>
                <w:color w:val="auto"/>
              </w:rPr>
            </w:pPr>
          </w:p>
        </w:tc>
        <w:tc>
          <w:tcPr>
            <w:tcW w:w="5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5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28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share</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GAAP basis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$(576)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Add back: Actual income tax provision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Income tax benefit, assuming normal tax rate of</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 non-GAAP basis</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$(2,381)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$(1,587)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$(4,475)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19"/>
                <w:szCs w:val="19"/>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$(576)</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diluted basis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48,479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48,699</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For the six</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For the six</w:t>
            </w:r>
          </w:p>
        </w:tc>
        <w:tc>
          <w:tcPr>
            <w:tcW w:w="32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Projected</w:t>
            </w:r>
          </w:p>
        </w:tc>
        <w:tc>
          <w:tcPr>
            <w:tcW w:w="0" w:type="dxa"/>
            <w:vAlign w:val="bottom"/>
          </w:tcPr>
          <w:p>
            <w:pPr>
              <w:spacing w:after="0"/>
              <w:rPr>
                <w:sz w:val="1"/>
                <w:szCs w:val="1"/>
                <w:color w:val="auto"/>
              </w:rPr>
            </w:pPr>
          </w:p>
        </w:tc>
      </w:tr>
      <w:tr>
        <w:trPr>
          <w:trHeight w:val="149"/>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32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Cash Flow</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August 2, 2014</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August 3, 2013</w:t>
            </w: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Fiscal 2014</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provided by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Cash flow provided by operating activities other than tenant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allowances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0"/>
                <w:szCs w:val="20"/>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allowances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provided by operating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capital expenditures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(21.6)</w:t>
            </w:r>
          </w:p>
        </w:tc>
        <w:tc>
          <w:tcPr>
            <w:tcW w:w="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free cash flow of $6.2 million for the first six months of fiscal 2014 as compared to the first six months of the prior year is due to the operating loss and timing of certain working capital accounts, specifically inventory, offset slightly by a decrease in capital expenditures related to our DXL store openings.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First Six</w:t>
            </w:r>
          </w:p>
        </w:tc>
      </w:tr>
      <w:tr>
        <w:trPr>
          <w:trHeight w:val="173"/>
        </w:trPr>
        <w:tc>
          <w:tcPr>
            <w:tcW w:w="7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84"/>
        </w:trPr>
        <w:tc>
          <w:tcPr>
            <w:tcW w:w="7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4"/>
          </w:tcPr>
          <w:p>
            <w:pPr>
              <w:jc w:val="right"/>
              <w:ind w:right="42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r>
      <w:tr>
        <w:trPr>
          <w:trHeight w:val="66"/>
        </w:trPr>
        <w:tc>
          <w:tcPr>
            <w:tcW w:w="7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for the second quarter and first six months of fiscal 2013</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98.0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$ 192.0</w:t>
            </w:r>
          </w:p>
        </w:tc>
      </w:tr>
      <w:tr>
        <w:trPr>
          <w:trHeight w:val="32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2013 sales for stores that have closed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94.1</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$ 184.2</w:t>
            </w:r>
          </w:p>
        </w:tc>
      </w:tr>
      <w:tr>
        <w:trPr>
          <w:trHeight w:val="149"/>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DXL comparable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retail comparable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U.S. direct business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sales, primarily DXL stores open less than 13 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for the second quarter and first six months of fiscal 2014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103.7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$ 200.5</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Includes decrease in sales from our Sears Canada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second quarter of fiscal 2014, total sales were $103.7 million as compared to $98.0 million for the second quarter of fiscal 2013. The increase of $5.7 million in total sales was primarily due to an increase in comparable sales of $5.6 million and an increase in non-comparable store sales of $5.0 million, partially offset by $3.9 million in closed stores and a decrease of $1.0 million which primarily relates to Sears Canada. The comparable sales increase of 7.0% consisted of an increase in our retail business of 8.5%, or $5.5 million, and an increase in our direct business of 0.5%, or $0.1 million.</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second quarter of fiscal 2014, comparable sales from our 61 DXL stores continue to perform in the double-digits, with an increase of 11.3%, or $2.4 million, as compared to the second quarter of fiscal 2013. The Casual Male XL retail and outlet stores and Rochester Clothing stores had a combined comparable sales increase of 7.1%, or $3.1 million, for the second quarter of fiscal 2014. This increase was principally driven by our Casual Male XL retail stores. During the first quarter of fiscal 2014, we returned to standard operating hours for many of our Casual Male XL stores which is having a positive impact on sales. Our 181 Casual Male XL retail stores had a comparable sales increase of 11.3%, or $3.2 million for the second quarter of fiscal 2014, as compared to the second quarter of fiscal 2013. Our 9 Rochester Clothing stores were down 2.0% or $(0.1) million, and our Casual Male XL outlets were flat over the prior year second quarter.</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respect to our U.S. direct business, sales for the second quarter of fiscal 2014 improved slightly with an increase of 0.5% over the prior year. We discontinued our catalog business in the second quarter of fiscal 2013, so our comparable sales are still affected by those prior year sales. However, for July 2014, with no prior year catalog sales and increased marketing and promotional efforts, we saw a double digit increase in sales. In the long-term, we expect our direct business to more than replace the shortfall in sales from legacy brand catalogs.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2014, total sales were $200.5 million as compared to $192.0 million for the first six months of fiscal 2013. This increase of 8.5 million is primarily the result of an increase in comparable sales of $8.5 million and an increase in non-comparable store sales of $9.0 million, partially offset by $7.8 million in sales from closed stores and a decrease of $1.2 million, primarily related to Sears Canada. The comparable sales increase of 5.2% consisted of an increase in our retail business of 6.6%, or $8.3 million, and an increase in our direct business of 0.7%, or $0.2 million.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discussed above, through the end of fiscal 2013, revenue from our on-site tailoring business was netted against the associated tailoring costs and included in SG&amp;A expense. However, because tailoring is increasing as part of our growing DXL business, in the first quarter of fiscal 2014, we started reporting tailoring revenue as a component of sales, with the associated costs recorded as cost of goods sold. Accordingly, the results for the second quarter and first six months of fiscal 2013 were reclassified to reflect this presentation. For the second quarter and first six months of fiscal 2013, sales increased $0.4 million and $0.8 million, respectively, cost of goods sold increased $0.6 million and $1.2 million, respectively, and selling, general and administrative expenses decreased $0.2 million and $0.4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breakdown of our comparable sales for the second quarter and first six months of fiscal 2014:</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36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First Six</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Comparable sales:</w:t>
            </w:r>
          </w:p>
        </w:tc>
        <w:tc>
          <w:tcPr>
            <w:tcW w:w="1360" w:type="dxa"/>
            <w:vAlign w:val="bottom"/>
            <w:gridSpan w:val="2"/>
            <w:vMerge w:val="continue"/>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Quarter of</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0" w:type="dxa"/>
            <w:vAlign w:val="bottom"/>
          </w:tcPr>
          <w:p>
            <w:pPr>
              <w:spacing w:after="0"/>
              <w:rPr>
                <w:sz w:val="1"/>
                <w:szCs w:val="1"/>
                <w:color w:val="auto"/>
              </w:rPr>
            </w:pPr>
          </w:p>
        </w:tc>
      </w:tr>
      <w:tr>
        <w:trPr>
          <w:trHeight w:val="160"/>
        </w:trPr>
        <w:tc>
          <w:tcPr>
            <w:tcW w:w="5800" w:type="dxa"/>
            <w:vAlign w:val="bottom"/>
            <w:gridSpan w:val="2"/>
            <w:vMerge w:val="continue"/>
          </w:tcPr>
          <w:p>
            <w:pPr>
              <w:spacing w:after="0"/>
              <w:rPr>
                <w:sz w:val="13"/>
                <w:szCs w:val="13"/>
                <w:color w:val="auto"/>
              </w:rPr>
            </w:pPr>
          </w:p>
        </w:tc>
        <w:tc>
          <w:tcPr>
            <w:tcW w:w="136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stores</w:t>
            </w:r>
          </w:p>
        </w:tc>
        <w:tc>
          <w:tcPr>
            <w:tcW w:w="1500" w:type="dxa"/>
            <w:vAlign w:val="bottom"/>
            <w:gridSpan w:val="2"/>
          </w:tcPr>
          <w:p>
            <w:pPr>
              <w:jc w:val="center"/>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Fiscal 2014</w:t>
            </w:r>
          </w:p>
        </w:tc>
        <w:tc>
          <w:tcPr>
            <w:tcW w:w="9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Fiscal 2014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Retail Business</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w:t>
            </w:r>
          </w:p>
        </w:tc>
        <w:tc>
          <w:tcPr>
            <w:tcW w:w="6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3" w:lineRule="exact"/>
              <w:rPr>
                <w:sz w:val="20"/>
                <w:szCs w:val="20"/>
                <w:color w:val="auto"/>
              </w:rPr>
            </w:pPr>
            <w:r>
              <w:rPr>
                <w:rFonts w:ascii="Times New Roman" w:cs="Times New Roman" w:eastAsia="Times New Roman" w:hAnsi="Times New Roman"/>
                <w:sz w:val="18"/>
                <w:szCs w:val="18"/>
                <w:b w:val="1"/>
                <w:bCs w:val="1"/>
                <w:color w:val="auto"/>
              </w:rPr>
              <w:t>8.5%</w:t>
            </w:r>
          </w:p>
        </w:tc>
        <w:tc>
          <w:tcPr>
            <w:tcW w:w="9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 comp stores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 Male XL and Rochester Clothing stores</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241</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 Business – U.S. direct business</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0.5%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comparable sales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second quarter of fiscal 2014, our gross margin rate, inclusive of occupancy costs, was 45.7% as compared to a gross margin rate of 46.1% for the second quarter of fiscal 2013. The decrease of 40 basis points for the second quarter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21" w:name="page22"/>
    <w:bookmarkEnd w:id="2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2014 was the result of a decrease in merchandise margin of 120 basis points partially offset by a decrease in occupancy costs of 80 basis points. The decrease in merchandise margin for the second quarter of fiscal 2014 was due to an increase in our promotional activity. During the first quarter of fiscal 2014, we implemented a new promotional coupon program to incentivize our Casual Male XL customers to visit one of our DXL stores. We continued with similar promotional programs during the second quarter, which as discussed above is helping to improve our store traffic and number of transactions and will benefit our sales in the long-term as well. The improvement in occupancy costs of 80 basis points is due to a decrease in lease termination costs as a result of keeping more Casual Male XL stores open until the contractual lease termination. On a dollar basis, occupancy costs for the second quarter of fiscal 2014 increased less than 1.0% over the prior year second quarter.</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2014, our gross margin rate, inclusive of occupancy costs, was 45.6% as compared to 46.7% for the first six months of fiscal 2013. The decrease of 110 basis points was due to a decrease in merchandise margin of 140 basis points offset partially by a decrease in occupancy costs of 30 basis points. The decrease in merchandise margin was due to the marketing initiatives in addition to clearance markdowns incurred in the first quarter.</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fiscal 2014, we are expecting that our occupancy costs will increase approximately $1.5 to $1.7 million as a result of adding approximately 40 DXL stores in fiscal 2014. However, we expect occupancy costs as a percentage of sales will improve 50 to 70 basis points over fiscal 2013. We are expecting that our merchandise margins, which have improved over 170 basis points over the past four years, will decrease by 60 to 100 basis points as a result of our increase in promotional activity which is geared towards converting our customers to our DXL stores and improving overall store traffic. Accordingly, for fiscal 2014, we are expecting that gross margin will range from a decrease of 50 basis points to an increase of 10 basis points as compared to fiscal 2013.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percentage of sales, SG&amp;A expenses for the second quarter of fiscal 2014 decreased to 43.6% as compared to 43.9% for the second quarter of fiscal 2013. On a dollar basis, SG&amp;A expenses increased $2.2 million, or 5.0%, for the second quarter of fiscal 2014 as compared to the prior year’s second quarter. The increase of $2.2 million includes increased marketing costs of approximately $1.1 million and an increase in payroll-related costs of $1.1 million. The increase in payroll-related costs primarily relates to the return to standard hours in our Casual Male XL stores and an increase in incentive accruals as compared to the prior year. Preopening payroll, training and other incremental costs to support our DXL store openings were $0.8 million for the second quarter of fiscal 2014, as compared to $1.3 million in the prior year second quarter.</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first six months of fiscal 2014, SG&amp;A expenses, as a percentage of sales, increased to 43.3% as compared to 42.3% for the first six months of fiscal 2013. On a dollar basis, SG&amp;A expenses increased $5.6 million, or 6.8%, for the first six months of fiscal 2014 as compared to the prior year’s first six months. Similar to the second quarter, the increase was primarily driven by increased store payroll to support the return to standard hours in our Casual Male XL stores, higher than expected payroll during the first quarter in our DXL stores (which did not recur in the second quarter), increased marketing costs, and increased incentive accruals as compared to the first six months of fiscal 2013.</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fiscal 2014, we are expecting that our SG&amp;A expenses will increase to $176.0 to $177.6 million as we continue to grow the DXL format. The $5.3-$6.9 million increase from fiscal 2013 is primarily related to incremental operating costs associated with our growing DXL concept, as well as expected costs to close approximately 1 Rochester Clothing and 39 Casual Male XL stores. Overall, we expect to limit our SG&amp;A growth rates, except where necessary to support our growth activities or where there are unanticipated costs that are necessary to support our overall activities.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first six months of fiscal 2014 increased $2.4 million to $11.1 million as compared to $8.7 million for the first six of fiscal 2013. The increase of $2.4 million is due to the store growth associated with our DXL store concept.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Expense, Net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interest expense was $0.5 million for the second quarter of fiscal 2014 as compared to $0.2 million for the second quarter of fiscal 2013. For the first six months of fiscal 2014, interest costs increased $0.4 million to $0.8 million as compared to $0.4 million for the first six months of fiscal 2013. Interest expense for the past few years has remained relatively low due to minimal borrowings on our credit facility. However, with our continued planned store growth in fiscal 2014, we expect interest costs to increase as we fund a portion of our store growth with equipment financing loans and borrowings under our credit facility. Through the end of the second quarter of fiscal 2014, we funded approximately $26.4 million of our capital expenditures through equipment financing. See “Liquidity and Capital Resources” for more discussion regarding our current credit facility, equipment financings and future liquidity needs.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August 2, 2014, we had total deferred tax assets of $73.9 million, total deferred tax liabilities of $16.0 million and a corresponding valuation allowance of $57.9 million. The deferred tax assets include approximately $39.5 million of net operating loss carryforwards and approximately $6.6 million of deferred gain on our sale-leaseback and, to a lesser extent, other book/tax timing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fiscal 2013, we entered into a three-year cumulative loss and we expected our three-year cumulative loss to increase at the end of fiscal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considering all positive and negative evidence as of February 1, 2014, we established a full valuation allowance against our net 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earnings guidance for fiscal 2014, we believe that a full valuation allowance remains appropriate at this time.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tax provision for the first six months of fiscal 2014, which was computed on a discrete basis, reflects the increase in the valuation allowance against our deferred tax assets as well as state gross margin tax and foreign income tax. Our effective tax rate for the first six months of fiscal 2013 was 26.1%, which was lower than the statutory U.S. federal tax rate and blended state tax rate due to impact of discrete and permanent items that reduced the income tax benefit recognized on the Company’s pre-tax loss.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second quarter of fiscal 2014, we had a net loss of $4.0 million, or $(0.08) per diluted share, compared with a net loss of $1.6 million, or $(0.03) per diluted share, for the second quarter of fiscal 2013. On a non-GAAP basis, assuming a normalized tax rate for fiscal 2014, the net loss for the second quarter of fiscal 2014 was $(0.05) per diluted share.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2014, we had a net loss of $7.6 million, or $(0.16) per diluted share, compared with a net loss of $0.6 million, or $(0.01) per diluted share, for the first six months of fiscal 2013. On a non-GAAP basis, assuming a normalized tax rate for fiscal 2014, the net loss for the first six months of fiscal 2014 was $4.5 million, or $(0.09) per diluted share. See “Presentation of Non-GAAP Measures” above for a reconciliation of these non-GAAP measures.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Included in the net loss for the second quarter and first six months of fiscal 2014 is a loss from operations from our Sears Canada business of $1.0 million, or $(0.02) per diluted share, and $1.1 million, or $(0.02) per diluted share, respectively. The loss includes a charge, recorded in the second quarter of fiscal 2014, of approximately $0.8 million related primarily to inventory reserves and sales allowances as a result of our decision to exit the business. As we discussed above, we intend to complete the exit of this business in the fourth quarter of fiscal 2014.</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Excluding the charge related to Sears Canada, our decrease in earnings for the second quarter of fiscal 2014 was in line with our projections and reflects the increased costs we are incurring as we continue to rollout our DXL concept. Our results for the first six months of fiscal 2014 are slightly lower than our expectations due to the weak retail environment in February and March, largely due to the tough winter weather. However, sales recovered in April and have been in line with expectations for the remainder of the first six months. As previously disclosed, we are forecasting an increase in operating loss for fiscal 2014, as compared to fiscal 2013, as we continue to rollout our DXL stores.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August 2, 2014, total inventory was $116.0 million compared to $105.6 million at February 1, 2014 and $107.9 million at August 3, 2013. While inventory levels on a dollar basis increased $8.1 million as compared to August 3, 2013, on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68" w:right="239" w:bottom="1440" w:gutter="0" w:footer="0" w:header="0"/>
        </w:sectPr>
      </w:pPr>
    </w:p>
    <w:bookmarkStart w:id="23" w:name="page24"/>
    <w:bookmarkEnd w:id="2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 basis, inventories decreased by approximately 1.0%. The increase of $8.1 million is primarily due to a greater mix of higher cost branded apparel as well as the timing of receipts over the prior year’s second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and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Traditionally, a significant portion of our operating income and net income is generated in the fourth quarter, as a result of the “Holiday” season.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above, our capital expenditures for fiscal 2014 are expected to be $45.7 million, primarily related to the planned opening of 40 new DXL stores and information technology projects. However, we expect to receive approximately $9.3 million in tenant allowances to offset these capital expenditures for a net spend of $36.4 million. We expect to fund our store growth in fiscal 2014 primarily through cash flow from operations and borrowings from our Credit Facility as well as equipment financing loans. For fiscal 2014, while our total debt is projected to reach approximately $75.0-$80.0 million during our key seasonal buying periods, we expect that our total debt outstanding at the end of fiscal 2014 will be approximately $55.0-$60.0 million. This estimate is a slight increase from our previous guidance of $50.0-55.0 million, as a result of our decision to take early receipt of a portion of our spring inventory at year end.</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currently believe that our existing cash generated by operations together with our availability under our credit facility will be sufficient within current forecasts for us to meet our foreseeable liquidity requirements. For the first six months of fiscal 2014, free cash flow, which we define as cash flow from operating activities, less capital expenditures and discretionary store asset acquisitions, if any, decreased by $6.2 million to $(21.6) million from $(15.4) million for the first six months of fiscal 2013. This decrease in free cash flow was principally due to the increase in the net loss and the timing of working capital accounts, specifically inventory. Capital expenditures for the first six months of fiscal 2014 were approximately $2.2 million less than the prior year’s first six months. See “Presentation of Non-GAAP Measure” above regarding non-GAAP free cash flow.</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provides for a maximum committed borrowing of $100 million, which, pursuant to an accordion feature, may be increased to $150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June 26, 2018. Our Credit Facility is described in more detail in Note 2 to the Notes to the Consolidated Financial Statements included in this report.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Borrowings made pursuant to the Credit Facility bear interest at a rate equal to the base rate (determined as the highest of (a) Bank of America N.A.’s prime rate, (b) the Federal Funds rate plus 0.50% and (c) the annual LIBOR rate for the respective interest period) plus a varying percentage, based on our borrowing base, of 0.50%-0.75% for prime-based borrowings and 1.50%-1.75% for LIBOR-based borrowings.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had outstanding borrowings of $25.7 million under the Credit Facility at August 2, 2014. Outstanding standby letters of credit were $2.2 million and outstanding documentary letters of credit were $1.1 million. The average monthly borrowing outstanding under the Credit Facility during the first six months of fiscal 2014 was approximately $28.3 million, resulting in an average unused excess availability of approximately $65.2 million. Unused excess availability at August 2, 2014 was $71.0 million. Our obligations under the Credit Facility are secured by a lien on all of our assets. The facility contains no financial covenants.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Master Loan and Security Agreement</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Through the end of the second quarter of fiscal 2014, we have entered into twelve Equipment Security Notes (the “Notes”), whereby we borrowed an aggregate of $26.4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24" w:name="page25"/>
    <w:bookmarkEnd w:id="24"/>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equipment. The Notes are for 48 months and accrue interest at fixed rates ranging from 3.07% to 3.50%. Principal and interest, in arrears, are payable monthly. We are subject to a prepayment penalty equal to 1% of the prepaid principal of the Notes until the first anniversary, 0.5% of the prepaid principal from the first anniversary until the second anniversary and no prepayment penalty thereafter. At August 2, 2014, the outstanding balance of Notes was $22.6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from the Notes were used to fund partially the capital expenditures associated with our DXL store rollout.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August 2, 2014 and August 3, 2013, respectively:</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Store Concept</w:t>
            </w:r>
          </w:p>
        </w:tc>
        <w:tc>
          <w:tcPr>
            <w:tcW w:w="3620" w:type="dxa"/>
            <w:vAlign w:val="bottom"/>
            <w:gridSpan w:val="4"/>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At August 2, 2014</w:t>
            </w:r>
          </w:p>
        </w:tc>
        <w:tc>
          <w:tcPr>
            <w:tcW w:w="29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At August 3, 2013</w:t>
            </w:r>
          </w:p>
        </w:tc>
        <w:tc>
          <w:tcPr>
            <w:tcW w:w="0" w:type="dxa"/>
            <w:vAlign w:val="bottom"/>
          </w:tcPr>
          <w:p>
            <w:pPr>
              <w:spacing w:after="0"/>
              <w:rPr>
                <w:sz w:val="1"/>
                <w:szCs w:val="1"/>
                <w:color w:val="auto"/>
              </w:rPr>
            </w:pPr>
          </w:p>
        </w:tc>
      </w:tr>
      <w:tr>
        <w:trPr>
          <w:trHeight w:val="180"/>
        </w:trPr>
        <w:tc>
          <w:tcPr>
            <w:tcW w:w="3960" w:type="dxa"/>
            <w:vAlign w:val="bottom"/>
            <w:gridSpan w:val="3"/>
            <w:vMerge w:val="continue"/>
          </w:tcPr>
          <w:p>
            <w:pPr>
              <w:spacing w:after="0"/>
              <w:rPr>
                <w:sz w:val="15"/>
                <w:szCs w:val="15"/>
                <w:color w:val="auto"/>
              </w:rPr>
            </w:pPr>
          </w:p>
        </w:tc>
        <w:tc>
          <w:tcPr>
            <w:tcW w:w="18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Stores</w:t>
            </w:r>
          </w:p>
        </w:tc>
        <w:tc>
          <w:tcPr>
            <w:tcW w:w="1760" w:type="dxa"/>
            <w:vAlign w:val="bottom"/>
            <w:gridSpan w:val="2"/>
          </w:tcPr>
          <w:p>
            <w:pPr>
              <w:jc w:val="right"/>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1860" w:type="dxa"/>
            <w:vAlign w:val="bottom"/>
            <w:gridSpan w:val="2"/>
          </w:tcPr>
          <w:p>
            <w:pPr>
              <w:jc w:val="right"/>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Stores</w:t>
            </w:r>
          </w:p>
        </w:tc>
        <w:tc>
          <w:tcPr>
            <w:tcW w:w="10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36"/>
        </w:trPr>
        <w:tc>
          <w:tcPr>
            <w:tcW w:w="88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i w:val="1"/>
                <w:iCs w:val="1"/>
                <w:color w:val="auto"/>
                <w:w w:val="97"/>
              </w:rPr>
              <w:t>(square footage</w:t>
            </w:r>
          </w:p>
        </w:tc>
        <w:tc>
          <w:tcPr>
            <w:tcW w:w="308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DXL</w:t>
            </w:r>
          </w:p>
        </w:tc>
        <w:tc>
          <w:tcPr>
            <w:tcW w:w="18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113</w:t>
            </w:r>
          </w:p>
        </w:tc>
        <w:tc>
          <w:tcPr>
            <w:tcW w:w="1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1,003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Retail XL</w:t>
            </w: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181</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643</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257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 Male Outlet</w:t>
            </w:r>
          </w:p>
        </w:tc>
        <w:tc>
          <w:tcPr>
            <w:tcW w:w="18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51</w:t>
            </w:r>
          </w:p>
        </w:tc>
        <w:tc>
          <w:tcPr>
            <w:tcW w:w="1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Rochester Clothing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83</w:t>
            </w: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7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1,893</w:t>
            </w: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388</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store openings and closings from February 1, 2014 to August 2,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Casual</w:t>
            </w: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Casual Male</w:t>
            </w: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Rochester</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Stores:</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DXL</w:t>
            </w:r>
          </w:p>
        </w:tc>
        <w:tc>
          <w:tcPr>
            <w:tcW w:w="10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Male XL</w:t>
            </w:r>
          </w:p>
        </w:tc>
        <w:tc>
          <w:tcPr>
            <w:tcW w:w="12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78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2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6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XL Outlets</w:t>
            </w:r>
          </w:p>
        </w:tc>
        <w:tc>
          <w:tcPr>
            <w:tcW w:w="108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Clothing</w:t>
            </w:r>
          </w:p>
        </w:tc>
        <w:tc>
          <w:tcPr>
            <w:tcW w:w="4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February 1, 2014</w:t>
            </w:r>
          </w:p>
        </w:tc>
        <w:tc>
          <w:tcPr>
            <w:tcW w:w="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New stores </w:t>
            </w:r>
            <w:r>
              <w:rPr>
                <w:rFonts w:ascii="Times New Roman" w:cs="Times New Roman" w:eastAsia="Times New Roman" w:hAnsi="Times New Roman"/>
                <w:sz w:val="15"/>
                <w:szCs w:val="15"/>
                <w:color w:val="auto"/>
              </w:rPr>
              <w:t>(1)</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Replaced stores </w:t>
            </w:r>
            <w:r>
              <w:rPr>
                <w:rFonts w:ascii="Times New Roman" w:cs="Times New Roman" w:eastAsia="Times New Roman" w:hAnsi="Times New Roman"/>
                <w:sz w:val="15"/>
                <w:szCs w:val="15"/>
                <w:color w:val="auto"/>
              </w:rPr>
              <w:t>(2)</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Closed retail stores </w:t>
            </w:r>
            <w:r>
              <w:rPr>
                <w:rFonts w:ascii="Times New Roman" w:cs="Times New Roman" w:eastAsia="Times New Roman" w:hAnsi="Times New Roman"/>
                <w:sz w:val="15"/>
                <w:szCs w:val="15"/>
                <w:color w:val="auto"/>
              </w:rPr>
              <w:t>(3)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August 2, 2014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new DXL stores represents DXL stores opened in new markets.</w:t>
      </w:r>
    </w:p>
    <w:p>
      <w:pPr>
        <w:spacing w:after="0" w:line="27"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closed stores for which there were no corresponding openings of a DXL store in the same market.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expenditures for the first six months of fiscal 2014 were $18.9 million as compared to $21.1 million for the first six months of fiscal 2013. The</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$2.2 million decrease is primarily related to the timing of stores openings during the first six months of fiscal 2014. As of August 2, 2014, we have opened 14 DXL stores as compared to 17 DXL stores at August 3, 2013. In addition, the average square footage of a new DXL store is slightly less than the prior year.</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fiscal 2014, our capital expenditures are expected to be approximately $45.7 million and we expect to receive approximately $9.3 million in tenant allowances to offset these expenditures partially. The budget includes approximately $35.4 million, excluding any allowance, related to the opening of 40 Destination XL stores and approximately $8.7 million for continued information technology projects, including enhanced web in-store inventory visibility, in-store pick-up of web purchases and access to Company-wide inventory for customer fulfillment, with the remainder relating to general overhead projects. In addition, we expect to close approximately 39 existing Casual Male XL stores and 1 Rochester Clothing store, most of which are in connection with the opening of new DXL stores.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Annual Report on Form 10-K for the year ended February 1, 2014 filed with the SEC on March 17, 2014.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Quantitative and Qualitative Disclosures About Market Risk.</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June 26, 2018, bear interest at variable rates based on Bank of America’s prime rate or LIBOR. At August 2, 2014, the interest rate on our prime based borrowings was 3.75%. Approximately $20.0 million of our outstanding borrowings were in LIBOR contracts with an interest rate of 1.65%. Based upon a sensitivity analysis as of August 2, 2014, assuming average outstanding borrowing during the first six months of fiscal 2014 of $28.3 million, a 50 basis point increase in interest rates would have resulted in a potential increase in interest expense of approximately $142,000 on an annualized basis.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August 2, 2014,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2, 2014.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2, 2014, our disclosure controls and procedures were effective.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August 2, 2014 that has materially affected, or is reasonably likely to materially affect, our internal control over financial reporting.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66"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(“Risk Factors”) of our Annual Report on Form 10-K for the year ended February 1, 2014 filed with the SEC on March 17,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700" w:right="60" w:hanging="59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and Amended By-Laws (included as Exhibit 3.1 to the Company’s Current Report on Form 8-K filed on August 12, 2014, and incorporated herein by reference).</w:t>
      </w:r>
    </w:p>
    <w:p>
      <w:pPr>
        <w:spacing w:after="0" w:line="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Destination XL Group, Inc. Amended and Restated Non-Employee Director Compensation Plan</w:t>
      </w:r>
    </w:p>
    <w:p>
      <w:pPr>
        <w:spacing w:after="0" w:line="117" w:lineRule="exact"/>
        <w:rPr>
          <w:sz w:val="20"/>
          <w:szCs w:val="20"/>
          <w:color w:val="auto"/>
        </w:rPr>
      </w:pPr>
    </w:p>
    <w:p>
      <w:pPr>
        <w:ind w:left="700" w:hanging="68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Amended and Restated Employment Agreement between the Company and Peter H. Stratton, Jr. dated as of May 29, 2014 (included as Exhibit 10.1 to the Company’s Current Report on Form 8-K filed on May 29, 2014, and incorporated herein by reference).</w:t>
      </w:r>
    </w:p>
    <w:p>
      <w:pPr>
        <w:spacing w:after="0" w:line="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Employment and Chairman Compensation Agreement, dated August 7, 2014, between the Company and Seymour Holtzman (included as Exhibit</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 to the Company’s Current Report on Form 8-K filed on August 12, 2014, and incorporated herein by reference).</w:t>
      </w:r>
    </w:p>
    <w:p>
      <w:pPr>
        <w:spacing w:after="0" w:line="99" w:lineRule="exact"/>
        <w:rPr>
          <w:sz w:val="20"/>
          <w:szCs w:val="20"/>
          <w:color w:val="auto"/>
        </w:rPr>
      </w:pPr>
    </w:p>
    <w:p>
      <w:pPr>
        <w:ind w:left="700" w:right="120" w:hanging="688"/>
        <w:spacing w:after="0" w:line="266" w:lineRule="auto"/>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Equipment Security Note Number 17608-70013 to the Master Loan and Security Agreement, as amended, dated June 23, 2014 between the Company and Banc of America Leasing &amp; Capital LLC (included as Exhibit 10.1 to the Company’s Current Report on Form 8-K filed on June 26, 2014, and incorporated herein by reference).</w:t>
      </w:r>
    </w:p>
    <w:p>
      <w:pPr>
        <w:spacing w:after="0" w:line="68" w:lineRule="exact"/>
        <w:rPr>
          <w:sz w:val="20"/>
          <w:szCs w:val="20"/>
          <w:color w:val="auto"/>
        </w:rPr>
      </w:pPr>
    </w:p>
    <w:p>
      <w:pPr>
        <w:ind w:left="700" w:right="120" w:hanging="688"/>
        <w:spacing w:after="0" w:line="266" w:lineRule="auto"/>
        <w:tabs>
          <w:tab w:leader="none" w:pos="6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Equipment Security Note Number 17608-70014 to the Master Loan and Security Agreement, as amended, dated June 23, 2014 between the Company and Banc of America Leasing &amp; Capital LLC (included as Exhibit 10.2 to the Company’s Current Report on Form 8-K filed on June 26, 2014, and incorporated herein by reference).</w:t>
      </w:r>
    </w:p>
    <w:p>
      <w:pPr>
        <w:spacing w:after="0" w:line="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Chief Executive Officer of the Company pursuant to Rule 13a-14(a) under the Securities Exchange Act of 1934.</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266" w:right="279" w:bottom="1440" w:gutter="0" w:footer="0" w:header="0"/>
        </w:sectPr>
      </w:pPr>
    </w:p>
    <w:bookmarkStart w:id="27" w:name="page28"/>
    <w:bookmarkEnd w:id="27"/>
    <w:p>
      <w:pPr>
        <w:ind w:left="92"/>
        <w:spacing w:after="0"/>
        <w:tabs>
          <w:tab w:leader="none" w:pos="79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31.2</w:t>
      </w:r>
      <w:r>
        <w:rPr>
          <w:sz w:val="20"/>
          <w:szCs w:val="20"/>
          <w:color w:val="auto"/>
        </w:rPr>
        <w:tab/>
      </w:r>
      <w:r>
        <w:rPr>
          <w:rFonts w:ascii="Times New Roman" w:cs="Times New Roman" w:eastAsia="Times New Roman" w:hAnsi="Times New Roman"/>
          <w:sz w:val="18"/>
          <w:szCs w:val="18"/>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92"/>
        <w:spacing w:after="0"/>
        <w:tabs>
          <w:tab w:leader="none" w:pos="792"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pursuant to 18 U.S.C. Section 1350, as adopted pursuant to Section 906 of the Sarbanes-Oxley Act of</w:t>
      </w:r>
    </w:p>
    <w:p>
      <w:pPr>
        <w:spacing w:after="0" w:line="27"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2002.</w:t>
      </w:r>
    </w:p>
    <w:p>
      <w:pPr>
        <w:spacing w:after="0" w:line="99" w:lineRule="exact"/>
        <w:rPr>
          <w:sz w:val="20"/>
          <w:szCs w:val="20"/>
          <w:color w:val="auto"/>
        </w:rPr>
      </w:pPr>
    </w:p>
    <w:p>
      <w:pPr>
        <w:ind w:left="92"/>
        <w:spacing w:after="0"/>
        <w:tabs>
          <w:tab w:leader="none" w:pos="792"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spacing w:after="0" w:line="27"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2002.</w:t>
      </w:r>
    </w:p>
    <w:p>
      <w:pPr>
        <w:spacing w:after="0" w:line="99" w:lineRule="exact"/>
        <w:rPr>
          <w:sz w:val="20"/>
          <w:szCs w:val="20"/>
          <w:color w:val="auto"/>
        </w:rPr>
      </w:pPr>
    </w:p>
    <w:p>
      <w:pPr>
        <w:ind w:left="812" w:hanging="812"/>
        <w:spacing w:after="0" w:line="261" w:lineRule="auto"/>
        <w:tabs>
          <w:tab w:leader="none" w:pos="8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August 2, 2014,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11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72"/>
          </w:cols>
          <w:pgMar w:left="248" w:top="378" w:right="579" w:bottom="1440" w:gutter="0" w:footer="0" w:header="0"/>
        </w:sectPr>
      </w:pPr>
    </w:p>
    <w:bookmarkStart w:id="28" w:name="page29"/>
    <w:bookmarkEnd w:id="28"/>
    <w:p>
      <w:pPr>
        <w:jc w:val="center"/>
        <w:ind w:right="-6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25"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8"/>
          <w:szCs w:val="18"/>
          <w:color w:val="auto"/>
        </w:rPr>
        <w:t>Date: August 28, 2014</w:t>
      </w:r>
      <w:r>
        <w:rPr>
          <w:sz w:val="20"/>
          <w:szCs w:val="20"/>
          <w:color w:val="auto"/>
        </w:rPr>
        <w:tab/>
      </w:r>
      <w:r>
        <w:rPr>
          <w:rFonts w:ascii="Times New Roman" w:cs="Times New Roman" w:eastAsia="Times New Roman" w:hAnsi="Times New Roman"/>
          <w:sz w:val="17"/>
          <w:szCs w:val="17"/>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4776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Peter H. Stratton, Jr.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00"/>
          </w:cols>
          <w:pgMar w:left="240" w:top="270" w:right="8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DESTINATION XL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 Establishment and Purpose</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Destination XL Group, Inc., f/k/a Casual Male Retail Group, Inc. (the “Company”) hereby amends and restates the Casual Male Retail Group, Inc. Amended and Restated Non-Employee Director Compensation Plan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Any such Shares acquired by a non-employee director pursuant to this Plan shall come out of the pool of Shares reserved for issuance under Section 4 of this Plan, subject to adjustment as the Board may from time to time determine, and not from the Incentive Compensation Plan. The Plan shall be effective as of February 2, 2014. Elections for fiscal 2014 must be submitted to the Company in accordance with Section 3(iii) no later than December 1,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 Definitions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67" w:lineRule="exact"/>
        <w:rPr>
          <w:sz w:val="20"/>
          <w:szCs w:val="20"/>
          <w:color w:val="auto"/>
        </w:rPr>
      </w:pPr>
    </w:p>
    <w:p>
      <w:pPr>
        <w:ind w:left="460" w:right="60" w:hanging="452"/>
        <w:spacing w:after="0" w:line="26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Black-Scholes Valuation</w:t>
      </w:r>
      <w:r>
        <w:rPr>
          <w:rFonts w:ascii="Times New Roman" w:cs="Times New Roman" w:eastAsia="Times New Roman" w:hAnsi="Times New Roman"/>
          <w:sz w:val="18"/>
          <w:szCs w:val="18"/>
          <w:color w:val="auto"/>
        </w:rPr>
        <w:t>” means, with respect to an Option, the value of such Option as of the Grant Date calculated utilizing the same formula and assumptions as the Company utilized for the purpose of valuing outstanding options in its most recently (meaning at the time of the valuation) prepared audited annual financial statement.</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U.S. dollars.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 or any successor agency.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$.01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30" w:name="page31"/>
    <w:bookmarkEnd w:id="30"/>
    <w:p>
      <w:pPr>
        <w:ind w:left="452" w:right="180" w:hanging="452"/>
        <w:spacing w:after="0" w:line="28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an award under the Plan that is payable in the form of Cash, Deferred Stock, Options and/or Shares pursuant to the terms and conditions set forth in this Plan.</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Payment Choice</w:t>
      </w:r>
      <w:r>
        <w:rPr>
          <w:rFonts w:ascii="Times New Roman" w:cs="Times New Roman" w:eastAsia="Times New Roman" w:hAnsi="Times New Roman"/>
          <w:sz w:val="18"/>
          <w:szCs w:val="18"/>
          <w:color w:val="auto"/>
        </w:rPr>
        <w:t>” means the form of payment of Compensation that a Participant selects in accordance with the terms hereof.</w:t>
      </w:r>
    </w:p>
    <w:p>
      <w:pPr>
        <w:spacing w:after="0" w:line="130" w:lineRule="exact"/>
        <w:rPr>
          <w:rFonts w:ascii="Times New Roman" w:cs="Times New Roman" w:eastAsia="Times New Roman" w:hAnsi="Times New Roman"/>
          <w:sz w:val="18"/>
          <w:szCs w:val="18"/>
          <w:color w:val="auto"/>
        </w:rPr>
      </w:pPr>
    </w:p>
    <w:p>
      <w:pPr>
        <w:ind w:left="452" w:right="220" w:hanging="452"/>
        <w:spacing w:after="0" w:line="28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including rules thereunder and successor provisions and rules thereto.</w:t>
      </w:r>
    </w:p>
    <w:p>
      <w:pPr>
        <w:spacing w:after="0" w:line="67" w:lineRule="exact"/>
        <w:rPr>
          <w:rFonts w:ascii="Times New Roman" w:cs="Times New Roman" w:eastAsia="Times New Roman" w:hAnsi="Times New Roman"/>
          <w:sz w:val="18"/>
          <w:szCs w:val="18"/>
          <w:color w:val="auto"/>
        </w:rPr>
      </w:pPr>
    </w:p>
    <w:p>
      <w:pPr>
        <w:ind w:left="452" w:right="180" w:hanging="452"/>
        <w:spacing w:after="0" w:line="261"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following: (i) each quarterly retainer and chairperson fee payable pursuant to Sections 3(i)(a)-(d) hereof shall be paid on, and the Grant Dates shall be, the first business day of each quarter in each fiscal year, (ii) each meeting fee payable pursuant to Sections 3(i)(e) and</w:t>
      </w:r>
    </w:p>
    <w:p>
      <w:pPr>
        <w:ind w:left="452"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hereof shall be paid on, and the Grant Date shall be, the last business day of each month in which the applicable meeting occurs, and (iii) the Option grant issued pursuant to Section 3(i)(g) with respect to a Director’s initial election to the Board shall be issued on, and the Grant Date shall be, the last business day of the month in which such initial election occurs.</w:t>
      </w:r>
    </w:p>
    <w:p>
      <w:pPr>
        <w:spacing w:after="0" w:line="9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 Plan</w:t>
      </w:r>
      <w:r>
        <w:rPr>
          <w:rFonts w:ascii="Times New Roman" w:cs="Times New Roman" w:eastAsia="Times New Roman" w:hAnsi="Times New Roman"/>
          <w:sz w:val="18"/>
          <w:szCs w:val="18"/>
          <w:color w:val="auto"/>
        </w:rPr>
        <w:t>” means the Company’s 2006 Incentive Compensation Plan, as amended from time to time.</w:t>
      </w:r>
    </w:p>
    <w:p>
      <w:pPr>
        <w:spacing w:after="0" w:line="130" w:lineRule="exact"/>
        <w:rPr>
          <w:rFonts w:ascii="Times New Roman" w:cs="Times New Roman" w:eastAsia="Times New Roman" w:hAnsi="Times New Roman"/>
          <w:sz w:val="18"/>
          <w:szCs w:val="18"/>
          <w:color w:val="auto"/>
        </w:rPr>
      </w:pPr>
    </w:p>
    <w:p>
      <w:pPr>
        <w:ind w:left="452" w:right="40" w:hanging="452"/>
        <w:spacing w:after="0" w:line="282"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Irrevocable Election Agreement</w:t>
      </w:r>
      <w:r>
        <w:rPr>
          <w:rFonts w:ascii="Times New Roman" w:cs="Times New Roman" w:eastAsia="Times New Roman" w:hAnsi="Times New Roman"/>
          <w:sz w:val="18"/>
          <w:szCs w:val="18"/>
          <w:color w:val="auto"/>
        </w:rPr>
        <w:t xml:space="preserve">” means the written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between the Company and a Participant, which, together with the Plan, governs the Participant’s rights to payment of Compensation under the Plan.</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Inc.</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satisfies the requirements set forth in Rule 16b-3(b)(3)(i) under the Exchange Act.</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Non-Employee Director of the Company.</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Destination XL Group, Inc. Amended and Restated Non-Employee Director Compensation Plan, as amended from time to time.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means the earliest date on which a Participant has incurred a separation from service, within the meaning of Section 409A(a)</w:t>
      </w:r>
    </w:p>
    <w:p>
      <w:pPr>
        <w:spacing w:after="0" w:line="38" w:lineRule="exact"/>
        <w:rPr>
          <w:rFonts w:ascii="Times New Roman" w:cs="Times New Roman" w:eastAsia="Times New Roman" w:hAnsi="Times New Roman"/>
          <w:sz w:val="17"/>
          <w:szCs w:val="17"/>
          <w:color w:val="auto"/>
        </w:rPr>
      </w:pPr>
    </w:p>
    <w:p>
      <w:pPr>
        <w:ind w:left="4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of the Code, with the Service Recipient.</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92"/>
          </w:cols>
          <w:pgMar w:left="248" w:top="270" w:right="259" w:bottom="1440" w:gutter="0" w:footer="0" w:header="0"/>
        </w:sectPr>
      </w:pPr>
    </w:p>
    <w:bookmarkStart w:id="31" w:name="page32"/>
    <w:bookmarkEnd w:id="31"/>
    <w:p>
      <w:pPr>
        <w:ind w:left="460" w:right="14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81"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by the United States Treasury Department with respect to the Code, as amended from time to time.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 Compensation; Irrevocable Election; Valuation.</w:t>
      </w:r>
    </w:p>
    <w:p>
      <w:pPr>
        <w:spacing w:after="0" w:line="13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paid to the Participants shall be as follows:</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retainer equal to $25,562.50 per fiscal quarter (paid only to those Participants serving as a Director as of the Grant Date in the fiscal quarter for which the fee is payable;</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chairperson of the Company’s audit committee, a fee equal to $2,500 per fiscal quarter (paid only to the Participant serving in such position as of the Grant Date in the fiscal quarter for which the fee is payable);</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chairperson of the Company’s compensation committee, a fee equal to $1,250 per fiscal quarter (paid only to the Participant serving in such position as of the Grant Date in the fiscal quarter for which the fee is payable);</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chairperson of the Company’s nominating and corporate governance committee, a fee equal to $1,250 per fiscal quarter (paid only to the Participant serving in such position as of the Grant Date in the fiscal quarter for which the fee is payable);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meeting for his/her attendance at in-person meetings of the Board and committees;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per meeting for his/her attendance at telephonic meetings of the Board and committees;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15,000 shares of the Company’s common stock upon initial election to the Board.</w:t>
      </w:r>
    </w:p>
    <w:p>
      <w:pPr>
        <w:spacing w:after="0" w:line="252" w:lineRule="exact"/>
        <w:rPr>
          <w:sz w:val="20"/>
          <w:szCs w:val="20"/>
          <w:color w:val="auto"/>
        </w:rPr>
      </w:pPr>
    </w:p>
    <w:p>
      <w:pPr>
        <w:ind w:left="460" w:right="40" w:hanging="452"/>
        <w:spacing w:after="0" w:line="258"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hereof, Compensation shall be paid on the applicable Grant Date unless the Participant elects to receive Deferred Stock. The Participants will have the right to elect payments of the values set forth above in any combination of Cash, Shares, Deferred Stock or Options; provided that (i) Compensation paid in the form of Options and/or Deferred Stock shall be made pursuant to the Incentive Compensation Plan, and can only be made in such form if there is a sufficient number of shares of Common Stock available under the Incentive Compensation Plan; and (ii) Compensation paid in the form of Shares shall be made pursuant to this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32" w:name="page33"/>
    <w:bookmarkEnd w:id="32"/>
    <w:p>
      <w:pPr>
        <w:ind w:left="45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can only be made in such form if there is a sufficient number of shares of Common Stock available under this Plan. In the event that the Company does not have a sufficient number of shares of Common Stock remaining under the Incentive Compensation Plan to satisfy elections to receive Options and/or Deferred Stock,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that the Company does not have a sufficient number of shares of Common Stock remaining under this Plan to satisfy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a Participant elects to receive Deferred Stock, then on the Grant Date, the Participant shall receive a Deferred Stock Award and, when the deferment period expires, payment shall be made in shares of Common Stock.</w:t>
      </w:r>
    </w:p>
    <w:p>
      <w:pPr>
        <w:spacing w:after="0" w:line="216" w:lineRule="exact"/>
        <w:rPr>
          <w:sz w:val="20"/>
          <w:szCs w:val="20"/>
          <w:color w:val="auto"/>
        </w:rPr>
      </w:pPr>
    </w:p>
    <w:p>
      <w:pPr>
        <w:ind w:left="452" w:right="20" w:hanging="452"/>
        <w:spacing w:after="0" w:line="258" w:lineRule="auto"/>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elections by the Participants must be made in writing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submitted to the General Counsel of the Company (or such other person as the Committee shall designate) no later than December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or who becomes a Participant during a fiscal year, the payments will be made in cash for that fiscal year.</w:t>
      </w:r>
    </w:p>
    <w:p>
      <w:pPr>
        <w:spacing w:after="0" w:line="210" w:lineRule="exact"/>
        <w:rPr>
          <w:rFonts w:ascii="Times New Roman" w:cs="Times New Roman" w:eastAsia="Times New Roman" w:hAnsi="Times New Roman"/>
          <w:sz w:val="18"/>
          <w:szCs w:val="18"/>
          <w:color w:val="auto"/>
        </w:rPr>
      </w:pPr>
    </w:p>
    <w:p>
      <w:pPr>
        <w:ind w:left="452" w:right="20" w:hanging="452"/>
        <w:spacing w:after="0" w:line="261" w:lineRule="auto"/>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of Shares</w:t>
      </w:r>
      <w:r>
        <w:rPr>
          <w:rFonts w:ascii="Times New Roman" w:cs="Times New Roman" w:eastAsia="Times New Roman" w:hAnsi="Times New Roman"/>
          <w:sz w:val="18"/>
          <w:szCs w:val="18"/>
          <w:color w:val="auto"/>
        </w:rPr>
        <w:t xml:space="preserve">. For the purposes of determining the number of Shares to be issued to a Participant on a Grant Date, each Share shall be assigned a value equal to the consolidated closing bid price of a share of Common Stock as reported by NASDAQ on the effective Grant Date. Any Shares granted pursuant to this Plan shall be fully vested on the Grant Date. Payouts of Shares under the Plan will be in the form of whole Shares only;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balance of any foregone fees not payable in whole Shares will not be paid.</w:t>
      </w:r>
    </w:p>
    <w:p>
      <w:pPr>
        <w:spacing w:after="0" w:line="207" w:lineRule="exact"/>
        <w:rPr>
          <w:rFonts w:ascii="Times New Roman" w:cs="Times New Roman" w:eastAsia="Times New Roman" w:hAnsi="Times New Roman"/>
          <w:sz w:val="18"/>
          <w:szCs w:val="18"/>
          <w:color w:val="auto"/>
        </w:rPr>
      </w:pPr>
    </w:p>
    <w:p>
      <w:pPr>
        <w:ind w:left="452" w:right="60" w:hanging="452"/>
        <w:spacing w:after="0" w:line="258" w:lineRule="auto"/>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of Options and/or Deferred Stock</w:t>
      </w:r>
      <w:r>
        <w:rPr>
          <w:rFonts w:ascii="Times New Roman" w:cs="Times New Roman" w:eastAsia="Times New Roman" w:hAnsi="Times New Roman"/>
          <w:sz w:val="18"/>
          <w:szCs w:val="18"/>
          <w:color w:val="auto"/>
        </w:rPr>
        <w:t>. For the purposes of determining the relative values of Deferred Stock and Options, each share of Deferred Stock shall be assigned a value equal to the closing price of a share of the Common Stock as reported by NASDAQ on the effective Grant Date and each Option to acquire a share of Common Stock shall be assigned a value equal to the Black-Scholes value of an option to acquire a share of Common Stock on the effective Grant Date with an exercise price equal to the closing sale price of a share of Common Stock as reported on a consolidated basis by</w:t>
      </w:r>
    </w:p>
    <w:p>
      <w:pPr>
        <w:spacing w:after="0" w:line="1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12"/>
          </w:cols>
          <w:pgMar w:left="248" w:top="270" w:right="239" w:bottom="1440" w:gutter="0" w:footer="0" w:header="0"/>
        </w:sectPr>
      </w:pPr>
    </w:p>
    <w:bookmarkStart w:id="33" w:name="page34"/>
    <w:bookmarkEnd w:id="33"/>
    <w:p>
      <w:pPr>
        <w:ind w:left="4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NASDAQ on such Grant Date. Any Options issued pursuant to the foregoing shall vest in increments of one-third on the effective Grant Date, one-third on the first anniversary of the effective Grant Date and one-third on the second anniversary of the effective Grant Date. Unless the Board otherwise determines in its sole discretion, any unexercised portion of vested Options shall be exercisable for 10 years after the Grant Date, except in the event of Separation from Service, where vested Options shall automatically terminate: (i) immediately if for cause; (ii) three months if for a reason other than for cause/disability/death; (iii) twelve months if by reason of a Disability; and (iv) (a) twelve months if by reason of death or, if later, (b) three months after the date which the Participant dies if death occurs during the one year period due to Disability. Any Deferred Stock granted pursuant to this Plan shall be fully vested on the Grant Date.</w:t>
      </w:r>
    </w:p>
    <w:p>
      <w:pPr>
        <w:spacing w:after="0" w:line="216" w:lineRule="exact"/>
        <w:rPr>
          <w:sz w:val="20"/>
          <w:szCs w:val="20"/>
          <w:color w:val="auto"/>
        </w:rPr>
      </w:pPr>
    </w:p>
    <w:p>
      <w:pPr>
        <w:ind w:left="460" w:right="4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a Change in Control, all unvested Options to which a Participant would otherwise be entitled shall be forfeited immediately upon the Participant’s Separation from Service except as may otherwise be determined by the Board in writing in its sole discretion.</w:t>
      </w:r>
    </w:p>
    <w:p>
      <w:pPr>
        <w:spacing w:after="0" w:line="188" w:lineRule="exact"/>
        <w:rPr>
          <w:rFonts w:ascii="Times New Roman" w:cs="Times New Roman" w:eastAsia="Times New Roman" w:hAnsi="Times New Roman"/>
          <w:sz w:val="18"/>
          <w:szCs w:val="18"/>
          <w:color w:val="auto"/>
        </w:rPr>
      </w:pPr>
    </w:p>
    <w:p>
      <w:pPr>
        <w:ind w:left="460" w:right="360" w:hanging="452"/>
        <w:spacing w:after="0" w:line="276" w:lineRule="auto"/>
        <w:tabs>
          <w:tab w:leader="none" w:pos="4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elects to receive Deferred Stock, the deferral period shall be 3-5 years after the Grant Date as irrevocably elected by the Participant pursuant to Section 3 (iii) above. Payment of the Deferred Stock Award shall occur on the earlier of (a) the Participant’s Separation from Service or</w:t>
      </w:r>
    </w:p>
    <w:p>
      <w:pPr>
        <w:ind w:left="46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deferral election date specified by the Participant. Notwithstanding the foregoing, if a Participant is a “specified employee”, as that term is defined in 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 Number of Shares Under the Plan.</w:t>
      </w:r>
    </w:p>
    <w:p>
      <w:pPr>
        <w:spacing w:after="0" w:line="1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Subject to adjustment as the Board may from time to time determine, the total number of Shares reserved and available under the Plan with respect to elections to receive Shares in lieu of fees shall initially be 500,000, as adjusted for any stock dividends, combinations, splits, recapitalizations and the like with respect to the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 Change in Control.</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and to the extent that it would not violate the requirements of Section 409A of the Code, in the event of a Change in Control prior to, or concurrently with, a Participant’s Separation from Service, the full value of the Participant’s unpaid or unvested Compensation shall immediately vest and; in the case of any Deferred Stock Award, shall be paid as soon as administratively practicable after, and in all events within 30 days after, the Change of Control.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No Acceleration of Benefits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 Amendment and Termination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 Unfunded Obligation</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not all forms of payment hereunder are being made under the Incentive Compensation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 Withholding</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Applicable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shall be construed and enforced in accordance with the laws of the State of Delaware, except to the extent superseded by federal law.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 Administration and Interpretation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 Code Section 409A</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intended that the Compensation granted pursuant to this Plan other than any Deferred Stock Awards, be exempt from Section 409A of the Code (“Section 409A”) because it is believed (i) the Compensation payable in cash should qualify for the short-term deferral exception contained in Treasury Regulation §1.409A-1(b)(4), and (ii) any Options granted pursuant to the Plan will have an exercise price that may never be less than the Fair Market Value of a Share on the Grant Date and the other requirements for the exemption of such options under Treasury Regulation §1.409A-1(b)(5)(i)(A) should be met. It also is intended that any compensation payable in the form of a Deferred Stock Award comply with the requirements of Section 409A. The provisions of the Plan shall be interpreted in a manner consistent with the foregoing intentions.</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SPACE IS LEFT BLANK INTENTIONALLY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IRREVOCABLE ELECTION AGREEMENT</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General Counsel: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 hereby elect to receive my Destination XL Group, Inc. Non-Employee Director Compensation (as defined in the Destination XL Group,</w:t>
            </w:r>
          </w:p>
        </w:tc>
        <w:tc>
          <w:tcPr>
            <w:tcW w:w="0" w:type="dxa"/>
            <w:vAlign w:val="bottom"/>
          </w:tcPr>
          <w:p>
            <w:pPr>
              <w:spacing w:after="0"/>
              <w:rPr>
                <w:sz w:val="1"/>
                <w:szCs w:val="1"/>
                <w:color w:val="auto"/>
              </w:rPr>
            </w:pPr>
          </w:p>
        </w:tc>
      </w:tr>
      <w:tr>
        <w:trPr>
          <w:trHeight w:val="237"/>
        </w:trPr>
        <w:tc>
          <w:tcPr>
            <w:tcW w:w="7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 Amended and Restated Non-Employee Director Compensation Plan (the “Plan”)) as follows: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PAYMENT CHOICES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 Deferred Stock was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DXLG</w:t>
            </w: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DXLG</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DXLG Stock</w:t>
            </w:r>
          </w:p>
        </w:tc>
        <w:tc>
          <w:tcPr>
            <w:tcW w:w="3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8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20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elected, specify Deferral</w:t>
            </w:r>
          </w:p>
        </w:tc>
        <w:tc>
          <w:tcPr>
            <w:tcW w:w="0" w:type="dxa"/>
            <w:vAlign w:val="bottom"/>
          </w:tcPr>
          <w:p>
            <w:pPr>
              <w:spacing w:after="0"/>
              <w:rPr>
                <w:sz w:val="1"/>
                <w:szCs w:val="1"/>
                <w:color w:val="auto"/>
              </w:rPr>
            </w:pPr>
          </w:p>
        </w:tc>
      </w:tr>
      <w:tr>
        <w:trPr>
          <w:trHeight w:val="165"/>
        </w:trPr>
        <w:tc>
          <w:tcPr>
            <w:tcW w:w="1200" w:type="dxa"/>
            <w:vAlign w:val="bottom"/>
            <w:tcBorders>
              <w:bottom w:val="single" w:sz="8" w:color="auto"/>
            </w:tcBorders>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3"/>
                <w:szCs w:val="13"/>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Retainer</w:t>
            </w:r>
          </w:p>
        </w:tc>
        <w:tc>
          <w:tcPr>
            <w:tcW w:w="22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6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3 yrs.</w:t>
            </w:r>
          </w:p>
        </w:tc>
        <w:tc>
          <w:tcPr>
            <w:tcW w:w="7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4 yrs.</w:t>
            </w:r>
          </w:p>
        </w:tc>
        <w:tc>
          <w:tcPr>
            <w:tcW w:w="5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4"/>
              </w:rPr>
              <w:t>5 yrs.</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In-Person Meetings</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18"/>
                <w:szCs w:val="18"/>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18"/>
                <w:szCs w:val="18"/>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 yrs.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 yrs.</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 yrs.</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Telephonic Meetings</w:t>
            </w:r>
          </w:p>
        </w:tc>
        <w:tc>
          <w:tcPr>
            <w:tcW w:w="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 yrs.</w:t>
            </w: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 yrs.</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yrs.</w:t>
            </w:r>
          </w:p>
        </w:tc>
        <w:tc>
          <w:tcPr>
            <w:tcW w:w="0" w:type="dxa"/>
            <w:vAlign w:val="bottom"/>
          </w:tcPr>
          <w:p>
            <w:pPr>
              <w:spacing w:after="0"/>
              <w:rPr>
                <w:sz w:val="1"/>
                <w:szCs w:val="1"/>
                <w:color w:val="auto"/>
              </w:rPr>
            </w:pPr>
          </w:p>
        </w:tc>
      </w:tr>
      <w:tr>
        <w:trPr>
          <w:trHeight w:val="238"/>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Committee Chair Fee</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 yrs.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 yrs.</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 yrs.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[NOTE: You have the opportunity to decide the Compensation Payment Choice(s): cash, DXLG Stock, DXLG stock options or DXLG Deferred Stock for each type of fee. Your selected option(s) for any given year must equal 100%. If you select Deferred Stock, then distribution of your DXLG shares shall be made on the earlier of the number of years that have elapsed commencing on the Grant Date, and the date of your Separation from Service (or if you become an employee of the Company and are a “specified employee”, as defined in the Plan, the 6-month anniversary of the Grant Date). If you do not specify a number of years, distribution will be made upon your Separation from Service.]</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 understand and acknowledge that (i) with respect to elections to receive DXLG stock options and/or DXLG Deferred Stock, if there is an insufficient number of DXLG shares available under the Company’s 2006 Incentive Compensation Plan, I will be paid in cash and (ii) with respect to elections to receive DXLG Stock, if there is an insufficient number of DXLG shares available under the Plan, I will be paid in cash.</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understand and acknowledge that if there is any conflict between this form or any part of it and the Plan, the provisions of the Plan shall govern.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 have hereunto set my hand and seal this</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day of</w:t>
            </w: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 20  .</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318"/>
        </w:trPr>
        <w:tc>
          <w:tcPr>
            <w:tcW w:w="302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5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(Printed name)</w:t>
            </w:r>
          </w:p>
        </w:tc>
      </w:tr>
      <w:tr>
        <w:trPr>
          <w:trHeight w:val="378"/>
        </w:trPr>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Levin, certify that:</w:t>
      </w:r>
    </w:p>
    <w:p>
      <w:pPr>
        <w:spacing w:after="0" w:line="131"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28,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A. Levin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31"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28,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Peter H. Stratton,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August 2, 2014, as filed with the Securities and Exchange Commission on the date hereof (the “Report”), I, David A. Levin, Chief Executive Officer of the Company, certify pursuant to 18 U.S.C. § 1350, as adopted pursuant to § 906 of the Sarbanes-Oxley Act of 2002, that:</w:t>
      </w:r>
    </w:p>
    <w:p>
      <w:pPr>
        <w:spacing w:after="0" w:line="82" w:lineRule="exact"/>
        <w:rPr>
          <w:sz w:val="20"/>
          <w:szCs w:val="20"/>
          <w:color w:val="auto"/>
        </w:rPr>
      </w:pPr>
    </w:p>
    <w:p>
      <w:pPr>
        <w:ind w:left="1480" w:right="500" w:hanging="567"/>
        <w:spacing w:after="0" w:line="282" w:lineRule="auto"/>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67" w:lineRule="exact"/>
        <w:rPr>
          <w:rFonts w:ascii="Times New Roman" w:cs="Times New Roman" w:eastAsia="Times New Roman" w:hAnsi="Times New Roman"/>
          <w:sz w:val="18"/>
          <w:szCs w:val="18"/>
          <w:color w:val="auto"/>
        </w:rPr>
      </w:pPr>
    </w:p>
    <w:p>
      <w:pPr>
        <w:ind w:left="1480" w:right="280" w:hanging="567"/>
        <w:spacing w:after="0" w:line="282" w:lineRule="auto"/>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456"/>
        <w:spacing w:after="0" w:line="281" w:lineRule="auto"/>
        <w:rPr>
          <w:sz w:val="20"/>
          <w:szCs w:val="20"/>
          <w:color w:val="auto"/>
        </w:rPr>
      </w:pPr>
      <w:r>
        <w:rPr>
          <w:rFonts w:ascii="Times New Roman" w:cs="Times New Roman" w:eastAsia="Times New Roman" w:hAnsi="Times New Roman"/>
          <w:sz w:val="17"/>
          <w:szCs w:val="17"/>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28,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A. Levin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8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August 2, 2014,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82" w:lineRule="exact"/>
        <w:rPr>
          <w:sz w:val="20"/>
          <w:szCs w:val="20"/>
          <w:color w:val="auto"/>
        </w:rPr>
      </w:pPr>
    </w:p>
    <w:p>
      <w:pPr>
        <w:ind w:left="1480" w:right="500" w:hanging="567"/>
        <w:spacing w:after="0" w:line="282"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67" w:lineRule="exact"/>
        <w:rPr>
          <w:rFonts w:ascii="Times New Roman" w:cs="Times New Roman" w:eastAsia="Times New Roman" w:hAnsi="Times New Roman"/>
          <w:sz w:val="18"/>
          <w:szCs w:val="18"/>
          <w:color w:val="auto"/>
        </w:rPr>
      </w:pPr>
    </w:p>
    <w:p>
      <w:pPr>
        <w:ind w:left="1480" w:right="280" w:hanging="567"/>
        <w:spacing w:after="0" w:line="282"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456"/>
        <w:spacing w:after="0" w:line="281" w:lineRule="auto"/>
        <w:rPr>
          <w:sz w:val="20"/>
          <w:szCs w:val="20"/>
          <w:color w:val="auto"/>
        </w:rPr>
      </w:pPr>
      <w:r>
        <w:rPr>
          <w:rFonts w:ascii="Times New Roman" w:cs="Times New Roman" w:eastAsia="Times New Roman" w:hAnsi="Times New Roman"/>
          <w:sz w:val="17"/>
          <w:szCs w:val="17"/>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28,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Peter H. Stratton,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5" w:lineRule="exact"/>
        <w:rPr>
          <w:sz w:val="20"/>
          <w:szCs w:val="20"/>
          <w:color w:val="auto"/>
        </w:rPr>
      </w:pPr>
    </w:p>
    <w:p>
      <w:pPr>
        <w:ind w:right="80" w:firstLine="913"/>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0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5"/>
    </w:lvl>
  </w:abstractNum>
  <w:abstractNum w:abstractNumId="15">
    <w:nsid w:val="62BBD95A"/>
    <w:multiLevelType w:val="hybridMultilevel"/>
    <w:lvl w:ilvl="0">
      <w:lvlJc w:val="left"/>
      <w:lvlText w:val="(%1)"/>
      <w:numFmt w:val="lowerLetter"/>
      <w:start w:val="16"/>
    </w:lvl>
  </w:abstractNum>
  <w:abstractNum w:abstractNumId="16">
    <w:nsid w:val="436C6125"/>
    <w:multiLevelType w:val="hybridMultilevel"/>
    <w:lvl w:ilvl="0">
      <w:lvlJc w:val="left"/>
      <w:lvlText w:val="(%1)"/>
      <w:numFmt w:val="lowerLetter"/>
      <w:start w:val="9"/>
    </w:lvl>
    <w:lvl w:ilvl="1">
      <w:lvlJc w:val="left"/>
      <w:lvlText w:val="(%2)"/>
      <w:numFmt w:val="lowerLetter"/>
      <w:start w:val="1"/>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lowerRoman"/>
      <w:start w:val="3"/>
    </w:lvl>
  </w:abstractNum>
  <w:abstractNum w:abstractNumId="19">
    <w:nsid w:val="721DA317"/>
    <w:multiLevelType w:val="hybridMultilevel"/>
    <w:lvl w:ilvl="0">
      <w:lvlJc w:val="left"/>
      <w:lvlText w:val="(%1)"/>
      <w:numFmt w:val="lowerRoman"/>
      <w:start w:val="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2019-12-06T00:05:41Z</dcterms:created>
  <dcterms:modified xsi:type="dcterms:W3CDTF">2019-12-06T00:05:41Z</dcterms:modified>
</cp:coreProperties>
</file>