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7"/>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134620</wp:posOffset>
            </wp:positionH>
            <wp:positionV relativeFrom="page">
              <wp:posOffset>248920</wp:posOffset>
            </wp:positionV>
            <wp:extent cx="72923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page">
              <wp:posOffset>134620</wp:posOffset>
            </wp:positionH>
            <wp:positionV relativeFrom="page">
              <wp:posOffset>260350</wp:posOffset>
            </wp:positionV>
            <wp:extent cx="72923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2340" cy="5715"/>
                    </a:xfrm>
                    <a:prstGeom prst="rect">
                      <a:avLst/>
                    </a:prstGeom>
                    <a:noFill/>
                  </pic:spPr>
                </pic:pic>
              </a:graphicData>
            </a:graphic>
          </wp:anchor>
        </w:drawing>
        <w:t>UNITED STATES</w:t>
      </w:r>
    </w:p>
    <w:p>
      <w:pPr>
        <w:spacing w:after="0" w:line="6" w:lineRule="exact"/>
        <w:rPr>
          <w:sz w:val="24"/>
          <w:szCs w:val="24"/>
          <w:color w:val="auto"/>
        </w:rPr>
      </w:pPr>
    </w:p>
    <w:p>
      <w:pPr>
        <w:jc w:val="center"/>
        <w:ind w:right="-107"/>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07"/>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3282950</wp:posOffset>
            </wp:positionH>
            <wp:positionV relativeFrom="paragraph">
              <wp:posOffset>111125</wp:posOffset>
            </wp:positionV>
            <wp:extent cx="7264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440" cy="5715"/>
                    </a:xfrm>
                    <a:prstGeom prst="rect">
                      <a:avLst/>
                    </a:prstGeom>
                    <a:noFill/>
                  </pic:spPr>
                </pic:pic>
              </a:graphicData>
            </a:graphic>
          </wp:anchor>
        </w:drawing>
      </w:r>
    </w:p>
    <w:p>
      <w:pPr>
        <w:spacing w:after="0" w:line="244" w:lineRule="exact"/>
        <w:rPr>
          <w:sz w:val="24"/>
          <w:szCs w:val="24"/>
          <w:color w:val="auto"/>
        </w:rPr>
      </w:pPr>
    </w:p>
    <w:p>
      <w:pPr>
        <w:jc w:val="center"/>
        <w:ind w:right="-107"/>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3282950</wp:posOffset>
            </wp:positionH>
            <wp:positionV relativeFrom="paragraph">
              <wp:posOffset>120015</wp:posOffset>
            </wp:positionV>
            <wp:extent cx="7264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440" cy="5715"/>
                    </a:xfrm>
                    <a:prstGeom prst="rect">
                      <a:avLst/>
                    </a:prstGeom>
                    <a:noFill/>
                  </pic:spPr>
                </pic:pic>
              </a:graphicData>
            </a:graphic>
          </wp:anchor>
        </w:drawing>
      </w:r>
    </w:p>
    <w:p>
      <w:pPr>
        <w:spacing w:after="0" w:line="268" w:lineRule="exact"/>
        <w:rPr>
          <w:sz w:val="24"/>
          <w:szCs w:val="24"/>
          <w:color w:val="auto"/>
        </w:rPr>
      </w:pPr>
    </w:p>
    <w:p>
      <w:pPr>
        <w:jc w:val="center"/>
        <w:ind w:right="-107"/>
        <w:spacing w:after="0"/>
        <w:rPr>
          <w:sz w:val="20"/>
          <w:szCs w:val="20"/>
          <w:color w:val="auto"/>
        </w:rPr>
      </w:pPr>
      <w:r>
        <w:rPr>
          <w:rFonts w:ascii="Arial" w:cs="Arial" w:eastAsia="Arial" w:hAnsi="Arial"/>
          <w:sz w:val="14"/>
          <w:szCs w:val="14"/>
          <w:b w:val="1"/>
          <w:bCs w:val="1"/>
          <w:color w:val="auto"/>
        </w:rPr>
        <w:t>CURRENT REPORT</w:t>
      </w:r>
    </w:p>
    <w:p>
      <w:pPr>
        <w:spacing w:after="0" w:line="109" w:lineRule="exact"/>
        <w:rPr>
          <w:sz w:val="24"/>
          <w:szCs w:val="24"/>
          <w:color w:val="auto"/>
        </w:rPr>
      </w:pPr>
    </w:p>
    <w:p>
      <w:pPr>
        <w:jc w:val="center"/>
        <w:ind w:right="-107"/>
        <w:spacing w:after="0"/>
        <w:rPr>
          <w:sz w:val="20"/>
          <w:szCs w:val="20"/>
          <w:color w:val="auto"/>
        </w:rPr>
      </w:pPr>
      <w:r>
        <w:rPr>
          <w:rFonts w:ascii="Arial" w:cs="Arial" w:eastAsia="Arial" w:hAnsi="Arial"/>
          <w:sz w:val="14"/>
          <w:szCs w:val="14"/>
          <w:b w:val="1"/>
          <w:bCs w:val="1"/>
          <w:color w:val="auto"/>
        </w:rPr>
        <w:t>Pursuant to Section 13 or 15(d) of the Securities Exchange Act of 1934</w:t>
      </w:r>
    </w:p>
    <w:p>
      <w:pPr>
        <w:spacing w:after="0" w:line="109" w:lineRule="exact"/>
        <w:rPr>
          <w:sz w:val="24"/>
          <w:szCs w:val="24"/>
          <w:color w:val="auto"/>
        </w:rPr>
      </w:pPr>
    </w:p>
    <w:p>
      <w:pPr>
        <w:jc w:val="center"/>
        <w:ind w:right="-107"/>
        <w:spacing w:after="0"/>
        <w:rPr>
          <w:sz w:val="20"/>
          <w:szCs w:val="20"/>
          <w:color w:val="auto"/>
        </w:rPr>
      </w:pPr>
      <w:r>
        <w:rPr>
          <w:rFonts w:ascii="Arial" w:cs="Arial" w:eastAsia="Arial" w:hAnsi="Arial"/>
          <w:sz w:val="14"/>
          <w:szCs w:val="14"/>
          <w:b w:val="1"/>
          <w:bCs w:val="1"/>
          <w:color w:val="auto"/>
        </w:rPr>
        <w:t>Date of Report (Date of earliest event reported): May 24,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3282950</wp:posOffset>
            </wp:positionH>
            <wp:positionV relativeFrom="paragraph">
              <wp:posOffset>115570</wp:posOffset>
            </wp:positionV>
            <wp:extent cx="7264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440" cy="5715"/>
                    </a:xfrm>
                    <a:prstGeom prst="rect">
                      <a:avLst/>
                    </a:prstGeom>
                    <a:noFill/>
                  </pic:spPr>
                </pic:pic>
              </a:graphicData>
            </a:graphic>
          </wp:anchor>
        </w:drawing>
      </w:r>
    </w:p>
    <w:p>
      <w:pPr>
        <w:spacing w:after="0" w:line="253" w:lineRule="exact"/>
        <w:rPr>
          <w:sz w:val="24"/>
          <w:szCs w:val="24"/>
          <w:color w:val="auto"/>
        </w:rPr>
      </w:pPr>
    </w:p>
    <w:p>
      <w:pPr>
        <w:jc w:val="center"/>
        <w:ind w:right="-107"/>
        <w:spacing w:after="0"/>
        <w:rPr>
          <w:sz w:val="20"/>
          <w:szCs w:val="20"/>
          <w:color w:val="auto"/>
        </w:rPr>
      </w:pPr>
      <w:r>
        <w:rPr>
          <w:rFonts w:ascii="Arial" w:cs="Arial" w:eastAsia="Arial" w:hAnsi="Arial"/>
          <w:sz w:val="24"/>
          <w:szCs w:val="24"/>
          <w:b w:val="1"/>
          <w:bCs w:val="1"/>
          <w:color w:val="auto"/>
        </w:rPr>
        <w:t>DESTINATION XL GROUP, INC.</w:t>
      </w:r>
    </w:p>
    <w:p>
      <w:pPr>
        <w:spacing w:after="0" w:line="30" w:lineRule="exact"/>
        <w:rPr>
          <w:sz w:val="24"/>
          <w:szCs w:val="24"/>
          <w:color w:val="auto"/>
        </w:rPr>
      </w:pPr>
    </w:p>
    <w:p>
      <w:pPr>
        <w:jc w:val="center"/>
        <w:ind w:right="-107"/>
        <w:spacing w:after="0"/>
        <w:rPr>
          <w:sz w:val="20"/>
          <w:szCs w:val="20"/>
          <w:color w:val="auto"/>
        </w:rPr>
      </w:pPr>
      <w:r>
        <w:rPr>
          <w:rFonts w:ascii="Arial" w:cs="Arial" w:eastAsia="Arial" w:hAnsi="Arial"/>
          <w:sz w:val="9"/>
          <w:szCs w:val="9"/>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3282950</wp:posOffset>
            </wp:positionH>
            <wp:positionV relativeFrom="paragraph">
              <wp:posOffset>105410</wp:posOffset>
            </wp:positionV>
            <wp:extent cx="7264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440" cy="5715"/>
                    </a:xfrm>
                    <a:prstGeom prst="rect">
                      <a:avLst/>
                    </a:prstGeom>
                    <a:noFill/>
                  </pic:spPr>
                </pic:pic>
              </a:graphicData>
            </a:graphic>
          </wp:anchor>
        </w:drawing>
      </w:r>
    </w:p>
    <w:p>
      <w:pPr>
        <w:spacing w:after="0" w:line="272" w:lineRule="exact"/>
        <w:rPr>
          <w:sz w:val="24"/>
          <w:szCs w:val="24"/>
          <w:color w:val="auto"/>
        </w:rPr>
      </w:pPr>
    </w:p>
    <w:tbl>
      <w:tblPr>
        <w:tblLayout w:type="fixed"/>
        <w:tblInd w:w="1148" w:type="dxa"/>
        <w:tblCellMar>
          <w:top w:w="0" w:type="dxa"/>
          <w:left w:w="0" w:type="dxa"/>
          <w:bottom w:w="0" w:type="dxa"/>
          <w:right w:w="0" w:type="dxa"/>
        </w:tblCellMar>
      </w:tblPr>
      <w:tr>
        <w:trPr>
          <w:trHeight w:val="171"/>
        </w:trPr>
        <w:tc>
          <w:tcPr>
            <w:tcW w:w="2040" w:type="dxa"/>
            <w:vAlign w:val="bottom"/>
          </w:tcPr>
          <w:p>
            <w:pPr>
              <w:jc w:val="center"/>
              <w:ind w:right="445"/>
              <w:spacing w:after="0"/>
              <w:rPr>
                <w:sz w:val="20"/>
                <w:szCs w:val="20"/>
                <w:color w:val="auto"/>
              </w:rPr>
            </w:pPr>
            <w:r>
              <w:rPr>
                <w:rFonts w:ascii="Arial" w:cs="Arial" w:eastAsia="Arial" w:hAnsi="Arial"/>
                <w:sz w:val="14"/>
                <w:szCs w:val="14"/>
                <w:b w:val="1"/>
                <w:bCs w:val="1"/>
                <w:color w:val="auto"/>
                <w:w w:val="94"/>
              </w:rPr>
              <w:t>Delaware</w:t>
            </w:r>
          </w:p>
        </w:tc>
        <w:tc>
          <w:tcPr>
            <w:tcW w:w="5320" w:type="dxa"/>
            <w:vAlign w:val="bottom"/>
          </w:tcPr>
          <w:p>
            <w:pPr>
              <w:jc w:val="center"/>
              <w:ind w:right="142"/>
              <w:spacing w:after="0"/>
              <w:rPr>
                <w:sz w:val="20"/>
                <w:szCs w:val="20"/>
                <w:color w:val="auto"/>
              </w:rPr>
            </w:pPr>
            <w:r>
              <w:rPr>
                <w:rFonts w:ascii="Arial" w:cs="Arial" w:eastAsia="Arial" w:hAnsi="Arial"/>
                <w:sz w:val="14"/>
                <w:szCs w:val="14"/>
                <w:b w:val="1"/>
                <w:bCs w:val="1"/>
                <w:color w:val="auto"/>
                <w:w w:val="94"/>
              </w:rPr>
              <w:t>01-34219</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04-2623104</w:t>
            </w:r>
          </w:p>
        </w:tc>
        <w:tc>
          <w:tcPr>
            <w:tcW w:w="0" w:type="dxa"/>
            <w:vAlign w:val="bottom"/>
          </w:tcPr>
          <w:p>
            <w:pPr>
              <w:spacing w:after="0"/>
              <w:rPr>
                <w:sz w:val="1"/>
                <w:szCs w:val="1"/>
                <w:color w:val="auto"/>
              </w:rPr>
            </w:pPr>
          </w:p>
        </w:tc>
      </w:tr>
      <w:tr>
        <w:trPr>
          <w:trHeight w:val="99"/>
        </w:trPr>
        <w:tc>
          <w:tcPr>
            <w:tcW w:w="2040" w:type="dxa"/>
            <w:vAlign w:val="bottom"/>
          </w:tcPr>
          <w:p>
            <w:pPr>
              <w:jc w:val="center"/>
              <w:ind w:right="445"/>
              <w:spacing w:after="0" w:line="99" w:lineRule="exact"/>
              <w:rPr>
                <w:sz w:val="20"/>
                <w:szCs w:val="20"/>
                <w:color w:val="auto"/>
              </w:rPr>
            </w:pPr>
            <w:r>
              <w:rPr>
                <w:rFonts w:ascii="Arial" w:cs="Arial" w:eastAsia="Arial" w:hAnsi="Arial"/>
                <w:sz w:val="9"/>
                <w:szCs w:val="9"/>
                <w:b w:val="1"/>
                <w:bCs w:val="1"/>
                <w:color w:val="auto"/>
                <w:w w:val="90"/>
              </w:rPr>
              <w:t>(State or Other Jurisdiction</w:t>
            </w:r>
          </w:p>
        </w:tc>
        <w:tc>
          <w:tcPr>
            <w:tcW w:w="5320" w:type="dxa"/>
            <w:vAlign w:val="bottom"/>
          </w:tcPr>
          <w:p>
            <w:pPr>
              <w:spacing w:after="0"/>
              <w:rPr>
                <w:sz w:val="8"/>
                <w:szCs w:val="8"/>
                <w:color w:val="auto"/>
              </w:rPr>
            </w:pPr>
          </w:p>
        </w:tc>
        <w:tc>
          <w:tcPr>
            <w:tcW w:w="1420" w:type="dxa"/>
            <w:vAlign w:val="bottom"/>
          </w:tcPr>
          <w:p>
            <w:pPr>
              <w:jc w:val="center"/>
              <w:ind w:left="664"/>
              <w:spacing w:after="0" w:line="99" w:lineRule="exact"/>
              <w:rPr>
                <w:sz w:val="20"/>
                <w:szCs w:val="20"/>
                <w:color w:val="auto"/>
              </w:rPr>
            </w:pPr>
            <w:r>
              <w:rPr>
                <w:rFonts w:ascii="Arial" w:cs="Arial" w:eastAsia="Arial" w:hAnsi="Arial"/>
                <w:sz w:val="9"/>
                <w:szCs w:val="9"/>
                <w:b w:val="1"/>
                <w:bCs w:val="1"/>
                <w:color w:val="auto"/>
                <w:w w:val="94"/>
              </w:rPr>
              <w:t>(IRS Employer</w:t>
            </w:r>
          </w:p>
        </w:tc>
        <w:tc>
          <w:tcPr>
            <w:tcW w:w="0" w:type="dxa"/>
            <w:vAlign w:val="bottom"/>
          </w:tcPr>
          <w:p>
            <w:pPr>
              <w:spacing w:after="0"/>
              <w:rPr>
                <w:sz w:val="1"/>
                <w:szCs w:val="1"/>
                <w:color w:val="auto"/>
              </w:rPr>
            </w:pPr>
          </w:p>
        </w:tc>
      </w:tr>
      <w:tr>
        <w:trPr>
          <w:trHeight w:val="116"/>
        </w:trPr>
        <w:tc>
          <w:tcPr>
            <w:tcW w:w="2040" w:type="dxa"/>
            <w:vAlign w:val="bottom"/>
          </w:tcPr>
          <w:p>
            <w:pPr>
              <w:jc w:val="center"/>
              <w:ind w:right="445"/>
              <w:spacing w:after="0"/>
              <w:rPr>
                <w:sz w:val="20"/>
                <w:szCs w:val="20"/>
                <w:color w:val="auto"/>
              </w:rPr>
            </w:pPr>
            <w:r>
              <w:rPr>
                <w:rFonts w:ascii="Arial" w:cs="Arial" w:eastAsia="Arial" w:hAnsi="Arial"/>
                <w:sz w:val="9"/>
                <w:szCs w:val="9"/>
                <w:b w:val="1"/>
                <w:bCs w:val="1"/>
                <w:color w:val="auto"/>
                <w:w w:val="91"/>
              </w:rPr>
              <w:t>of Incorporation)</w:t>
            </w:r>
          </w:p>
        </w:tc>
        <w:tc>
          <w:tcPr>
            <w:tcW w:w="5320" w:type="dxa"/>
            <w:vAlign w:val="bottom"/>
          </w:tcPr>
          <w:p>
            <w:pPr>
              <w:jc w:val="center"/>
              <w:ind w:right="142"/>
              <w:spacing w:after="0"/>
              <w:rPr>
                <w:sz w:val="20"/>
                <w:szCs w:val="20"/>
                <w:color w:val="auto"/>
              </w:rPr>
            </w:pPr>
            <w:r>
              <w:rPr>
                <w:rFonts w:ascii="Arial" w:cs="Arial" w:eastAsia="Arial" w:hAnsi="Arial"/>
                <w:sz w:val="9"/>
                <w:szCs w:val="9"/>
                <w:b w:val="1"/>
                <w:bCs w:val="1"/>
                <w:color w:val="auto"/>
                <w:w w:val="90"/>
              </w:rPr>
              <w:t>(Commission File Number)</w:t>
            </w:r>
          </w:p>
        </w:tc>
        <w:tc>
          <w:tcPr>
            <w:tcW w:w="1420" w:type="dxa"/>
            <w:vAlign w:val="bottom"/>
          </w:tcPr>
          <w:p>
            <w:pPr>
              <w:jc w:val="center"/>
              <w:ind w:left="644"/>
              <w:spacing w:after="0"/>
              <w:rPr>
                <w:sz w:val="20"/>
                <w:szCs w:val="20"/>
                <w:color w:val="auto"/>
              </w:rPr>
            </w:pPr>
            <w:r>
              <w:rPr>
                <w:rFonts w:ascii="Arial" w:cs="Arial" w:eastAsia="Arial" w:hAnsi="Arial"/>
                <w:sz w:val="9"/>
                <w:szCs w:val="9"/>
                <w:b w:val="1"/>
                <w:bCs w:val="1"/>
                <w:color w:val="auto"/>
                <w:w w:val="94"/>
              </w:rPr>
              <w:t>Identification No.)</w:t>
            </w:r>
          </w:p>
        </w:tc>
        <w:tc>
          <w:tcPr>
            <w:tcW w:w="0" w:type="dxa"/>
            <w:vAlign w:val="bottom"/>
          </w:tcPr>
          <w:p>
            <w:pPr>
              <w:spacing w:after="0"/>
              <w:rPr>
                <w:sz w:val="1"/>
                <w:szCs w:val="1"/>
                <w:color w:val="auto"/>
              </w:rPr>
            </w:pPr>
          </w:p>
        </w:tc>
      </w:tr>
      <w:tr>
        <w:trPr>
          <w:trHeight w:val="285"/>
        </w:trPr>
        <w:tc>
          <w:tcPr>
            <w:tcW w:w="2040" w:type="dxa"/>
            <w:vAlign w:val="bottom"/>
          </w:tcPr>
          <w:p>
            <w:pPr>
              <w:jc w:val="center"/>
              <w:ind w:right="445"/>
              <w:spacing w:after="0"/>
              <w:rPr>
                <w:sz w:val="20"/>
                <w:szCs w:val="20"/>
                <w:color w:val="auto"/>
              </w:rPr>
            </w:pPr>
            <w:r>
              <w:rPr>
                <w:rFonts w:ascii="Arial" w:cs="Arial" w:eastAsia="Arial" w:hAnsi="Arial"/>
                <w:sz w:val="12"/>
                <w:szCs w:val="12"/>
                <w:b w:val="1"/>
                <w:bCs w:val="1"/>
                <w:color w:val="auto"/>
                <w:w w:val="91"/>
              </w:rPr>
              <w:t>555 Turnpike Street</w:t>
            </w:r>
            <w:r>
              <w:rPr>
                <w:rFonts w:ascii="Arial" w:cs="Arial" w:eastAsia="Arial" w:hAnsi="Arial"/>
                <w:sz w:val="14"/>
                <w:szCs w:val="14"/>
                <w:b w:val="1"/>
                <w:bCs w:val="1"/>
                <w:color w:val="auto"/>
                <w:w w:val="91"/>
              </w:rPr>
              <w:t>,</w:t>
            </w:r>
          </w:p>
        </w:tc>
        <w:tc>
          <w:tcPr>
            <w:tcW w:w="5320" w:type="dxa"/>
            <w:vAlign w:val="bottom"/>
          </w:tcPr>
          <w:p>
            <w:pPr>
              <w:spacing w:after="0"/>
              <w:rPr>
                <w:sz w:val="24"/>
                <w:szCs w:val="24"/>
                <w:color w:val="auto"/>
              </w:rPr>
            </w:pPr>
          </w:p>
        </w:tc>
        <w:tc>
          <w:tcPr>
            <w:tcW w:w="1420" w:type="dxa"/>
            <w:vAlign w:val="bottom"/>
            <w:vMerge w:val="restart"/>
          </w:tcPr>
          <w:p>
            <w:pPr>
              <w:jc w:val="right"/>
              <w:ind w:right="124"/>
              <w:spacing w:after="0"/>
              <w:rPr>
                <w:sz w:val="20"/>
                <w:szCs w:val="20"/>
                <w:color w:val="auto"/>
              </w:rPr>
            </w:pPr>
            <w:r>
              <w:rPr>
                <w:rFonts w:ascii="Arial" w:cs="Arial" w:eastAsia="Arial" w:hAnsi="Arial"/>
                <w:sz w:val="14"/>
                <w:szCs w:val="14"/>
                <w:b w:val="1"/>
                <w:bCs w:val="1"/>
                <w:color w:val="auto"/>
              </w:rPr>
              <w:t>02021</w:t>
            </w:r>
          </w:p>
        </w:tc>
        <w:tc>
          <w:tcPr>
            <w:tcW w:w="0" w:type="dxa"/>
            <w:vAlign w:val="bottom"/>
          </w:tcPr>
          <w:p>
            <w:pPr>
              <w:spacing w:after="0"/>
              <w:rPr>
                <w:sz w:val="1"/>
                <w:szCs w:val="1"/>
                <w:color w:val="auto"/>
              </w:rPr>
            </w:pPr>
          </w:p>
        </w:tc>
      </w:tr>
      <w:tr>
        <w:trPr>
          <w:trHeight w:val="148"/>
        </w:trPr>
        <w:tc>
          <w:tcPr>
            <w:tcW w:w="2040" w:type="dxa"/>
            <w:vAlign w:val="bottom"/>
          </w:tcPr>
          <w:p>
            <w:pPr>
              <w:jc w:val="center"/>
              <w:ind w:right="445"/>
              <w:spacing w:after="0"/>
              <w:rPr>
                <w:sz w:val="20"/>
                <w:szCs w:val="20"/>
                <w:color w:val="auto"/>
              </w:rPr>
            </w:pPr>
            <w:r>
              <w:rPr>
                <w:rFonts w:ascii="Arial" w:cs="Arial" w:eastAsia="Arial" w:hAnsi="Arial"/>
                <w:sz w:val="12"/>
                <w:szCs w:val="12"/>
                <w:b w:val="1"/>
                <w:bCs w:val="1"/>
                <w:color w:val="auto"/>
                <w:w w:val="88"/>
              </w:rPr>
              <w:t>Canton, Massachusetts</w:t>
            </w:r>
          </w:p>
        </w:tc>
        <w:tc>
          <w:tcPr>
            <w:tcW w:w="53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40" w:type="dxa"/>
            <w:vAlign w:val="bottom"/>
          </w:tcPr>
          <w:p>
            <w:pPr>
              <w:jc w:val="center"/>
              <w:ind w:right="445"/>
              <w:spacing w:after="0"/>
              <w:rPr>
                <w:sz w:val="20"/>
                <w:szCs w:val="20"/>
                <w:color w:val="auto"/>
              </w:rPr>
            </w:pPr>
            <w:r>
              <w:rPr>
                <w:rFonts w:ascii="Arial" w:cs="Arial" w:eastAsia="Arial" w:hAnsi="Arial"/>
                <w:sz w:val="9"/>
                <w:szCs w:val="9"/>
                <w:b w:val="1"/>
                <w:bCs w:val="1"/>
                <w:color w:val="auto"/>
                <w:w w:val="90"/>
              </w:rPr>
              <w:t>(Address of Principal Executive Offices)</w:t>
            </w:r>
          </w:p>
        </w:tc>
        <w:tc>
          <w:tcPr>
            <w:tcW w:w="5320" w:type="dxa"/>
            <w:vAlign w:val="bottom"/>
          </w:tcPr>
          <w:p>
            <w:pPr>
              <w:spacing w:after="0"/>
              <w:rPr>
                <w:sz w:val="10"/>
                <w:szCs w:val="10"/>
                <w:color w:val="auto"/>
              </w:rPr>
            </w:pPr>
          </w:p>
        </w:tc>
        <w:tc>
          <w:tcPr>
            <w:tcW w:w="1420" w:type="dxa"/>
            <w:vAlign w:val="bottom"/>
          </w:tcPr>
          <w:p>
            <w:pPr>
              <w:jc w:val="center"/>
              <w:ind w:left="664"/>
              <w:spacing w:after="0"/>
              <w:rPr>
                <w:sz w:val="20"/>
                <w:szCs w:val="20"/>
                <w:color w:val="auto"/>
              </w:rPr>
            </w:pPr>
            <w:r>
              <w:rPr>
                <w:rFonts w:ascii="Arial" w:cs="Arial" w:eastAsia="Arial" w:hAnsi="Arial"/>
                <w:sz w:val="9"/>
                <w:szCs w:val="9"/>
                <w:b w:val="1"/>
                <w:bCs w:val="1"/>
                <w:color w:val="auto"/>
                <w:w w:val="94"/>
              </w:rPr>
              <w:t>(Zip Code)</w:t>
            </w:r>
          </w:p>
        </w:tc>
        <w:tc>
          <w:tcPr>
            <w:tcW w:w="0" w:type="dxa"/>
            <w:vAlign w:val="bottom"/>
          </w:tcPr>
          <w:p>
            <w:pPr>
              <w:spacing w:after="0"/>
              <w:rPr>
                <w:sz w:val="1"/>
                <w:szCs w:val="1"/>
                <w:color w:val="auto"/>
              </w:rPr>
            </w:pPr>
          </w:p>
        </w:tc>
      </w:tr>
      <w:tr>
        <w:trPr>
          <w:trHeight w:val="268"/>
        </w:trPr>
        <w:tc>
          <w:tcPr>
            <w:tcW w:w="2040" w:type="dxa"/>
            <w:vAlign w:val="bottom"/>
          </w:tcPr>
          <w:p>
            <w:pPr>
              <w:spacing w:after="0"/>
              <w:rPr>
                <w:sz w:val="23"/>
                <w:szCs w:val="23"/>
                <w:color w:val="auto"/>
              </w:rPr>
            </w:pPr>
          </w:p>
        </w:tc>
        <w:tc>
          <w:tcPr>
            <w:tcW w:w="532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 xml:space="preserve">Registrant’s Telephone Number, Including Area Code: </w:t>
            </w:r>
            <w:r>
              <w:rPr>
                <w:rFonts w:ascii="Arial" w:cs="Arial" w:eastAsia="Arial" w:hAnsi="Arial"/>
                <w:sz w:val="12"/>
                <w:szCs w:val="12"/>
                <w:b w:val="1"/>
                <w:bCs w:val="1"/>
                <w:color w:val="auto"/>
                <w:w w:val="92"/>
              </w:rPr>
              <w:t>(781) 828-9300</w:t>
            </w: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2040" w:type="dxa"/>
            <w:vAlign w:val="bottom"/>
          </w:tcPr>
          <w:p>
            <w:pPr>
              <w:spacing w:after="0"/>
              <w:rPr>
                <w:sz w:val="19"/>
                <w:szCs w:val="19"/>
                <w:color w:val="auto"/>
              </w:rPr>
            </w:pPr>
          </w:p>
        </w:tc>
        <w:tc>
          <w:tcPr>
            <w:tcW w:w="5320" w:type="dxa"/>
            <w:vAlign w:val="bottom"/>
          </w:tcPr>
          <w:p>
            <w:pPr>
              <w:jc w:val="center"/>
              <w:ind w:right="162"/>
              <w:spacing w:after="0"/>
              <w:rPr>
                <w:sz w:val="20"/>
                <w:szCs w:val="20"/>
                <w:color w:val="auto"/>
              </w:rPr>
            </w:pPr>
            <w:r>
              <w:rPr>
                <w:rFonts w:ascii="Arial" w:cs="Arial" w:eastAsia="Arial" w:hAnsi="Arial"/>
                <w:sz w:val="11"/>
                <w:szCs w:val="11"/>
                <w:b w:val="1"/>
                <w:bCs w:val="1"/>
                <w:color w:val="auto"/>
                <w:w w:val="90"/>
              </w:rPr>
              <w:t>Not Applicable</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40" w:type="dxa"/>
            <w:vAlign w:val="bottom"/>
          </w:tcPr>
          <w:p>
            <w:pPr>
              <w:spacing w:after="0"/>
              <w:rPr>
                <w:sz w:val="10"/>
                <w:szCs w:val="10"/>
                <w:color w:val="auto"/>
              </w:rPr>
            </w:pPr>
          </w:p>
        </w:tc>
        <w:tc>
          <w:tcPr>
            <w:tcW w:w="5320" w:type="dxa"/>
            <w:vAlign w:val="bottom"/>
          </w:tcPr>
          <w:p>
            <w:pPr>
              <w:jc w:val="center"/>
              <w:ind w:right="162"/>
              <w:spacing w:after="0"/>
              <w:rPr>
                <w:sz w:val="20"/>
                <w:szCs w:val="20"/>
                <w:color w:val="auto"/>
              </w:rPr>
            </w:pPr>
            <w:r>
              <w:rPr>
                <w:rFonts w:ascii="Arial" w:cs="Arial" w:eastAsia="Arial" w:hAnsi="Arial"/>
                <w:sz w:val="9"/>
                <w:szCs w:val="9"/>
                <w:b w:val="1"/>
                <w:bCs w:val="1"/>
                <w:color w:val="auto"/>
                <w:w w:val="91"/>
              </w:rPr>
              <w:t>(Former Name or Former Address, if Changed Since Last Report)</w:t>
            </w: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3282950</wp:posOffset>
            </wp:positionH>
            <wp:positionV relativeFrom="paragraph">
              <wp:posOffset>103505</wp:posOffset>
            </wp:positionV>
            <wp:extent cx="7264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440" cy="5715"/>
                    </a:xfrm>
                    <a:prstGeom prst="rect">
                      <a:avLst/>
                    </a:prstGeom>
                    <a:noFill/>
                  </pic:spPr>
                </pic:pic>
              </a:graphicData>
            </a:graphic>
          </wp:anchor>
        </w:drawing>
      </w:r>
    </w:p>
    <w:p>
      <w:pPr>
        <w:spacing w:after="0" w:line="251"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(see General Instructions A.2. below):</w:t>
      </w:r>
    </w:p>
    <w:p>
      <w:pPr>
        <w:spacing w:after="0" w:line="114" w:lineRule="exact"/>
        <w:rPr>
          <w:sz w:val="24"/>
          <w:szCs w:val="24"/>
          <w:color w:val="auto"/>
        </w:rPr>
      </w:pPr>
    </w:p>
    <w:p>
      <w:pPr>
        <w:ind w:left="588" w:hanging="588"/>
        <w:spacing w:after="0"/>
        <w:tabs>
          <w:tab w:leader="none" w:pos="5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14" w:lineRule="exact"/>
        <w:rPr>
          <w:rFonts w:ascii="MS PGothic" w:cs="MS PGothic" w:eastAsia="MS PGothic" w:hAnsi="MS PGothic"/>
          <w:sz w:val="12"/>
          <w:szCs w:val="12"/>
          <w:color w:val="auto"/>
        </w:rPr>
      </w:pPr>
    </w:p>
    <w:p>
      <w:pPr>
        <w:ind w:left="588" w:hanging="588"/>
        <w:spacing w:after="0"/>
        <w:tabs>
          <w:tab w:leader="none" w:pos="5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14" w:lineRule="exact"/>
        <w:rPr>
          <w:rFonts w:ascii="MS PGothic" w:cs="MS PGothic" w:eastAsia="MS PGothic" w:hAnsi="MS PGothic"/>
          <w:sz w:val="12"/>
          <w:szCs w:val="12"/>
          <w:color w:val="auto"/>
        </w:rPr>
      </w:pPr>
    </w:p>
    <w:p>
      <w:pPr>
        <w:ind w:left="588" w:hanging="588"/>
        <w:spacing w:after="0"/>
        <w:tabs>
          <w:tab w:leader="none" w:pos="5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14" w:lineRule="exact"/>
        <w:rPr>
          <w:rFonts w:ascii="MS PGothic" w:cs="MS PGothic" w:eastAsia="MS PGothic" w:hAnsi="MS PGothic"/>
          <w:sz w:val="12"/>
          <w:szCs w:val="12"/>
          <w:color w:val="auto"/>
        </w:rPr>
      </w:pPr>
    </w:p>
    <w:p>
      <w:pPr>
        <w:ind w:left="588" w:hanging="588"/>
        <w:spacing w:after="0"/>
        <w:tabs>
          <w:tab w:leader="none" w:pos="5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14" w:lineRule="exact"/>
        <w:rPr>
          <w:sz w:val="24"/>
          <w:szCs w:val="24"/>
          <w:color w:val="auto"/>
        </w:rPr>
      </w:pPr>
    </w:p>
    <w:p>
      <w:pPr>
        <w:ind w:left="8" w:right="20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6" w:lineRule="exact"/>
        <w:rPr>
          <w:sz w:val="24"/>
          <w:szCs w:val="24"/>
          <w:color w:val="auto"/>
        </w:rPr>
      </w:pPr>
    </w:p>
    <w:p>
      <w:pPr>
        <w:ind w:left="8"/>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37" w:lineRule="exact"/>
        <w:rPr>
          <w:sz w:val="24"/>
          <w:szCs w:val="24"/>
          <w:color w:val="auto"/>
        </w:rPr>
      </w:pPr>
    </w:p>
    <w:p>
      <w:pPr>
        <w:ind w:left="8"/>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84455</wp:posOffset>
            </wp:positionV>
            <wp:extent cx="72923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95885</wp:posOffset>
            </wp:positionV>
            <wp:extent cx="72923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501015</wp:posOffset>
            </wp:positionV>
            <wp:extent cx="732917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388"/>
          </w:cols>
          <w:pgMar w:left="212" w:top="463" w:right="299" w:bottom="144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color w:val="auto"/>
        </w:rPr>
        <w:t>Item 1.01.Entry into a Material Definitive Agreement.</w:t>
      </w:r>
    </w:p>
    <w:p>
      <w:pPr>
        <w:spacing w:after="0" w:line="50" w:lineRule="exact"/>
        <w:rPr>
          <w:sz w:val="20"/>
          <w:szCs w:val="20"/>
          <w:color w:val="auto"/>
        </w:rPr>
      </w:pPr>
    </w:p>
    <w:p>
      <w:pPr>
        <w:jc w:val="both"/>
        <w:ind w:right="80" w:firstLine="586"/>
        <w:spacing w:after="0" w:line="257" w:lineRule="auto"/>
        <w:rPr>
          <w:sz w:val="20"/>
          <w:szCs w:val="20"/>
          <w:color w:val="auto"/>
        </w:rPr>
      </w:pPr>
      <w:r>
        <w:rPr>
          <w:rFonts w:ascii="Arial" w:cs="Arial" w:eastAsia="Arial" w:hAnsi="Arial"/>
          <w:sz w:val="14"/>
          <w:szCs w:val="14"/>
          <w:color w:val="auto"/>
        </w:rPr>
        <w:t>On May 24, 2018, Destination XL Group, Inc. (the “Company”) amended its credit facility with Bank of America, N.A by executing the Seventh Amended and Restated Credit Agreement (the “Credit Facility”). The Credit Facility replaces the Sixth Amended and Restated Loan and Security Agreement, dated as of November 10, 2010, as most recently amended on October 30, 2014, which was due to expire in October 2019.</w:t>
      </w:r>
    </w:p>
    <w:p>
      <w:pPr>
        <w:spacing w:after="0" w:line="77" w:lineRule="exact"/>
        <w:rPr>
          <w:sz w:val="20"/>
          <w:szCs w:val="20"/>
          <w:color w:val="auto"/>
        </w:rPr>
      </w:pPr>
    </w:p>
    <w:p>
      <w:pPr>
        <w:ind w:firstLine="586"/>
        <w:spacing w:after="0" w:line="252" w:lineRule="auto"/>
        <w:rPr>
          <w:sz w:val="20"/>
          <w:szCs w:val="20"/>
          <w:color w:val="auto"/>
        </w:rPr>
      </w:pPr>
      <w:r>
        <w:rPr>
          <w:rFonts w:ascii="Arial" w:cs="Arial" w:eastAsia="Arial" w:hAnsi="Arial"/>
          <w:sz w:val="14"/>
          <w:szCs w:val="14"/>
          <w:color w:val="auto"/>
        </w:rPr>
        <w:t>The Credit Facility is a $140.0 million secured, asset-based credit facility with a maturity date of May 24, 2023. The Credit Facility continues to provide maximum committed borrowing of $125.0 million in revolver loans, which, pursuant to an accordion feature, may be increased by an additional $50.0 million upon the request of the Company and the agreement of the lender(s) participating in the increase (the “Revolving Facility”). There were no changes to the sublimit of $20.0 million for commercial and standby letter of credits or to the sublimit of up to $15 million for swingline loans. The Company’s ability to borrow under the Revolving Facility is determined using an availability formula based on eligible assets.</w:t>
      </w:r>
    </w:p>
    <w:p>
      <w:pPr>
        <w:spacing w:after="0" w:line="80" w:lineRule="exact"/>
        <w:rPr>
          <w:sz w:val="20"/>
          <w:szCs w:val="20"/>
          <w:color w:val="auto"/>
        </w:rPr>
      </w:pPr>
    </w:p>
    <w:p>
      <w:pPr>
        <w:ind w:right="80" w:firstLine="586"/>
        <w:spacing w:after="0" w:line="252" w:lineRule="auto"/>
        <w:rPr>
          <w:sz w:val="20"/>
          <w:szCs w:val="20"/>
          <w:color w:val="auto"/>
        </w:rPr>
      </w:pPr>
      <w:r>
        <w:rPr>
          <w:rFonts w:ascii="Arial" w:cs="Arial" w:eastAsia="Arial" w:hAnsi="Arial"/>
          <w:sz w:val="14"/>
          <w:szCs w:val="14"/>
          <w:color w:val="auto"/>
        </w:rPr>
        <w:t>In addition, the Credit Facility includes a new $15.0 million “first in, last out” (FILO) term facility (the “FILO Facility”). The total borrowing capacity under the FILO Facility is based on a borrowing base, generally defined as a specific percentage of the value of eligible accounts, including certain trade names, that step down over time, plus a specified percentage of the value of eligible inventory, that steps down over time. There can be no voluntary repayment on the FILO Facility during the first year. After its one-year anniversary, the FILO Facility may be repaid, in whole or in part, subject to certain payment conditions.</w:t>
      </w:r>
    </w:p>
    <w:p>
      <w:pPr>
        <w:spacing w:after="0" w:line="80" w:lineRule="exact"/>
        <w:rPr>
          <w:sz w:val="20"/>
          <w:szCs w:val="20"/>
          <w:color w:val="auto"/>
        </w:rPr>
      </w:pPr>
    </w:p>
    <w:p>
      <w:pPr>
        <w:ind w:right="100" w:firstLine="586"/>
        <w:spacing w:after="0" w:line="248" w:lineRule="auto"/>
        <w:rPr>
          <w:sz w:val="20"/>
          <w:szCs w:val="20"/>
          <w:color w:val="auto"/>
        </w:rPr>
      </w:pPr>
      <w:r>
        <w:rPr>
          <w:rFonts w:ascii="Arial" w:cs="Arial" w:eastAsia="Arial" w:hAnsi="Arial"/>
          <w:sz w:val="14"/>
          <w:szCs w:val="14"/>
          <w:color w:val="auto"/>
        </w:rPr>
        <w:t>Borrowings made pursuant to the Revolving Facility will bear interest, calculated under either the Federal Funds rate or the LIBOR rate, at a rate equal to the following: (a) the Federal Funds rate plus a varying percentage based on the Company’s excess availability, of either 0.25% or 0.50% or (b) the LIBOR rate (the Company being able to select interest periods of 1 week, 1 month, 2 months, 3 months or 6 months) plus a varying percentage based on the Company’s excess availability, of either 1.25% or 1.50%. Borrowings made pursuant to the FILO Facility will bear interest, calculated under either the Federal Funds rate or the LIBOR rate, at a rate equal to the following: (a) the Federal Funds rate plus a varying percentage based on the Company’s excess availability, of either 1.75% or 2.00% or (b) the LIBOR rate (the Company being able to select interest periods of 1 week, 1 month, 2 months, 3 months or 6 months) plus a varying percentage based on the Company’s excess availability, of either 2.75% or 3.00%.</w:t>
      </w:r>
    </w:p>
    <w:p>
      <w:pPr>
        <w:spacing w:after="0" w:line="83" w:lineRule="exact"/>
        <w:rPr>
          <w:sz w:val="20"/>
          <w:szCs w:val="20"/>
          <w:color w:val="auto"/>
        </w:rPr>
      </w:pPr>
    </w:p>
    <w:p>
      <w:pPr>
        <w:jc w:val="both"/>
        <w:ind w:right="140" w:firstLine="586"/>
        <w:spacing w:after="0" w:line="286" w:lineRule="auto"/>
        <w:rPr>
          <w:sz w:val="20"/>
          <w:szCs w:val="20"/>
          <w:color w:val="auto"/>
        </w:rPr>
      </w:pPr>
      <w:r>
        <w:rPr>
          <w:rFonts w:ascii="Arial" w:cs="Arial" w:eastAsia="Arial" w:hAnsi="Arial"/>
          <w:sz w:val="13"/>
          <w:szCs w:val="13"/>
          <w:color w:val="auto"/>
        </w:rPr>
        <w:t>The Company’s obligations under the Credit Facility are secured by a lien on all of its assets. If the Company’s availability under the Revolving Facility at any time is less than the greater of (i) 10% of the Revolving Loan Cap (the lesser of the aggregate revolving facility commitments or the borrowing base) and (ii) $7.5 million, then the Company is required to maintain a minimum consolidated fixed charge coverage ratio of 1.0:1.0 until such time as availability has exceeded the greater of (1) 10% of the Revolving Loan Cap and (2) $7,500,000 for 30 consecutive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286385</wp:posOffset>
            </wp:positionV>
            <wp:extent cx="732917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65" w:right="199" w:bottom="1440" w:gutter="0" w:footer="0" w:header="0"/>
        </w:sectPr>
      </w:pPr>
    </w:p>
    <w:bookmarkStart w:id="2" w:name="page3"/>
    <w:bookmarkEnd w:id="2"/>
    <w:p>
      <w:pPr>
        <w:ind w:firstLine="586"/>
        <w:spacing w:after="0" w:line="269" w:lineRule="auto"/>
        <w:rPr>
          <w:sz w:val="20"/>
          <w:szCs w:val="20"/>
          <w:color w:val="auto"/>
        </w:rPr>
      </w:pPr>
      <w:r>
        <w:rPr>
          <w:rFonts w:ascii="Arial" w:cs="Arial" w:eastAsia="Arial" w:hAnsi="Arial"/>
          <w:sz w:val="13"/>
          <w:szCs w:val="13"/>
          <w:color w:val="auto"/>
        </w:rPr>
        <w:t>The Revolving Facility will be used for working capital, capital expenditures and other general corporate purposes of the Company. The FILO Facility will be used primarily to repay, in full and without penalty, the outstanding balance of $11.5 million under the Company’s existing term loan facility with Wells Fargo Bank, National Association. The Company’s cash flow is largely unrestricted as it relates to payments for transactions such as repurchases of stock, debt prepayments and dividends, So long as the Company maintains availability under the Revolving Facility, after giving pro forma effect to such payments, in an amount equal to or greater than the greater of (i) 20% of the Revolving Loan Cap and (ii) $20.0 million. With respect to certain asset acquisitions and prepayment of the FILO Facility, the Company would have to maintain availability under the Revolving Facility, after giving pro forma effect to such transaction, in an amount equal to or greater than the greater of (1) 17.5% of the Revolving Loan Cap and (2) $17.5 million. The foregoing description of the Credit Facility does not purport to be complete and is qualified in its entirety by reference to the full text of the Credit Facility, which is filed herewith as Exhibit 10.1 and is incorporated herein by reference.</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2.03.Creation of a Direct Financial Obligation or an Obligation under an Off-Balance Sheet Arrangement of a Registrant.</w:t>
      </w:r>
    </w:p>
    <w:p>
      <w:pPr>
        <w:spacing w:after="0" w:line="59" w:lineRule="exact"/>
        <w:rPr>
          <w:sz w:val="20"/>
          <w:szCs w:val="20"/>
          <w:color w:val="auto"/>
        </w:rPr>
      </w:pPr>
    </w:p>
    <w:p>
      <w:pPr>
        <w:ind w:right="180" w:firstLine="586"/>
        <w:spacing w:after="0" w:line="273" w:lineRule="auto"/>
        <w:rPr>
          <w:sz w:val="20"/>
          <w:szCs w:val="20"/>
          <w:color w:val="auto"/>
        </w:rPr>
      </w:pPr>
      <w:r>
        <w:rPr>
          <w:rFonts w:ascii="Arial" w:cs="Arial" w:eastAsia="Arial" w:hAnsi="Arial"/>
          <w:sz w:val="14"/>
          <w:szCs w:val="14"/>
          <w:color w:val="auto"/>
        </w:rPr>
        <w:t>As described in Item 1.01, on May 24, 2018, the Company entered into the Credit Facility. The information set forth in Item 1.01 of the Current Report on Form 8-K with respect to the Credit Facility is incorporated herein by this reference.</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9.01.Financial Statements and Exhibits.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4"/>
                <w:szCs w:val="14"/>
                <w:color w:val="auto"/>
              </w:rPr>
              <w:t>Exhibit No.</w:t>
            </w:r>
          </w:p>
        </w:tc>
        <w:tc>
          <w:tcPr>
            <w:tcW w:w="4940" w:type="dxa"/>
            <w:vAlign w:val="bottom"/>
          </w:tcPr>
          <w:p>
            <w:pPr>
              <w:spacing w:after="0"/>
              <w:rPr>
                <w:sz w:val="14"/>
                <w:szCs w:val="14"/>
                <w:color w:val="auto"/>
              </w:rPr>
            </w:pPr>
          </w:p>
        </w:tc>
        <w:tc>
          <w:tcPr>
            <w:tcW w:w="5240" w:type="dxa"/>
            <w:vAlign w:val="bottom"/>
            <w:gridSpan w:val="3"/>
          </w:tcPr>
          <w:p>
            <w:pPr>
              <w:spacing w:after="0"/>
              <w:rPr>
                <w:sz w:val="20"/>
                <w:szCs w:val="20"/>
                <w:color w:val="auto"/>
              </w:rPr>
            </w:pPr>
            <w:r>
              <w:rPr>
                <w:rFonts w:ascii="Arial" w:cs="Arial" w:eastAsia="Arial" w:hAnsi="Arial"/>
                <w:sz w:val="14"/>
                <w:szCs w:val="14"/>
                <w:color w:val="auto"/>
              </w:rPr>
              <w:t>Description</w:t>
            </w:r>
          </w:p>
        </w:tc>
      </w:tr>
      <w:tr>
        <w:trPr>
          <w:trHeight w:val="20"/>
        </w:trPr>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86"/>
        </w:trPr>
        <w:tc>
          <w:tcPr>
            <w:tcW w:w="660" w:type="dxa"/>
            <w:vAlign w:val="bottom"/>
          </w:tcPr>
          <w:p>
            <w:pPr>
              <w:spacing w:after="0"/>
              <w:rPr>
                <w:sz w:val="20"/>
                <w:szCs w:val="20"/>
                <w:color w:val="auto"/>
              </w:rPr>
            </w:pPr>
            <w:r>
              <w:rPr>
                <w:rFonts w:ascii="Arial" w:cs="Arial" w:eastAsia="Arial" w:hAnsi="Arial"/>
                <w:sz w:val="14"/>
                <w:szCs w:val="14"/>
                <w:color w:val="auto"/>
              </w:rPr>
              <w:t>10.1*</w:t>
            </w:r>
          </w:p>
        </w:tc>
        <w:tc>
          <w:tcPr>
            <w:tcW w:w="260" w:type="dxa"/>
            <w:vAlign w:val="bottom"/>
          </w:tcPr>
          <w:p>
            <w:pPr>
              <w:spacing w:after="0"/>
              <w:rPr>
                <w:sz w:val="24"/>
                <w:szCs w:val="24"/>
                <w:color w:val="auto"/>
              </w:rPr>
            </w:pPr>
          </w:p>
        </w:tc>
        <w:tc>
          <w:tcPr>
            <w:tcW w:w="10180" w:type="dxa"/>
            <w:vAlign w:val="bottom"/>
            <w:tcBorders>
              <w:bottom w:val="single" w:sz="8" w:color="0000EE"/>
            </w:tcBorders>
            <w:gridSpan w:val="4"/>
          </w:tcPr>
          <w:p>
            <w:pPr>
              <w:spacing w:after="0"/>
              <w:rPr>
                <w:rFonts w:ascii="Arial" w:cs="Arial" w:eastAsia="Arial" w:hAnsi="Arial"/>
                <w:sz w:val="14"/>
                <w:szCs w:val="14"/>
                <w:color w:val="0000EE"/>
                <w:w w:val="93"/>
              </w:rPr>
            </w:pPr>
            <w:hyperlink w:anchor="page5">
              <w:r>
                <w:rPr>
                  <w:rFonts w:ascii="Arial" w:cs="Arial" w:eastAsia="Arial" w:hAnsi="Arial"/>
                  <w:sz w:val="14"/>
                  <w:szCs w:val="14"/>
                  <w:color w:val="0000EE"/>
                  <w:w w:val="93"/>
                </w:rPr>
                <w:t>Seventh Amended and Restated Credit Agreement, dated as of May 24, 2018, by and among Bank of America, N.A., as Administrative Agent and Collateral Agent, the Lenders</w:t>
              </w:r>
            </w:hyperlink>
          </w:p>
        </w:tc>
      </w:tr>
      <w:tr>
        <w:trPr>
          <w:trHeight w:val="142"/>
        </w:trPr>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380" w:type="dxa"/>
            <w:vAlign w:val="bottom"/>
            <w:tcBorders>
              <w:bottom w:val="single" w:sz="8" w:color="0000EE"/>
            </w:tcBorders>
            <w:gridSpan w:val="3"/>
          </w:tcPr>
          <w:p>
            <w:pPr>
              <w:spacing w:after="0" w:line="142" w:lineRule="exact"/>
              <w:rPr>
                <w:rFonts w:ascii="Arial" w:cs="Arial" w:eastAsia="Arial" w:hAnsi="Arial"/>
                <w:sz w:val="14"/>
                <w:szCs w:val="14"/>
                <w:color w:val="0000EE"/>
                <w:w w:val="93"/>
              </w:rPr>
            </w:pPr>
            <w:hyperlink w:anchor="page5">
              <w:r>
                <w:rPr>
                  <w:rFonts w:ascii="Arial" w:cs="Arial" w:eastAsia="Arial" w:hAnsi="Arial"/>
                  <w:sz w:val="14"/>
                  <w:szCs w:val="14"/>
                  <w:color w:val="0000EE"/>
                  <w:w w:val="93"/>
                </w:rPr>
                <w:t>identified therein, the Company, as Lead Borrower, the Company and CMRG Apparel, LLC, as Borrowers, and the Guarantors identified therein.</w:t>
              </w:r>
            </w:hyperlink>
          </w:p>
        </w:tc>
        <w:tc>
          <w:tcPr>
            <w:tcW w:w="1800" w:type="dxa"/>
            <w:vAlign w:val="bottom"/>
          </w:tcPr>
          <w:p>
            <w:pPr>
              <w:spacing w:after="0"/>
              <w:rPr>
                <w:sz w:val="12"/>
                <w:szCs w:val="1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 Portions of this Exhibit have been omitted pursuant to a request for confidential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420370</wp:posOffset>
            </wp:positionV>
            <wp:extent cx="732917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00"/>
          </w:cols>
          <w:pgMar w:left="220" w:top="377" w:right="279" w:bottom="1440" w:gutter="0" w:footer="0" w:header="0"/>
        </w:sectPr>
      </w:pPr>
    </w:p>
    <w:bookmarkStart w:id="3" w:name="page4"/>
    <w:bookmarkEnd w:id="3"/>
    <w:p>
      <w:pPr>
        <w:jc w:val="center"/>
        <w:ind w:right="-339"/>
        <w:spacing w:after="0"/>
        <w:rPr>
          <w:sz w:val="20"/>
          <w:szCs w:val="20"/>
          <w:color w:val="auto"/>
        </w:rPr>
      </w:pPr>
      <w:r>
        <w:rPr>
          <w:rFonts w:ascii="Arial" w:cs="Arial" w:eastAsia="Arial" w:hAnsi="Arial"/>
          <w:sz w:val="14"/>
          <w:szCs w:val="14"/>
          <w:b w:val="1"/>
          <w:bCs w:val="1"/>
          <w:color w:val="auto"/>
        </w:rPr>
        <w:t>SIGNATURES</w:t>
      </w:r>
    </w:p>
    <w:p>
      <w:pPr>
        <w:spacing w:after="0" w:line="59" w:lineRule="exact"/>
        <w:rPr>
          <w:sz w:val="20"/>
          <w:szCs w:val="20"/>
          <w:color w:val="auto"/>
        </w:rPr>
      </w:pPr>
    </w:p>
    <w:p>
      <w:pPr>
        <w:jc w:val="center"/>
        <w:ind w:left="26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DESTINATION XL GROUP, INC.</w:t>
      </w:r>
    </w:p>
    <w:p>
      <w:pPr>
        <w:spacing w:after="0" w:line="127" w:lineRule="exact"/>
        <w:rPr>
          <w:sz w:val="20"/>
          <w:szCs w:val="20"/>
          <w:color w:val="auto"/>
        </w:rPr>
      </w:pPr>
    </w:p>
    <w:p>
      <w:pPr>
        <w:spacing w:after="0"/>
        <w:tabs>
          <w:tab w:leader="none" w:pos="780" w:val="left"/>
          <w:tab w:leader="none" w:pos="5380" w:val="left"/>
          <w:tab w:leader="none" w:pos="806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May 30, 2018</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9525</wp:posOffset>
            </wp:positionV>
            <wp:extent cx="356870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68700" cy="5715"/>
                    </a:xfrm>
                    <a:prstGeom prst="rect">
                      <a:avLst/>
                    </a:prstGeom>
                    <a:noFill/>
                  </pic:spPr>
                </pic:pic>
              </a:graphicData>
            </a:graphic>
          </wp:anchor>
        </w:drawing>
      </w:r>
    </w:p>
    <w:p>
      <w:pPr>
        <w:jc w:val="center"/>
        <w:ind w:left="5880"/>
        <w:spacing w:after="0"/>
        <w:rPr>
          <w:sz w:val="20"/>
          <w:szCs w:val="20"/>
          <w:color w:val="auto"/>
        </w:rPr>
      </w:pPr>
      <w:r>
        <w:rPr>
          <w:rFonts w:ascii="Arial" w:cs="Arial" w:eastAsia="Arial" w:hAnsi="Arial"/>
          <w:sz w:val="10"/>
          <w:szCs w:val="10"/>
          <w:b w:val="1"/>
          <w:bCs w:val="1"/>
          <w:color w:val="auto"/>
        </w:rPr>
        <w:t>Robert S. Molloy</w:t>
      </w:r>
    </w:p>
    <w:p>
      <w:pPr>
        <w:jc w:val="center"/>
        <w:ind w:left="5880"/>
        <w:spacing w:after="0" w:line="236" w:lineRule="auto"/>
        <w:rPr>
          <w:sz w:val="20"/>
          <w:szCs w:val="20"/>
          <w:color w:val="auto"/>
        </w:rPr>
      </w:pPr>
      <w:r>
        <w:rPr>
          <w:rFonts w:ascii="Arial" w:cs="Arial" w:eastAsia="Arial" w:hAnsi="Arial"/>
          <w:sz w:val="10"/>
          <w:szCs w:val="10"/>
          <w:b w:val="1"/>
          <w:bCs w:val="1"/>
          <w:color w:val="auto"/>
        </w:rPr>
        <w:t>Senior Vice President, Chief Administrative Officer, General Counsel and Secretary</w:t>
      </w:r>
    </w:p>
    <w:p>
      <w:pPr>
        <w:sectPr>
          <w:pgSz w:w="11900" w:h="16838" w:orient="portrait"/>
          <w:cols w:equalWidth="0" w:num="1">
            <w:col w:w="11140"/>
          </w:cols>
          <w:pgMar w:left="220" w:top="265" w:right="539" w:bottom="1440" w:gutter="0" w:footer="0" w:header="0"/>
        </w:sectPr>
      </w:pPr>
    </w:p>
    <w:bookmarkStart w:id="4" w:name="page5"/>
    <w:bookmarkEnd w:id="4"/>
    <w:p>
      <w:pPr>
        <w:jc w:val="right"/>
        <w:spacing w:after="0"/>
        <w:rPr>
          <w:sz w:val="20"/>
          <w:szCs w:val="20"/>
          <w:color w:val="auto"/>
        </w:rPr>
      </w:pPr>
      <w:r>
        <w:rPr>
          <w:rFonts w:ascii="Arial" w:cs="Arial" w:eastAsia="Arial" w:hAnsi="Arial"/>
          <w:sz w:val="13"/>
          <w:szCs w:val="13"/>
          <w:b w:val="1"/>
          <w:bCs w:val="1"/>
          <w:color w:val="auto"/>
        </w:rPr>
        <w:t>Exhibit 10.1</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Confidential Treatment Requested as to certain information contained in this Exhibit and filed separately with the Securities and Exchange Commission.</w:t>
      </w:r>
    </w:p>
    <w:p>
      <w:pPr>
        <w:spacing w:after="0" w:line="62" w:lineRule="exact"/>
        <w:rPr>
          <w:sz w:val="20"/>
          <w:szCs w:val="20"/>
          <w:color w:val="auto"/>
        </w:rPr>
      </w:pPr>
    </w:p>
    <w:p>
      <w:pPr>
        <w:jc w:val="right"/>
        <w:spacing w:after="0"/>
        <w:rPr>
          <w:sz w:val="20"/>
          <w:szCs w:val="20"/>
          <w:color w:val="auto"/>
        </w:rPr>
      </w:pPr>
      <w:r>
        <w:rPr>
          <w:rFonts w:ascii="Arial" w:cs="Arial" w:eastAsia="Arial" w:hAnsi="Arial"/>
          <w:sz w:val="13"/>
          <w:szCs w:val="13"/>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741045</wp:posOffset>
            </wp:positionV>
            <wp:extent cx="72923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758190</wp:posOffset>
            </wp:positionV>
            <wp:extent cx="72923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SEVENTH AMENDED AND RESTATED CREDIT AGREEMENT</w:t>
      </w:r>
    </w:p>
    <w:p>
      <w:pPr>
        <w:spacing w:after="0" w:line="152" w:lineRule="exact"/>
        <w:rPr>
          <w:sz w:val="20"/>
          <w:szCs w:val="20"/>
          <w:color w:val="auto"/>
        </w:rPr>
      </w:pPr>
    </w:p>
    <w:p>
      <w:pPr>
        <w:ind w:left="4860"/>
        <w:spacing w:after="0"/>
        <w:rPr>
          <w:sz w:val="20"/>
          <w:szCs w:val="20"/>
          <w:color w:val="auto"/>
        </w:rPr>
      </w:pPr>
      <w:r>
        <w:rPr>
          <w:rFonts w:ascii="Arial" w:cs="Arial" w:eastAsia="Arial" w:hAnsi="Arial"/>
          <w:sz w:val="13"/>
          <w:szCs w:val="13"/>
          <w:color w:val="auto"/>
        </w:rPr>
        <w:t>Dated as of May 24, 2018 among</w:t>
      </w:r>
    </w:p>
    <w:p>
      <w:pPr>
        <w:spacing w:after="0" w:line="8" w:lineRule="exact"/>
        <w:rPr>
          <w:sz w:val="20"/>
          <w:szCs w:val="20"/>
          <w:color w:val="auto"/>
        </w:rPr>
      </w:pPr>
    </w:p>
    <w:p>
      <w:pPr>
        <w:ind w:left="4780"/>
        <w:spacing w:after="0"/>
        <w:rPr>
          <w:sz w:val="20"/>
          <w:szCs w:val="20"/>
          <w:color w:val="auto"/>
        </w:rPr>
      </w:pPr>
      <w:r>
        <w:rPr>
          <w:rFonts w:ascii="Arial" w:cs="Arial" w:eastAsia="Arial" w:hAnsi="Arial"/>
          <w:sz w:val="13"/>
          <w:szCs w:val="13"/>
          <w:color w:val="auto"/>
        </w:rPr>
        <w:t>DESTINATION XL GROUP, INC.,</w:t>
      </w:r>
    </w:p>
    <w:p>
      <w:pPr>
        <w:jc w:val="center"/>
        <w:spacing w:after="0"/>
        <w:rPr>
          <w:sz w:val="20"/>
          <w:szCs w:val="20"/>
          <w:color w:val="auto"/>
        </w:rPr>
      </w:pPr>
      <w:r>
        <w:rPr>
          <w:rFonts w:ascii="Arial" w:cs="Arial" w:eastAsia="Arial" w:hAnsi="Arial"/>
          <w:sz w:val="13"/>
          <w:szCs w:val="13"/>
          <w:color w:val="auto"/>
        </w:rPr>
        <w:t>as the Lead Borrower For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Borrowers Named Herein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Guarantors Named Herein Bank of America, N.A.,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as Administrative Agent and Collateral Agent and</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Other Lenders Party Hereto</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WELLS FARGO BANK, NATIONAL ASSOCIATION,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as Syndication Agent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BANK OF AMERICA, N.A.,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as Sole Lead Arranger and Sole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162560</wp:posOffset>
            </wp:positionV>
            <wp:extent cx="72923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179705</wp:posOffset>
            </wp:positionV>
            <wp:extent cx="72923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191135</wp:posOffset>
            </wp:positionV>
            <wp:extent cx="732917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4" w:right="1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0"/>
        </w:trPr>
        <w:tc>
          <w:tcPr>
            <w:tcW w:w="900" w:type="dxa"/>
            <w:vAlign w:val="bottom"/>
          </w:tcPr>
          <w:p>
            <w:pPr>
              <w:spacing w:after="0"/>
              <w:rPr>
                <w:sz w:val="14"/>
                <w:szCs w:val="14"/>
                <w:color w:val="auto"/>
              </w:rPr>
            </w:pPr>
          </w:p>
        </w:tc>
        <w:tc>
          <w:tcPr>
            <w:tcW w:w="7940" w:type="dxa"/>
            <w:vAlign w:val="bottom"/>
          </w:tcPr>
          <w:p>
            <w:pPr>
              <w:ind w:left="4120"/>
              <w:spacing w:after="0"/>
              <w:rPr>
                <w:sz w:val="20"/>
                <w:szCs w:val="20"/>
                <w:color w:val="auto"/>
              </w:rPr>
            </w:pPr>
            <w:r>
              <w:rPr>
                <w:rFonts w:ascii="Arial" w:cs="Arial" w:eastAsia="Arial" w:hAnsi="Arial"/>
                <w:sz w:val="13"/>
                <w:szCs w:val="13"/>
                <w:b w:val="1"/>
                <w:bCs w:val="1"/>
                <w:color w:val="auto"/>
              </w:rPr>
              <w:t>TABLE OF CONTENTS</w:t>
            </w:r>
          </w:p>
        </w:tc>
        <w:tc>
          <w:tcPr>
            <w:tcW w:w="2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900" w:type="dxa"/>
            <w:vAlign w:val="bottom"/>
          </w:tcPr>
          <w:p>
            <w:pPr>
              <w:ind w:left="120"/>
              <w:spacing w:after="0"/>
              <w:rPr>
                <w:sz w:val="20"/>
                <w:szCs w:val="20"/>
                <w:color w:val="auto"/>
              </w:rPr>
            </w:pPr>
            <w:r>
              <w:rPr>
                <w:rFonts w:ascii="Arial" w:cs="Arial" w:eastAsia="Arial" w:hAnsi="Arial"/>
                <w:sz w:val="13"/>
                <w:szCs w:val="13"/>
                <w:color w:val="auto"/>
              </w:rPr>
              <w:t>Section</w:t>
            </w:r>
          </w:p>
        </w:tc>
        <w:tc>
          <w:tcPr>
            <w:tcW w:w="7940" w:type="dxa"/>
            <w:vAlign w:val="bottom"/>
          </w:tcPr>
          <w:p>
            <w:pPr>
              <w:spacing w:after="0"/>
              <w:rPr>
                <w:sz w:val="24"/>
                <w:szCs w:val="24"/>
                <w:color w:val="auto"/>
              </w:rPr>
            </w:pPr>
          </w:p>
        </w:tc>
        <w:tc>
          <w:tcPr>
            <w:tcW w:w="2660" w:type="dxa"/>
            <w:vAlign w:val="bottom"/>
          </w:tcPr>
          <w:p>
            <w:pPr>
              <w:jc w:val="right"/>
              <w:spacing w:after="0"/>
              <w:rPr>
                <w:sz w:val="20"/>
                <w:szCs w:val="20"/>
                <w:color w:val="auto"/>
              </w:rPr>
            </w:pPr>
            <w:r>
              <w:rPr>
                <w:rFonts w:ascii="Arial" w:cs="Arial" w:eastAsia="Arial" w:hAnsi="Arial"/>
                <w:sz w:val="13"/>
                <w:szCs w:val="13"/>
                <w:color w:val="auto"/>
              </w:rPr>
              <w:t>Page</w:t>
            </w:r>
          </w:p>
        </w:tc>
        <w:tc>
          <w:tcPr>
            <w:tcW w:w="0" w:type="dxa"/>
            <w:vAlign w:val="bottom"/>
          </w:tcPr>
          <w:p>
            <w:pPr>
              <w:spacing w:after="0"/>
              <w:rPr>
                <w:sz w:val="1"/>
                <w:szCs w:val="1"/>
                <w:color w:val="auto"/>
              </w:rPr>
            </w:pPr>
          </w:p>
        </w:tc>
      </w:tr>
      <w:tr>
        <w:trPr>
          <w:trHeight w:val="243"/>
        </w:trPr>
        <w:tc>
          <w:tcPr>
            <w:tcW w:w="8840" w:type="dxa"/>
            <w:vAlign w:val="bottom"/>
            <w:gridSpan w:val="2"/>
          </w:tcPr>
          <w:p>
            <w:pPr>
              <w:spacing w:after="0"/>
              <w:rPr>
                <w:sz w:val="20"/>
                <w:szCs w:val="20"/>
                <w:color w:val="auto"/>
              </w:rPr>
            </w:pPr>
            <w:r>
              <w:rPr>
                <w:rFonts w:ascii="Arial" w:cs="Arial" w:eastAsia="Arial" w:hAnsi="Arial"/>
                <w:sz w:val="13"/>
                <w:szCs w:val="13"/>
                <w:color w:val="auto"/>
              </w:rPr>
              <w:t>ARTICLE I DEFINITIONS AND ACCOUNTING TERMS</w:t>
            </w:r>
          </w:p>
        </w:tc>
        <w:tc>
          <w:tcPr>
            <w:tcW w:w="266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22"/>
        </w:trPr>
        <w:tc>
          <w:tcPr>
            <w:tcW w:w="900" w:type="dxa"/>
            <w:vAlign w:val="bottom"/>
          </w:tcPr>
          <w:p>
            <w:pPr>
              <w:ind w:left="120"/>
              <w:spacing w:after="0"/>
              <w:rPr>
                <w:sz w:val="20"/>
                <w:szCs w:val="20"/>
                <w:color w:val="auto"/>
              </w:rPr>
            </w:pPr>
            <w:r>
              <w:rPr>
                <w:rFonts w:ascii="Arial" w:cs="Arial" w:eastAsia="Arial" w:hAnsi="Arial"/>
                <w:sz w:val="13"/>
                <w:szCs w:val="13"/>
                <w:color w:val="auto"/>
              </w:rPr>
              <w:t>1.01</w:t>
            </w:r>
          </w:p>
        </w:tc>
        <w:tc>
          <w:tcPr>
            <w:tcW w:w="7940" w:type="dxa"/>
            <w:vAlign w:val="bottom"/>
          </w:tcPr>
          <w:p>
            <w:pPr>
              <w:ind w:left="240"/>
              <w:spacing w:after="0"/>
              <w:rPr>
                <w:sz w:val="20"/>
                <w:szCs w:val="20"/>
                <w:color w:val="auto"/>
              </w:rPr>
            </w:pPr>
            <w:r>
              <w:rPr>
                <w:rFonts w:ascii="Arial" w:cs="Arial" w:eastAsia="Arial" w:hAnsi="Arial"/>
                <w:sz w:val="13"/>
                <w:szCs w:val="13"/>
                <w:color w:val="auto"/>
              </w:rPr>
              <w:t>Defined Terms</w:t>
            </w:r>
          </w:p>
        </w:tc>
        <w:tc>
          <w:tcPr>
            <w:tcW w:w="266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1.02</w:t>
            </w:r>
          </w:p>
        </w:tc>
        <w:tc>
          <w:tcPr>
            <w:tcW w:w="7940" w:type="dxa"/>
            <w:vAlign w:val="bottom"/>
          </w:tcPr>
          <w:p>
            <w:pPr>
              <w:ind w:left="240"/>
              <w:spacing w:after="0"/>
              <w:rPr>
                <w:sz w:val="20"/>
                <w:szCs w:val="20"/>
                <w:color w:val="auto"/>
              </w:rPr>
            </w:pPr>
            <w:r>
              <w:rPr>
                <w:rFonts w:ascii="Arial" w:cs="Arial" w:eastAsia="Arial" w:hAnsi="Arial"/>
                <w:sz w:val="13"/>
                <w:szCs w:val="13"/>
                <w:color w:val="auto"/>
              </w:rPr>
              <w:t>Other Interpretive Provisions</w:t>
            </w:r>
          </w:p>
        </w:tc>
        <w:tc>
          <w:tcPr>
            <w:tcW w:w="2660" w:type="dxa"/>
            <w:vAlign w:val="bottom"/>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1.03</w:t>
            </w:r>
          </w:p>
        </w:tc>
        <w:tc>
          <w:tcPr>
            <w:tcW w:w="7940" w:type="dxa"/>
            <w:vAlign w:val="bottom"/>
          </w:tcPr>
          <w:p>
            <w:pPr>
              <w:ind w:left="240"/>
              <w:spacing w:after="0"/>
              <w:rPr>
                <w:sz w:val="20"/>
                <w:szCs w:val="20"/>
                <w:color w:val="auto"/>
              </w:rPr>
            </w:pPr>
            <w:r>
              <w:rPr>
                <w:rFonts w:ascii="Arial" w:cs="Arial" w:eastAsia="Arial" w:hAnsi="Arial"/>
                <w:sz w:val="13"/>
                <w:szCs w:val="13"/>
                <w:color w:val="auto"/>
              </w:rPr>
              <w:t>Accounting Terms</w:t>
            </w:r>
          </w:p>
        </w:tc>
        <w:tc>
          <w:tcPr>
            <w:tcW w:w="2660" w:type="dxa"/>
            <w:vAlign w:val="bottom"/>
          </w:tcPr>
          <w:p>
            <w:pPr>
              <w:jc w:val="right"/>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1.04</w:t>
            </w:r>
          </w:p>
        </w:tc>
        <w:tc>
          <w:tcPr>
            <w:tcW w:w="7940" w:type="dxa"/>
            <w:vAlign w:val="bottom"/>
          </w:tcPr>
          <w:p>
            <w:pPr>
              <w:ind w:left="240"/>
              <w:spacing w:after="0"/>
              <w:rPr>
                <w:sz w:val="20"/>
                <w:szCs w:val="20"/>
                <w:color w:val="auto"/>
              </w:rPr>
            </w:pPr>
            <w:r>
              <w:rPr>
                <w:rFonts w:ascii="Arial" w:cs="Arial" w:eastAsia="Arial" w:hAnsi="Arial"/>
                <w:sz w:val="13"/>
                <w:szCs w:val="13"/>
                <w:color w:val="auto"/>
              </w:rPr>
              <w:t>Rounding</w:t>
            </w:r>
          </w:p>
        </w:tc>
        <w:tc>
          <w:tcPr>
            <w:tcW w:w="2660" w:type="dxa"/>
            <w:vAlign w:val="bottom"/>
          </w:tcPr>
          <w:p>
            <w:pPr>
              <w:jc w:val="right"/>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1.05</w:t>
            </w:r>
          </w:p>
        </w:tc>
        <w:tc>
          <w:tcPr>
            <w:tcW w:w="7940" w:type="dxa"/>
            <w:vAlign w:val="bottom"/>
          </w:tcPr>
          <w:p>
            <w:pPr>
              <w:ind w:left="240"/>
              <w:spacing w:after="0"/>
              <w:rPr>
                <w:sz w:val="20"/>
                <w:szCs w:val="20"/>
                <w:color w:val="auto"/>
              </w:rPr>
            </w:pPr>
            <w:r>
              <w:rPr>
                <w:rFonts w:ascii="Arial" w:cs="Arial" w:eastAsia="Arial" w:hAnsi="Arial"/>
                <w:sz w:val="13"/>
                <w:szCs w:val="13"/>
                <w:color w:val="auto"/>
              </w:rPr>
              <w:t>Times of Day</w:t>
            </w:r>
          </w:p>
        </w:tc>
        <w:tc>
          <w:tcPr>
            <w:tcW w:w="2660" w:type="dxa"/>
            <w:vAlign w:val="bottom"/>
          </w:tcPr>
          <w:p>
            <w:pPr>
              <w:jc w:val="right"/>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66"/>
        </w:trPr>
        <w:tc>
          <w:tcPr>
            <w:tcW w:w="900" w:type="dxa"/>
            <w:vAlign w:val="bottom"/>
          </w:tcPr>
          <w:p>
            <w:pPr>
              <w:ind w:left="120"/>
              <w:spacing w:after="0"/>
              <w:rPr>
                <w:sz w:val="20"/>
                <w:szCs w:val="20"/>
                <w:color w:val="auto"/>
              </w:rPr>
            </w:pPr>
            <w:r>
              <w:rPr>
                <w:rFonts w:ascii="Arial" w:cs="Arial" w:eastAsia="Arial" w:hAnsi="Arial"/>
                <w:sz w:val="13"/>
                <w:szCs w:val="13"/>
                <w:color w:val="auto"/>
              </w:rPr>
              <w:t>1.06</w:t>
            </w:r>
          </w:p>
        </w:tc>
        <w:tc>
          <w:tcPr>
            <w:tcW w:w="7940" w:type="dxa"/>
            <w:vAlign w:val="bottom"/>
          </w:tcPr>
          <w:p>
            <w:pPr>
              <w:ind w:left="240"/>
              <w:spacing w:after="0"/>
              <w:rPr>
                <w:sz w:val="20"/>
                <w:szCs w:val="20"/>
                <w:color w:val="auto"/>
              </w:rPr>
            </w:pPr>
            <w:r>
              <w:rPr>
                <w:rFonts w:ascii="Arial" w:cs="Arial" w:eastAsia="Arial" w:hAnsi="Arial"/>
                <w:sz w:val="13"/>
                <w:szCs w:val="13"/>
                <w:color w:val="auto"/>
              </w:rPr>
              <w:t>Letter of Credit Amounts</w:t>
            </w:r>
          </w:p>
        </w:tc>
        <w:tc>
          <w:tcPr>
            <w:tcW w:w="2660" w:type="dxa"/>
            <w:vAlign w:val="bottom"/>
          </w:tcPr>
          <w:p>
            <w:pPr>
              <w:jc w:val="right"/>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234"/>
        </w:trPr>
        <w:tc>
          <w:tcPr>
            <w:tcW w:w="8840" w:type="dxa"/>
            <w:vAlign w:val="bottom"/>
            <w:gridSpan w:val="2"/>
          </w:tcPr>
          <w:p>
            <w:pPr>
              <w:spacing w:after="0"/>
              <w:rPr>
                <w:sz w:val="20"/>
                <w:szCs w:val="20"/>
                <w:color w:val="auto"/>
              </w:rPr>
            </w:pPr>
            <w:r>
              <w:rPr>
                <w:rFonts w:ascii="Arial" w:cs="Arial" w:eastAsia="Arial" w:hAnsi="Arial"/>
                <w:sz w:val="13"/>
                <w:szCs w:val="13"/>
                <w:color w:val="auto"/>
              </w:rPr>
              <w:t>ARTICLE II THE COMMITMENTS AND CREDIT EXTENSIONS</w:t>
            </w:r>
          </w:p>
        </w:tc>
        <w:tc>
          <w:tcPr>
            <w:tcW w:w="2660" w:type="dxa"/>
            <w:vAlign w:val="bottom"/>
          </w:tcPr>
          <w:p>
            <w:pPr>
              <w:jc w:val="right"/>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222"/>
        </w:trPr>
        <w:tc>
          <w:tcPr>
            <w:tcW w:w="900" w:type="dxa"/>
            <w:vAlign w:val="bottom"/>
          </w:tcPr>
          <w:p>
            <w:pPr>
              <w:ind w:left="120"/>
              <w:spacing w:after="0"/>
              <w:rPr>
                <w:sz w:val="20"/>
                <w:szCs w:val="20"/>
                <w:color w:val="auto"/>
              </w:rPr>
            </w:pPr>
            <w:r>
              <w:rPr>
                <w:rFonts w:ascii="Arial" w:cs="Arial" w:eastAsia="Arial" w:hAnsi="Arial"/>
                <w:sz w:val="13"/>
                <w:szCs w:val="13"/>
                <w:color w:val="auto"/>
              </w:rPr>
              <w:t>2.01</w:t>
            </w:r>
          </w:p>
        </w:tc>
        <w:tc>
          <w:tcPr>
            <w:tcW w:w="7940" w:type="dxa"/>
            <w:vAlign w:val="bottom"/>
          </w:tcPr>
          <w:p>
            <w:pPr>
              <w:ind w:left="240"/>
              <w:spacing w:after="0"/>
              <w:rPr>
                <w:sz w:val="20"/>
                <w:szCs w:val="20"/>
                <w:color w:val="auto"/>
              </w:rPr>
            </w:pPr>
            <w:r>
              <w:rPr>
                <w:rFonts w:ascii="Arial" w:cs="Arial" w:eastAsia="Arial" w:hAnsi="Arial"/>
                <w:sz w:val="13"/>
                <w:szCs w:val="13"/>
                <w:color w:val="auto"/>
              </w:rPr>
              <w:t>Committed Loans; Reserves</w:t>
            </w:r>
          </w:p>
        </w:tc>
        <w:tc>
          <w:tcPr>
            <w:tcW w:w="2660" w:type="dxa"/>
            <w:vAlign w:val="bottom"/>
          </w:tcPr>
          <w:p>
            <w:pPr>
              <w:jc w:val="right"/>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2.02</w:t>
            </w:r>
          </w:p>
        </w:tc>
        <w:tc>
          <w:tcPr>
            <w:tcW w:w="7940" w:type="dxa"/>
            <w:vAlign w:val="bottom"/>
          </w:tcPr>
          <w:p>
            <w:pPr>
              <w:ind w:left="240"/>
              <w:spacing w:after="0"/>
              <w:rPr>
                <w:sz w:val="20"/>
                <w:szCs w:val="20"/>
                <w:color w:val="auto"/>
              </w:rPr>
            </w:pPr>
            <w:r>
              <w:rPr>
                <w:rFonts w:ascii="Arial" w:cs="Arial" w:eastAsia="Arial" w:hAnsi="Arial"/>
                <w:sz w:val="13"/>
                <w:szCs w:val="13"/>
                <w:color w:val="auto"/>
              </w:rPr>
              <w:t>Borrowings, Conversions and Continuations of Committed Loans.</w:t>
            </w:r>
          </w:p>
        </w:tc>
        <w:tc>
          <w:tcPr>
            <w:tcW w:w="2660" w:type="dxa"/>
            <w:vAlign w:val="bottom"/>
          </w:tcPr>
          <w:p>
            <w:pPr>
              <w:jc w:val="right"/>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2.03</w:t>
            </w:r>
          </w:p>
        </w:tc>
        <w:tc>
          <w:tcPr>
            <w:tcW w:w="7940" w:type="dxa"/>
            <w:vAlign w:val="bottom"/>
          </w:tcPr>
          <w:p>
            <w:pPr>
              <w:ind w:left="240"/>
              <w:spacing w:after="0"/>
              <w:rPr>
                <w:sz w:val="20"/>
                <w:szCs w:val="20"/>
                <w:color w:val="auto"/>
              </w:rPr>
            </w:pPr>
            <w:r>
              <w:rPr>
                <w:rFonts w:ascii="Arial" w:cs="Arial" w:eastAsia="Arial" w:hAnsi="Arial"/>
                <w:sz w:val="13"/>
                <w:szCs w:val="13"/>
                <w:color w:val="auto"/>
              </w:rPr>
              <w:t>Letters of Credit.</w:t>
            </w:r>
          </w:p>
        </w:tc>
        <w:tc>
          <w:tcPr>
            <w:tcW w:w="2660" w:type="dxa"/>
            <w:vAlign w:val="bottom"/>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2.04</w:t>
            </w:r>
          </w:p>
        </w:tc>
        <w:tc>
          <w:tcPr>
            <w:tcW w:w="7940" w:type="dxa"/>
            <w:vAlign w:val="bottom"/>
          </w:tcPr>
          <w:p>
            <w:pPr>
              <w:ind w:left="240"/>
              <w:spacing w:after="0"/>
              <w:rPr>
                <w:sz w:val="20"/>
                <w:szCs w:val="20"/>
                <w:color w:val="auto"/>
              </w:rPr>
            </w:pPr>
            <w:r>
              <w:rPr>
                <w:rFonts w:ascii="Arial" w:cs="Arial" w:eastAsia="Arial" w:hAnsi="Arial"/>
                <w:sz w:val="13"/>
                <w:szCs w:val="13"/>
                <w:color w:val="auto"/>
              </w:rPr>
              <w:t>Swing Line Loans.</w:t>
            </w:r>
          </w:p>
        </w:tc>
        <w:tc>
          <w:tcPr>
            <w:tcW w:w="2660" w:type="dxa"/>
            <w:vAlign w:val="bottom"/>
          </w:tcPr>
          <w:p>
            <w:pPr>
              <w:jc w:val="right"/>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2.05</w:t>
            </w:r>
          </w:p>
        </w:tc>
        <w:tc>
          <w:tcPr>
            <w:tcW w:w="7940" w:type="dxa"/>
            <w:vAlign w:val="bottom"/>
          </w:tcPr>
          <w:p>
            <w:pPr>
              <w:ind w:left="240"/>
              <w:spacing w:after="0"/>
              <w:rPr>
                <w:sz w:val="20"/>
                <w:szCs w:val="20"/>
                <w:color w:val="auto"/>
              </w:rPr>
            </w:pPr>
            <w:r>
              <w:rPr>
                <w:rFonts w:ascii="Arial" w:cs="Arial" w:eastAsia="Arial" w:hAnsi="Arial"/>
                <w:sz w:val="13"/>
                <w:szCs w:val="13"/>
                <w:color w:val="auto"/>
              </w:rPr>
              <w:t>Prepayments.</w:t>
            </w:r>
          </w:p>
        </w:tc>
        <w:tc>
          <w:tcPr>
            <w:tcW w:w="2660" w:type="dxa"/>
            <w:vAlign w:val="bottom"/>
          </w:tcPr>
          <w:p>
            <w:pPr>
              <w:jc w:val="right"/>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2.06</w:t>
            </w:r>
          </w:p>
        </w:tc>
        <w:tc>
          <w:tcPr>
            <w:tcW w:w="7940" w:type="dxa"/>
            <w:vAlign w:val="bottom"/>
          </w:tcPr>
          <w:p>
            <w:pPr>
              <w:ind w:left="240"/>
              <w:spacing w:after="0"/>
              <w:rPr>
                <w:sz w:val="20"/>
                <w:szCs w:val="20"/>
                <w:color w:val="auto"/>
              </w:rPr>
            </w:pPr>
            <w:r>
              <w:rPr>
                <w:rFonts w:ascii="Arial" w:cs="Arial" w:eastAsia="Arial" w:hAnsi="Arial"/>
                <w:sz w:val="13"/>
                <w:szCs w:val="13"/>
                <w:color w:val="auto"/>
              </w:rPr>
              <w:t>Termination or Reduction of Revolving Commitments.</w:t>
            </w:r>
          </w:p>
        </w:tc>
        <w:tc>
          <w:tcPr>
            <w:tcW w:w="2660" w:type="dxa"/>
            <w:vAlign w:val="bottom"/>
          </w:tcPr>
          <w:p>
            <w:pPr>
              <w:jc w:val="right"/>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2.07</w:t>
            </w:r>
          </w:p>
        </w:tc>
        <w:tc>
          <w:tcPr>
            <w:tcW w:w="7940" w:type="dxa"/>
            <w:vAlign w:val="bottom"/>
          </w:tcPr>
          <w:p>
            <w:pPr>
              <w:ind w:left="240"/>
              <w:spacing w:after="0"/>
              <w:rPr>
                <w:sz w:val="20"/>
                <w:szCs w:val="20"/>
                <w:color w:val="auto"/>
              </w:rPr>
            </w:pPr>
            <w:r>
              <w:rPr>
                <w:rFonts w:ascii="Arial" w:cs="Arial" w:eastAsia="Arial" w:hAnsi="Arial"/>
                <w:sz w:val="13"/>
                <w:szCs w:val="13"/>
                <w:color w:val="auto"/>
              </w:rPr>
              <w:t>Repayment of Obligations.</w:t>
            </w:r>
          </w:p>
        </w:tc>
        <w:tc>
          <w:tcPr>
            <w:tcW w:w="2660" w:type="dxa"/>
            <w:vAlign w:val="bottom"/>
          </w:tcPr>
          <w:p>
            <w:pPr>
              <w:jc w:val="right"/>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2.08</w:t>
            </w:r>
          </w:p>
        </w:tc>
        <w:tc>
          <w:tcPr>
            <w:tcW w:w="7940" w:type="dxa"/>
            <w:vAlign w:val="bottom"/>
          </w:tcPr>
          <w:p>
            <w:pPr>
              <w:ind w:left="240"/>
              <w:spacing w:after="0"/>
              <w:rPr>
                <w:sz w:val="20"/>
                <w:szCs w:val="20"/>
                <w:color w:val="auto"/>
              </w:rPr>
            </w:pPr>
            <w:r>
              <w:rPr>
                <w:rFonts w:ascii="Arial" w:cs="Arial" w:eastAsia="Arial" w:hAnsi="Arial"/>
                <w:sz w:val="13"/>
                <w:szCs w:val="13"/>
                <w:color w:val="auto"/>
              </w:rPr>
              <w:t>Interest.</w:t>
            </w:r>
          </w:p>
        </w:tc>
        <w:tc>
          <w:tcPr>
            <w:tcW w:w="2660" w:type="dxa"/>
            <w:vAlign w:val="bottom"/>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2.09</w:t>
            </w:r>
          </w:p>
        </w:tc>
        <w:tc>
          <w:tcPr>
            <w:tcW w:w="7940" w:type="dxa"/>
            <w:vAlign w:val="bottom"/>
          </w:tcPr>
          <w:p>
            <w:pPr>
              <w:ind w:left="240"/>
              <w:spacing w:after="0"/>
              <w:rPr>
                <w:sz w:val="20"/>
                <w:szCs w:val="20"/>
                <w:color w:val="auto"/>
              </w:rPr>
            </w:pPr>
            <w:r>
              <w:rPr>
                <w:rFonts w:ascii="Arial" w:cs="Arial" w:eastAsia="Arial" w:hAnsi="Arial"/>
                <w:sz w:val="13"/>
                <w:szCs w:val="13"/>
                <w:color w:val="auto"/>
              </w:rPr>
              <w:t>Fees</w:t>
            </w:r>
          </w:p>
        </w:tc>
        <w:tc>
          <w:tcPr>
            <w:tcW w:w="2660" w:type="dxa"/>
            <w:vAlign w:val="bottom"/>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2.10</w:t>
            </w:r>
          </w:p>
        </w:tc>
        <w:tc>
          <w:tcPr>
            <w:tcW w:w="7940" w:type="dxa"/>
            <w:vAlign w:val="bottom"/>
          </w:tcPr>
          <w:p>
            <w:pPr>
              <w:ind w:left="240"/>
              <w:spacing w:after="0"/>
              <w:rPr>
                <w:sz w:val="20"/>
                <w:szCs w:val="20"/>
                <w:color w:val="auto"/>
              </w:rPr>
            </w:pPr>
            <w:r>
              <w:rPr>
                <w:rFonts w:ascii="Arial" w:cs="Arial" w:eastAsia="Arial" w:hAnsi="Arial"/>
                <w:sz w:val="13"/>
                <w:szCs w:val="13"/>
                <w:color w:val="auto"/>
              </w:rPr>
              <w:t>Computation of Interest and Fees</w:t>
            </w:r>
          </w:p>
        </w:tc>
        <w:tc>
          <w:tcPr>
            <w:tcW w:w="2660" w:type="dxa"/>
            <w:vAlign w:val="bottom"/>
          </w:tcPr>
          <w:p>
            <w:pPr>
              <w:jc w:val="right"/>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2.11</w:t>
            </w:r>
          </w:p>
        </w:tc>
        <w:tc>
          <w:tcPr>
            <w:tcW w:w="7940" w:type="dxa"/>
            <w:vAlign w:val="bottom"/>
          </w:tcPr>
          <w:p>
            <w:pPr>
              <w:ind w:left="240"/>
              <w:spacing w:after="0"/>
              <w:rPr>
                <w:sz w:val="20"/>
                <w:szCs w:val="20"/>
                <w:color w:val="auto"/>
              </w:rPr>
            </w:pPr>
            <w:r>
              <w:rPr>
                <w:rFonts w:ascii="Arial" w:cs="Arial" w:eastAsia="Arial" w:hAnsi="Arial"/>
                <w:sz w:val="13"/>
                <w:szCs w:val="13"/>
                <w:color w:val="auto"/>
              </w:rPr>
              <w:t>Evidence of Debt.</w:t>
            </w:r>
          </w:p>
        </w:tc>
        <w:tc>
          <w:tcPr>
            <w:tcW w:w="2660" w:type="dxa"/>
            <w:vAlign w:val="bottom"/>
          </w:tcPr>
          <w:p>
            <w:pPr>
              <w:jc w:val="right"/>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2.12</w:t>
            </w:r>
          </w:p>
        </w:tc>
        <w:tc>
          <w:tcPr>
            <w:tcW w:w="7940" w:type="dxa"/>
            <w:vAlign w:val="bottom"/>
          </w:tcPr>
          <w:p>
            <w:pPr>
              <w:ind w:left="240"/>
              <w:spacing w:after="0"/>
              <w:rPr>
                <w:sz w:val="20"/>
                <w:szCs w:val="20"/>
                <w:color w:val="auto"/>
              </w:rPr>
            </w:pPr>
            <w:r>
              <w:rPr>
                <w:rFonts w:ascii="Arial" w:cs="Arial" w:eastAsia="Arial" w:hAnsi="Arial"/>
                <w:sz w:val="13"/>
                <w:szCs w:val="13"/>
                <w:color w:val="auto"/>
              </w:rPr>
              <w:t>Payments Generally; Agent’s Clawback.</w:t>
            </w:r>
          </w:p>
        </w:tc>
        <w:tc>
          <w:tcPr>
            <w:tcW w:w="2660" w:type="dxa"/>
            <w:vAlign w:val="bottom"/>
          </w:tcPr>
          <w:p>
            <w:pPr>
              <w:jc w:val="right"/>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2.13</w:t>
            </w:r>
          </w:p>
        </w:tc>
        <w:tc>
          <w:tcPr>
            <w:tcW w:w="7940" w:type="dxa"/>
            <w:vAlign w:val="bottom"/>
          </w:tcPr>
          <w:p>
            <w:pPr>
              <w:ind w:left="240"/>
              <w:spacing w:after="0"/>
              <w:rPr>
                <w:sz w:val="20"/>
                <w:szCs w:val="20"/>
                <w:color w:val="auto"/>
              </w:rPr>
            </w:pPr>
            <w:r>
              <w:rPr>
                <w:rFonts w:ascii="Arial" w:cs="Arial" w:eastAsia="Arial" w:hAnsi="Arial"/>
                <w:sz w:val="13"/>
                <w:szCs w:val="13"/>
                <w:color w:val="auto"/>
              </w:rPr>
              <w:t>Sharing of Payments by Lenders</w:t>
            </w:r>
          </w:p>
        </w:tc>
        <w:tc>
          <w:tcPr>
            <w:tcW w:w="2660" w:type="dxa"/>
            <w:vAlign w:val="bottom"/>
          </w:tcPr>
          <w:p>
            <w:pPr>
              <w:jc w:val="right"/>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2.14</w:t>
            </w:r>
          </w:p>
        </w:tc>
        <w:tc>
          <w:tcPr>
            <w:tcW w:w="7940" w:type="dxa"/>
            <w:vAlign w:val="bottom"/>
          </w:tcPr>
          <w:p>
            <w:pPr>
              <w:ind w:left="240"/>
              <w:spacing w:after="0"/>
              <w:rPr>
                <w:sz w:val="20"/>
                <w:szCs w:val="20"/>
                <w:color w:val="auto"/>
              </w:rPr>
            </w:pPr>
            <w:r>
              <w:rPr>
                <w:rFonts w:ascii="Arial" w:cs="Arial" w:eastAsia="Arial" w:hAnsi="Arial"/>
                <w:sz w:val="13"/>
                <w:szCs w:val="13"/>
                <w:color w:val="auto"/>
              </w:rPr>
              <w:t>Settlement Amongst Revolving Lenders</w:t>
            </w:r>
          </w:p>
        </w:tc>
        <w:tc>
          <w:tcPr>
            <w:tcW w:w="2660" w:type="dxa"/>
            <w:vAlign w:val="bottom"/>
          </w:tcPr>
          <w:p>
            <w:pPr>
              <w:jc w:val="right"/>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2.15</w:t>
            </w:r>
          </w:p>
        </w:tc>
        <w:tc>
          <w:tcPr>
            <w:tcW w:w="7940" w:type="dxa"/>
            <w:vAlign w:val="bottom"/>
          </w:tcPr>
          <w:p>
            <w:pPr>
              <w:ind w:left="240"/>
              <w:spacing w:after="0"/>
              <w:rPr>
                <w:sz w:val="20"/>
                <w:szCs w:val="20"/>
                <w:color w:val="auto"/>
              </w:rPr>
            </w:pPr>
            <w:r>
              <w:rPr>
                <w:rFonts w:ascii="Arial" w:cs="Arial" w:eastAsia="Arial" w:hAnsi="Arial"/>
                <w:sz w:val="13"/>
                <w:szCs w:val="13"/>
                <w:color w:val="auto"/>
              </w:rPr>
              <w:t>Increase in Commitments.</w:t>
            </w:r>
          </w:p>
        </w:tc>
        <w:tc>
          <w:tcPr>
            <w:tcW w:w="2660" w:type="dxa"/>
            <w:vAlign w:val="bottom"/>
          </w:tcPr>
          <w:p>
            <w:pPr>
              <w:jc w:val="right"/>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166"/>
        </w:trPr>
        <w:tc>
          <w:tcPr>
            <w:tcW w:w="900" w:type="dxa"/>
            <w:vAlign w:val="bottom"/>
          </w:tcPr>
          <w:p>
            <w:pPr>
              <w:ind w:left="120"/>
              <w:spacing w:after="0"/>
              <w:rPr>
                <w:sz w:val="20"/>
                <w:szCs w:val="20"/>
                <w:color w:val="auto"/>
              </w:rPr>
            </w:pPr>
            <w:r>
              <w:rPr>
                <w:rFonts w:ascii="Arial" w:cs="Arial" w:eastAsia="Arial" w:hAnsi="Arial"/>
                <w:sz w:val="13"/>
                <w:szCs w:val="13"/>
                <w:color w:val="auto"/>
              </w:rPr>
              <w:t>2.16</w:t>
            </w:r>
          </w:p>
        </w:tc>
        <w:tc>
          <w:tcPr>
            <w:tcW w:w="7940" w:type="dxa"/>
            <w:vAlign w:val="bottom"/>
          </w:tcPr>
          <w:p>
            <w:pPr>
              <w:ind w:left="240"/>
              <w:spacing w:after="0"/>
              <w:rPr>
                <w:sz w:val="20"/>
                <w:szCs w:val="20"/>
                <w:color w:val="auto"/>
              </w:rPr>
            </w:pPr>
            <w:r>
              <w:rPr>
                <w:rFonts w:ascii="Arial" w:cs="Arial" w:eastAsia="Arial" w:hAnsi="Arial"/>
                <w:sz w:val="13"/>
                <w:szCs w:val="13"/>
                <w:color w:val="auto"/>
              </w:rPr>
              <w:t>Defaulting Lenders.</w:t>
            </w:r>
          </w:p>
        </w:tc>
        <w:tc>
          <w:tcPr>
            <w:tcW w:w="2660" w:type="dxa"/>
            <w:vAlign w:val="bottom"/>
          </w:tcPr>
          <w:p>
            <w:pPr>
              <w:jc w:val="right"/>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234"/>
        </w:trPr>
        <w:tc>
          <w:tcPr>
            <w:tcW w:w="8840" w:type="dxa"/>
            <w:vAlign w:val="bottom"/>
            <w:gridSpan w:val="2"/>
          </w:tcPr>
          <w:p>
            <w:pPr>
              <w:spacing w:after="0"/>
              <w:rPr>
                <w:sz w:val="20"/>
                <w:szCs w:val="20"/>
                <w:color w:val="auto"/>
              </w:rPr>
            </w:pPr>
            <w:r>
              <w:rPr>
                <w:rFonts w:ascii="Arial" w:cs="Arial" w:eastAsia="Arial" w:hAnsi="Arial"/>
                <w:sz w:val="13"/>
                <w:szCs w:val="13"/>
                <w:color w:val="auto"/>
              </w:rPr>
              <w:t>ARTICLE III TAXES, YIELD PROTECTION AND ILLEGALITY; APPOINTMENT OF LEAD BORROWER</w:t>
            </w:r>
          </w:p>
        </w:tc>
        <w:tc>
          <w:tcPr>
            <w:tcW w:w="2660" w:type="dxa"/>
            <w:vAlign w:val="bottom"/>
          </w:tcPr>
          <w:p>
            <w:pPr>
              <w:jc w:val="right"/>
              <w:spacing w:after="0"/>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222"/>
        </w:trPr>
        <w:tc>
          <w:tcPr>
            <w:tcW w:w="900" w:type="dxa"/>
            <w:vAlign w:val="bottom"/>
          </w:tcPr>
          <w:p>
            <w:pPr>
              <w:ind w:left="120"/>
              <w:spacing w:after="0"/>
              <w:rPr>
                <w:sz w:val="20"/>
                <w:szCs w:val="20"/>
                <w:color w:val="auto"/>
              </w:rPr>
            </w:pPr>
            <w:r>
              <w:rPr>
                <w:rFonts w:ascii="Arial" w:cs="Arial" w:eastAsia="Arial" w:hAnsi="Arial"/>
                <w:sz w:val="13"/>
                <w:szCs w:val="13"/>
                <w:color w:val="auto"/>
              </w:rPr>
              <w:t>3.01</w:t>
            </w:r>
          </w:p>
        </w:tc>
        <w:tc>
          <w:tcPr>
            <w:tcW w:w="7940" w:type="dxa"/>
            <w:vAlign w:val="bottom"/>
          </w:tcPr>
          <w:p>
            <w:pPr>
              <w:ind w:left="240"/>
              <w:spacing w:after="0"/>
              <w:rPr>
                <w:sz w:val="20"/>
                <w:szCs w:val="20"/>
                <w:color w:val="auto"/>
              </w:rPr>
            </w:pPr>
            <w:r>
              <w:rPr>
                <w:rFonts w:ascii="Arial" w:cs="Arial" w:eastAsia="Arial" w:hAnsi="Arial"/>
                <w:sz w:val="13"/>
                <w:szCs w:val="13"/>
                <w:color w:val="auto"/>
              </w:rPr>
              <w:t>Taxes.</w:t>
            </w:r>
          </w:p>
        </w:tc>
        <w:tc>
          <w:tcPr>
            <w:tcW w:w="2660" w:type="dxa"/>
            <w:vAlign w:val="bottom"/>
          </w:tcPr>
          <w:p>
            <w:pPr>
              <w:jc w:val="right"/>
              <w:spacing w:after="0"/>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3.02</w:t>
            </w:r>
          </w:p>
        </w:tc>
        <w:tc>
          <w:tcPr>
            <w:tcW w:w="7940" w:type="dxa"/>
            <w:vAlign w:val="bottom"/>
          </w:tcPr>
          <w:p>
            <w:pPr>
              <w:ind w:left="240"/>
              <w:spacing w:after="0"/>
              <w:rPr>
                <w:sz w:val="20"/>
                <w:szCs w:val="20"/>
                <w:color w:val="auto"/>
              </w:rPr>
            </w:pPr>
            <w:r>
              <w:rPr>
                <w:rFonts w:ascii="Arial" w:cs="Arial" w:eastAsia="Arial" w:hAnsi="Arial"/>
                <w:sz w:val="13"/>
                <w:szCs w:val="13"/>
                <w:color w:val="auto"/>
              </w:rPr>
              <w:t>Illegality</w:t>
            </w:r>
          </w:p>
        </w:tc>
        <w:tc>
          <w:tcPr>
            <w:tcW w:w="2660" w:type="dxa"/>
            <w:vAlign w:val="bottom"/>
          </w:tcPr>
          <w:p>
            <w:pPr>
              <w:jc w:val="right"/>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3.03</w:t>
            </w:r>
          </w:p>
        </w:tc>
        <w:tc>
          <w:tcPr>
            <w:tcW w:w="7940" w:type="dxa"/>
            <w:vAlign w:val="bottom"/>
          </w:tcPr>
          <w:p>
            <w:pPr>
              <w:ind w:left="240"/>
              <w:spacing w:after="0"/>
              <w:rPr>
                <w:sz w:val="20"/>
                <w:szCs w:val="20"/>
                <w:color w:val="auto"/>
              </w:rPr>
            </w:pPr>
            <w:r>
              <w:rPr>
                <w:rFonts w:ascii="Arial" w:cs="Arial" w:eastAsia="Arial" w:hAnsi="Arial"/>
                <w:sz w:val="13"/>
                <w:szCs w:val="13"/>
                <w:color w:val="auto"/>
              </w:rPr>
              <w:t>Inability to Determine Rates</w:t>
            </w:r>
          </w:p>
        </w:tc>
        <w:tc>
          <w:tcPr>
            <w:tcW w:w="2660" w:type="dxa"/>
            <w:vAlign w:val="bottom"/>
          </w:tcPr>
          <w:p>
            <w:pPr>
              <w:jc w:val="right"/>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3.04</w:t>
            </w:r>
          </w:p>
        </w:tc>
        <w:tc>
          <w:tcPr>
            <w:tcW w:w="7940" w:type="dxa"/>
            <w:vAlign w:val="bottom"/>
          </w:tcPr>
          <w:p>
            <w:pPr>
              <w:ind w:left="240"/>
              <w:spacing w:after="0"/>
              <w:rPr>
                <w:sz w:val="20"/>
                <w:szCs w:val="20"/>
                <w:color w:val="auto"/>
              </w:rPr>
            </w:pPr>
            <w:r>
              <w:rPr>
                <w:rFonts w:ascii="Arial" w:cs="Arial" w:eastAsia="Arial" w:hAnsi="Arial"/>
                <w:sz w:val="13"/>
                <w:szCs w:val="13"/>
                <w:color w:val="auto"/>
              </w:rPr>
              <w:t>Increased Costs; Reserves on LIBOR Rate Loans.</w:t>
            </w:r>
          </w:p>
        </w:tc>
        <w:tc>
          <w:tcPr>
            <w:tcW w:w="2660" w:type="dxa"/>
            <w:vAlign w:val="bottom"/>
          </w:tcPr>
          <w:p>
            <w:pPr>
              <w:jc w:val="right"/>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3.05</w:t>
            </w:r>
          </w:p>
        </w:tc>
        <w:tc>
          <w:tcPr>
            <w:tcW w:w="7940" w:type="dxa"/>
            <w:vAlign w:val="bottom"/>
          </w:tcPr>
          <w:p>
            <w:pPr>
              <w:ind w:left="240"/>
              <w:spacing w:after="0"/>
              <w:rPr>
                <w:sz w:val="20"/>
                <w:szCs w:val="20"/>
                <w:color w:val="auto"/>
              </w:rPr>
            </w:pPr>
            <w:r>
              <w:rPr>
                <w:rFonts w:ascii="Arial" w:cs="Arial" w:eastAsia="Arial" w:hAnsi="Arial"/>
                <w:sz w:val="13"/>
                <w:szCs w:val="13"/>
                <w:color w:val="auto"/>
              </w:rPr>
              <w:t>Compensation for Losses</w:t>
            </w:r>
          </w:p>
        </w:tc>
        <w:tc>
          <w:tcPr>
            <w:tcW w:w="2660" w:type="dxa"/>
            <w:vAlign w:val="bottom"/>
          </w:tcPr>
          <w:p>
            <w:pPr>
              <w:jc w:val="right"/>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3.06</w:t>
            </w:r>
          </w:p>
        </w:tc>
        <w:tc>
          <w:tcPr>
            <w:tcW w:w="7940" w:type="dxa"/>
            <w:vAlign w:val="bottom"/>
          </w:tcPr>
          <w:p>
            <w:pPr>
              <w:ind w:left="240"/>
              <w:spacing w:after="0"/>
              <w:rPr>
                <w:sz w:val="20"/>
                <w:szCs w:val="20"/>
                <w:color w:val="auto"/>
              </w:rPr>
            </w:pPr>
            <w:r>
              <w:rPr>
                <w:rFonts w:ascii="Arial" w:cs="Arial" w:eastAsia="Arial" w:hAnsi="Arial"/>
                <w:sz w:val="13"/>
                <w:szCs w:val="13"/>
                <w:color w:val="auto"/>
              </w:rPr>
              <w:t>Mitigation Obligations; Replacement of Lenders.</w:t>
            </w:r>
          </w:p>
        </w:tc>
        <w:tc>
          <w:tcPr>
            <w:tcW w:w="2660" w:type="dxa"/>
            <w:vAlign w:val="bottom"/>
          </w:tcPr>
          <w:p>
            <w:pPr>
              <w:jc w:val="right"/>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3.07</w:t>
            </w:r>
          </w:p>
        </w:tc>
        <w:tc>
          <w:tcPr>
            <w:tcW w:w="7940" w:type="dxa"/>
            <w:vAlign w:val="bottom"/>
          </w:tcPr>
          <w:p>
            <w:pPr>
              <w:ind w:left="240"/>
              <w:spacing w:after="0"/>
              <w:rPr>
                <w:sz w:val="20"/>
                <w:szCs w:val="20"/>
                <w:color w:val="auto"/>
              </w:rPr>
            </w:pPr>
            <w:r>
              <w:rPr>
                <w:rFonts w:ascii="Arial" w:cs="Arial" w:eastAsia="Arial" w:hAnsi="Arial"/>
                <w:sz w:val="13"/>
                <w:szCs w:val="13"/>
                <w:color w:val="auto"/>
              </w:rPr>
              <w:t>Survival</w:t>
            </w:r>
          </w:p>
        </w:tc>
        <w:tc>
          <w:tcPr>
            <w:tcW w:w="2660" w:type="dxa"/>
            <w:vAlign w:val="bottom"/>
          </w:tcPr>
          <w:p>
            <w:pPr>
              <w:jc w:val="right"/>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66"/>
        </w:trPr>
        <w:tc>
          <w:tcPr>
            <w:tcW w:w="900" w:type="dxa"/>
            <w:vAlign w:val="bottom"/>
          </w:tcPr>
          <w:p>
            <w:pPr>
              <w:ind w:left="120"/>
              <w:spacing w:after="0"/>
              <w:rPr>
                <w:sz w:val="20"/>
                <w:szCs w:val="20"/>
                <w:color w:val="auto"/>
              </w:rPr>
            </w:pPr>
            <w:r>
              <w:rPr>
                <w:rFonts w:ascii="Arial" w:cs="Arial" w:eastAsia="Arial" w:hAnsi="Arial"/>
                <w:sz w:val="13"/>
                <w:szCs w:val="13"/>
                <w:color w:val="auto"/>
              </w:rPr>
              <w:t>3.08</w:t>
            </w:r>
          </w:p>
        </w:tc>
        <w:tc>
          <w:tcPr>
            <w:tcW w:w="7940" w:type="dxa"/>
            <w:vAlign w:val="bottom"/>
          </w:tcPr>
          <w:p>
            <w:pPr>
              <w:ind w:left="240"/>
              <w:spacing w:after="0"/>
              <w:rPr>
                <w:sz w:val="20"/>
                <w:szCs w:val="20"/>
                <w:color w:val="auto"/>
              </w:rPr>
            </w:pPr>
            <w:r>
              <w:rPr>
                <w:rFonts w:ascii="Arial" w:cs="Arial" w:eastAsia="Arial" w:hAnsi="Arial"/>
                <w:sz w:val="13"/>
                <w:szCs w:val="13"/>
                <w:color w:val="auto"/>
              </w:rPr>
              <w:t>Designation of Lead Borrower as Borrowers’ Agent.</w:t>
            </w:r>
          </w:p>
        </w:tc>
        <w:tc>
          <w:tcPr>
            <w:tcW w:w="2660" w:type="dxa"/>
            <w:vAlign w:val="bottom"/>
          </w:tcPr>
          <w:p>
            <w:pPr>
              <w:jc w:val="right"/>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234"/>
        </w:trPr>
        <w:tc>
          <w:tcPr>
            <w:tcW w:w="8840" w:type="dxa"/>
            <w:vAlign w:val="bottom"/>
            <w:gridSpan w:val="2"/>
          </w:tcPr>
          <w:p>
            <w:pPr>
              <w:spacing w:after="0"/>
              <w:rPr>
                <w:sz w:val="20"/>
                <w:szCs w:val="20"/>
                <w:color w:val="auto"/>
              </w:rPr>
            </w:pPr>
            <w:r>
              <w:rPr>
                <w:rFonts w:ascii="Arial" w:cs="Arial" w:eastAsia="Arial" w:hAnsi="Arial"/>
                <w:sz w:val="13"/>
                <w:szCs w:val="13"/>
                <w:color w:val="auto"/>
              </w:rPr>
              <w:t>ARTICLE IV CONDITIONS PRECEDENT TO CREDIT EXTENSIONS</w:t>
            </w:r>
          </w:p>
        </w:tc>
        <w:tc>
          <w:tcPr>
            <w:tcW w:w="2660" w:type="dxa"/>
            <w:vAlign w:val="bottom"/>
          </w:tcPr>
          <w:p>
            <w:pPr>
              <w:jc w:val="right"/>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222"/>
        </w:trPr>
        <w:tc>
          <w:tcPr>
            <w:tcW w:w="900" w:type="dxa"/>
            <w:vAlign w:val="bottom"/>
          </w:tcPr>
          <w:p>
            <w:pPr>
              <w:ind w:left="120"/>
              <w:spacing w:after="0"/>
              <w:rPr>
                <w:sz w:val="20"/>
                <w:szCs w:val="20"/>
                <w:color w:val="auto"/>
              </w:rPr>
            </w:pPr>
            <w:r>
              <w:rPr>
                <w:rFonts w:ascii="Arial" w:cs="Arial" w:eastAsia="Arial" w:hAnsi="Arial"/>
                <w:sz w:val="13"/>
                <w:szCs w:val="13"/>
                <w:color w:val="auto"/>
              </w:rPr>
              <w:t>4.01</w:t>
            </w:r>
          </w:p>
        </w:tc>
        <w:tc>
          <w:tcPr>
            <w:tcW w:w="7940" w:type="dxa"/>
            <w:vAlign w:val="bottom"/>
          </w:tcPr>
          <w:p>
            <w:pPr>
              <w:ind w:left="240"/>
              <w:spacing w:after="0"/>
              <w:rPr>
                <w:sz w:val="20"/>
                <w:szCs w:val="20"/>
                <w:color w:val="auto"/>
              </w:rPr>
            </w:pPr>
            <w:r>
              <w:rPr>
                <w:rFonts w:ascii="Arial" w:cs="Arial" w:eastAsia="Arial" w:hAnsi="Arial"/>
                <w:sz w:val="13"/>
                <w:szCs w:val="13"/>
                <w:color w:val="auto"/>
              </w:rPr>
              <w:t>Conditions of Effectiveness of this Agreement and Credit Extension</w:t>
            </w:r>
          </w:p>
        </w:tc>
        <w:tc>
          <w:tcPr>
            <w:tcW w:w="2660" w:type="dxa"/>
            <w:vAlign w:val="bottom"/>
          </w:tcPr>
          <w:p>
            <w:pPr>
              <w:jc w:val="right"/>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66"/>
        </w:trPr>
        <w:tc>
          <w:tcPr>
            <w:tcW w:w="900" w:type="dxa"/>
            <w:vAlign w:val="bottom"/>
          </w:tcPr>
          <w:p>
            <w:pPr>
              <w:ind w:left="120"/>
              <w:spacing w:after="0"/>
              <w:rPr>
                <w:sz w:val="20"/>
                <w:szCs w:val="20"/>
                <w:color w:val="auto"/>
              </w:rPr>
            </w:pPr>
            <w:r>
              <w:rPr>
                <w:rFonts w:ascii="Arial" w:cs="Arial" w:eastAsia="Arial" w:hAnsi="Arial"/>
                <w:sz w:val="13"/>
                <w:szCs w:val="13"/>
                <w:color w:val="auto"/>
              </w:rPr>
              <w:t>4.02</w:t>
            </w:r>
          </w:p>
        </w:tc>
        <w:tc>
          <w:tcPr>
            <w:tcW w:w="7940" w:type="dxa"/>
            <w:vAlign w:val="bottom"/>
          </w:tcPr>
          <w:p>
            <w:pPr>
              <w:ind w:left="240"/>
              <w:spacing w:after="0"/>
              <w:rPr>
                <w:sz w:val="20"/>
                <w:szCs w:val="20"/>
                <w:color w:val="auto"/>
              </w:rPr>
            </w:pPr>
            <w:r>
              <w:rPr>
                <w:rFonts w:ascii="Arial" w:cs="Arial" w:eastAsia="Arial" w:hAnsi="Arial"/>
                <w:sz w:val="13"/>
                <w:szCs w:val="13"/>
                <w:color w:val="auto"/>
              </w:rPr>
              <w:t>Conditions to all Credit Extensions</w:t>
            </w:r>
          </w:p>
        </w:tc>
        <w:tc>
          <w:tcPr>
            <w:tcW w:w="2660" w:type="dxa"/>
            <w:vAlign w:val="bottom"/>
          </w:tcPr>
          <w:p>
            <w:pPr>
              <w:jc w:val="right"/>
              <w:spacing w:after="0"/>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234"/>
        </w:trPr>
        <w:tc>
          <w:tcPr>
            <w:tcW w:w="8840" w:type="dxa"/>
            <w:vAlign w:val="bottom"/>
            <w:gridSpan w:val="2"/>
          </w:tcPr>
          <w:p>
            <w:pPr>
              <w:spacing w:after="0"/>
              <w:rPr>
                <w:sz w:val="20"/>
                <w:szCs w:val="20"/>
                <w:color w:val="auto"/>
              </w:rPr>
            </w:pPr>
            <w:r>
              <w:rPr>
                <w:rFonts w:ascii="Arial" w:cs="Arial" w:eastAsia="Arial" w:hAnsi="Arial"/>
                <w:sz w:val="13"/>
                <w:szCs w:val="13"/>
                <w:color w:val="auto"/>
              </w:rPr>
              <w:t>ARTICLE V REPRESENTATIONS AND WARRANTIES</w:t>
            </w:r>
          </w:p>
        </w:tc>
        <w:tc>
          <w:tcPr>
            <w:tcW w:w="2660" w:type="dxa"/>
            <w:vAlign w:val="bottom"/>
          </w:tcPr>
          <w:p>
            <w:pPr>
              <w:jc w:val="right"/>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222"/>
        </w:trPr>
        <w:tc>
          <w:tcPr>
            <w:tcW w:w="900" w:type="dxa"/>
            <w:vAlign w:val="bottom"/>
          </w:tcPr>
          <w:p>
            <w:pPr>
              <w:ind w:left="120"/>
              <w:spacing w:after="0"/>
              <w:rPr>
                <w:sz w:val="20"/>
                <w:szCs w:val="20"/>
                <w:color w:val="auto"/>
              </w:rPr>
            </w:pPr>
            <w:r>
              <w:rPr>
                <w:rFonts w:ascii="Arial" w:cs="Arial" w:eastAsia="Arial" w:hAnsi="Arial"/>
                <w:sz w:val="13"/>
                <w:szCs w:val="13"/>
                <w:color w:val="auto"/>
              </w:rPr>
              <w:t>5.01</w:t>
            </w:r>
          </w:p>
        </w:tc>
        <w:tc>
          <w:tcPr>
            <w:tcW w:w="7940" w:type="dxa"/>
            <w:vAlign w:val="bottom"/>
          </w:tcPr>
          <w:p>
            <w:pPr>
              <w:ind w:left="240"/>
              <w:spacing w:after="0"/>
              <w:rPr>
                <w:sz w:val="20"/>
                <w:szCs w:val="20"/>
                <w:color w:val="auto"/>
              </w:rPr>
            </w:pPr>
            <w:r>
              <w:rPr>
                <w:rFonts w:ascii="Arial" w:cs="Arial" w:eastAsia="Arial" w:hAnsi="Arial"/>
                <w:sz w:val="13"/>
                <w:szCs w:val="13"/>
                <w:color w:val="auto"/>
              </w:rPr>
              <w:t>Existence, Qualification and Power.</w:t>
            </w:r>
          </w:p>
        </w:tc>
        <w:tc>
          <w:tcPr>
            <w:tcW w:w="2660" w:type="dxa"/>
            <w:vAlign w:val="bottom"/>
          </w:tcPr>
          <w:p>
            <w:pPr>
              <w:jc w:val="right"/>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5.02</w:t>
            </w:r>
          </w:p>
        </w:tc>
        <w:tc>
          <w:tcPr>
            <w:tcW w:w="7940" w:type="dxa"/>
            <w:vAlign w:val="bottom"/>
          </w:tcPr>
          <w:p>
            <w:pPr>
              <w:ind w:left="240"/>
              <w:spacing w:after="0"/>
              <w:rPr>
                <w:sz w:val="20"/>
                <w:szCs w:val="20"/>
                <w:color w:val="auto"/>
              </w:rPr>
            </w:pPr>
            <w:r>
              <w:rPr>
                <w:rFonts w:ascii="Arial" w:cs="Arial" w:eastAsia="Arial" w:hAnsi="Arial"/>
                <w:sz w:val="13"/>
                <w:szCs w:val="13"/>
                <w:color w:val="auto"/>
              </w:rPr>
              <w:t>Authorization; No Contravention</w:t>
            </w:r>
          </w:p>
        </w:tc>
        <w:tc>
          <w:tcPr>
            <w:tcW w:w="2660" w:type="dxa"/>
            <w:vAlign w:val="bottom"/>
          </w:tcPr>
          <w:p>
            <w:pPr>
              <w:jc w:val="right"/>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5.03</w:t>
            </w:r>
          </w:p>
        </w:tc>
        <w:tc>
          <w:tcPr>
            <w:tcW w:w="7940" w:type="dxa"/>
            <w:vAlign w:val="bottom"/>
          </w:tcPr>
          <w:p>
            <w:pPr>
              <w:ind w:left="240"/>
              <w:spacing w:after="0"/>
              <w:rPr>
                <w:sz w:val="20"/>
                <w:szCs w:val="20"/>
                <w:color w:val="auto"/>
              </w:rPr>
            </w:pPr>
            <w:r>
              <w:rPr>
                <w:rFonts w:ascii="Arial" w:cs="Arial" w:eastAsia="Arial" w:hAnsi="Arial"/>
                <w:sz w:val="13"/>
                <w:szCs w:val="13"/>
                <w:color w:val="auto"/>
              </w:rPr>
              <w:t>Governmental Authorization; Other Consents</w:t>
            </w:r>
          </w:p>
        </w:tc>
        <w:tc>
          <w:tcPr>
            <w:tcW w:w="2660" w:type="dxa"/>
            <w:vAlign w:val="bottom"/>
          </w:tcPr>
          <w:p>
            <w:pPr>
              <w:jc w:val="right"/>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66"/>
        </w:trPr>
        <w:tc>
          <w:tcPr>
            <w:tcW w:w="900" w:type="dxa"/>
            <w:vAlign w:val="bottom"/>
          </w:tcPr>
          <w:p>
            <w:pPr>
              <w:ind w:left="120"/>
              <w:spacing w:after="0"/>
              <w:rPr>
                <w:sz w:val="20"/>
                <w:szCs w:val="20"/>
                <w:color w:val="auto"/>
              </w:rPr>
            </w:pPr>
            <w:r>
              <w:rPr>
                <w:rFonts w:ascii="Arial" w:cs="Arial" w:eastAsia="Arial" w:hAnsi="Arial"/>
                <w:sz w:val="13"/>
                <w:szCs w:val="13"/>
                <w:color w:val="auto"/>
              </w:rPr>
              <w:t>5.04</w:t>
            </w:r>
          </w:p>
        </w:tc>
        <w:tc>
          <w:tcPr>
            <w:tcW w:w="7940" w:type="dxa"/>
            <w:vAlign w:val="bottom"/>
          </w:tcPr>
          <w:p>
            <w:pPr>
              <w:ind w:left="240"/>
              <w:spacing w:after="0"/>
              <w:rPr>
                <w:sz w:val="20"/>
                <w:szCs w:val="20"/>
                <w:color w:val="auto"/>
              </w:rPr>
            </w:pPr>
            <w:r>
              <w:rPr>
                <w:rFonts w:ascii="Arial" w:cs="Arial" w:eastAsia="Arial" w:hAnsi="Arial"/>
                <w:sz w:val="13"/>
                <w:szCs w:val="13"/>
                <w:color w:val="auto"/>
              </w:rPr>
              <w:t>Binding Effect</w:t>
            </w:r>
          </w:p>
        </w:tc>
        <w:tc>
          <w:tcPr>
            <w:tcW w:w="2660" w:type="dxa"/>
            <w:vAlign w:val="bottom"/>
          </w:tcPr>
          <w:p>
            <w:pPr>
              <w:jc w:val="right"/>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251"/>
        </w:trPr>
        <w:tc>
          <w:tcPr>
            <w:tcW w:w="900" w:type="dxa"/>
            <w:vAlign w:val="bottom"/>
          </w:tcPr>
          <w:p>
            <w:pPr>
              <w:spacing w:after="0"/>
              <w:rPr>
                <w:sz w:val="20"/>
                <w:szCs w:val="20"/>
                <w:color w:val="auto"/>
              </w:rPr>
            </w:pPr>
            <w:r>
              <w:rPr>
                <w:rFonts w:ascii="Arial" w:cs="Arial" w:eastAsia="Arial" w:hAnsi="Arial"/>
                <w:sz w:val="10"/>
                <w:szCs w:val="10"/>
                <w:color w:val="auto"/>
              </w:rPr>
              <w:t>DB1/ 97390493.6</w:t>
            </w:r>
          </w:p>
        </w:tc>
        <w:tc>
          <w:tcPr>
            <w:tcW w:w="7940" w:type="dxa"/>
            <w:vAlign w:val="bottom"/>
            <w:vMerge w:val="restart"/>
          </w:tcPr>
          <w:p>
            <w:pPr>
              <w:ind w:left="4780"/>
              <w:spacing w:after="0"/>
              <w:rPr>
                <w:sz w:val="20"/>
                <w:szCs w:val="20"/>
                <w:color w:val="auto"/>
              </w:rPr>
            </w:pPr>
            <w:r>
              <w:rPr>
                <w:rFonts w:ascii="Arial" w:cs="Arial" w:eastAsia="Arial" w:hAnsi="Arial"/>
                <w:sz w:val="13"/>
                <w:szCs w:val="13"/>
                <w:color w:val="auto"/>
              </w:rPr>
              <w:t>(i)</w:t>
            </w:r>
          </w:p>
        </w:tc>
        <w:tc>
          <w:tcPr>
            <w:tcW w:w="2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900" w:type="dxa"/>
            <w:vAlign w:val="bottom"/>
          </w:tcPr>
          <w:p>
            <w:pPr>
              <w:spacing w:after="0"/>
              <w:rPr>
                <w:sz w:val="12"/>
                <w:szCs w:val="12"/>
                <w:color w:val="auto"/>
              </w:rPr>
            </w:pPr>
          </w:p>
        </w:tc>
        <w:tc>
          <w:tcPr>
            <w:tcW w:w="7940" w:type="dxa"/>
            <w:vAlign w:val="bottom"/>
            <w:vMerge w:val="continue"/>
          </w:tcPr>
          <w:p>
            <w:pPr>
              <w:spacing w:after="0"/>
              <w:rPr>
                <w:sz w:val="12"/>
                <w:szCs w:val="12"/>
                <w:color w:val="auto"/>
              </w:rPr>
            </w:pPr>
          </w:p>
        </w:tc>
        <w:tc>
          <w:tcPr>
            <w:tcW w:w="2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900" w:type="dxa"/>
            <w:vAlign w:val="bottom"/>
            <w:tcBorders>
              <w:bottom w:val="single" w:sz="8" w:color="9A9A9A"/>
            </w:tcBorders>
          </w:tcPr>
          <w:p>
            <w:pPr>
              <w:spacing w:after="0"/>
              <w:rPr>
                <w:sz w:val="6"/>
                <w:szCs w:val="6"/>
                <w:color w:val="auto"/>
              </w:rPr>
            </w:pPr>
          </w:p>
        </w:tc>
        <w:tc>
          <w:tcPr>
            <w:tcW w:w="7940" w:type="dxa"/>
            <w:vAlign w:val="bottom"/>
            <w:tcBorders>
              <w:bottom w:val="single" w:sz="8" w:color="9A9A9A"/>
            </w:tcBorders>
          </w:tcPr>
          <w:p>
            <w:pPr>
              <w:spacing w:after="0"/>
              <w:rPr>
                <w:sz w:val="6"/>
                <w:szCs w:val="6"/>
                <w:color w:val="auto"/>
              </w:rPr>
            </w:pPr>
          </w:p>
        </w:tc>
        <w:tc>
          <w:tcPr>
            <w:tcW w:w="266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70" w:right="1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55"/>
        </w:trPr>
        <w:tc>
          <w:tcPr>
            <w:tcW w:w="900" w:type="dxa"/>
            <w:vAlign w:val="bottom"/>
          </w:tcPr>
          <w:p>
            <w:pPr>
              <w:jc w:val="right"/>
              <w:ind w:right="474"/>
              <w:spacing w:after="0"/>
              <w:rPr>
                <w:sz w:val="20"/>
                <w:szCs w:val="20"/>
                <w:color w:val="auto"/>
              </w:rPr>
            </w:pPr>
            <w:r>
              <w:rPr>
                <w:rFonts w:ascii="Arial" w:cs="Arial" w:eastAsia="Arial" w:hAnsi="Arial"/>
                <w:sz w:val="13"/>
                <w:szCs w:val="13"/>
                <w:color w:val="auto"/>
              </w:rPr>
              <w:t>5.05</w:t>
            </w:r>
          </w:p>
        </w:tc>
        <w:tc>
          <w:tcPr>
            <w:tcW w:w="3840" w:type="dxa"/>
            <w:vAlign w:val="bottom"/>
          </w:tcPr>
          <w:p>
            <w:pPr>
              <w:ind w:left="240"/>
              <w:spacing w:after="0"/>
              <w:rPr>
                <w:sz w:val="20"/>
                <w:szCs w:val="20"/>
                <w:color w:val="auto"/>
              </w:rPr>
            </w:pPr>
            <w:r>
              <w:rPr>
                <w:rFonts w:ascii="Arial" w:cs="Arial" w:eastAsia="Arial" w:hAnsi="Arial"/>
                <w:sz w:val="13"/>
                <w:szCs w:val="13"/>
                <w:color w:val="auto"/>
              </w:rPr>
              <w:t>Financial Statements; No Material Adverse Effect.</w:t>
            </w:r>
          </w:p>
        </w:tc>
        <w:tc>
          <w:tcPr>
            <w:tcW w:w="6760" w:type="dxa"/>
            <w:vAlign w:val="bottom"/>
          </w:tcPr>
          <w:p>
            <w:pPr>
              <w:jc w:val="right"/>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53"/>
        </w:trPr>
        <w:tc>
          <w:tcPr>
            <w:tcW w:w="900" w:type="dxa"/>
            <w:vAlign w:val="bottom"/>
          </w:tcPr>
          <w:p>
            <w:pPr>
              <w:jc w:val="right"/>
              <w:ind w:right="474"/>
              <w:spacing w:after="0"/>
              <w:rPr>
                <w:sz w:val="20"/>
                <w:szCs w:val="20"/>
                <w:color w:val="auto"/>
              </w:rPr>
            </w:pPr>
            <w:r>
              <w:rPr>
                <w:rFonts w:ascii="Arial" w:cs="Arial" w:eastAsia="Arial" w:hAnsi="Arial"/>
                <w:sz w:val="13"/>
                <w:szCs w:val="13"/>
                <w:color w:val="auto"/>
              </w:rPr>
              <w:t>5.06</w:t>
            </w:r>
          </w:p>
        </w:tc>
        <w:tc>
          <w:tcPr>
            <w:tcW w:w="3840" w:type="dxa"/>
            <w:vAlign w:val="bottom"/>
          </w:tcPr>
          <w:p>
            <w:pPr>
              <w:ind w:left="240"/>
              <w:spacing w:after="0"/>
              <w:rPr>
                <w:sz w:val="20"/>
                <w:szCs w:val="20"/>
                <w:color w:val="auto"/>
              </w:rPr>
            </w:pPr>
            <w:r>
              <w:rPr>
                <w:rFonts w:ascii="Arial" w:cs="Arial" w:eastAsia="Arial" w:hAnsi="Arial"/>
                <w:sz w:val="13"/>
                <w:szCs w:val="13"/>
                <w:color w:val="auto"/>
              </w:rPr>
              <w:t>Litigation</w:t>
            </w:r>
          </w:p>
        </w:tc>
        <w:tc>
          <w:tcPr>
            <w:tcW w:w="6760" w:type="dxa"/>
            <w:vAlign w:val="bottom"/>
          </w:tcPr>
          <w:p>
            <w:pPr>
              <w:jc w:val="right"/>
              <w:spacing w:after="0"/>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153"/>
        </w:trPr>
        <w:tc>
          <w:tcPr>
            <w:tcW w:w="900" w:type="dxa"/>
            <w:vAlign w:val="bottom"/>
          </w:tcPr>
          <w:p>
            <w:pPr>
              <w:jc w:val="right"/>
              <w:ind w:right="474"/>
              <w:spacing w:after="0"/>
              <w:rPr>
                <w:sz w:val="20"/>
                <w:szCs w:val="20"/>
                <w:color w:val="auto"/>
              </w:rPr>
            </w:pPr>
            <w:r>
              <w:rPr>
                <w:rFonts w:ascii="Arial" w:cs="Arial" w:eastAsia="Arial" w:hAnsi="Arial"/>
                <w:sz w:val="13"/>
                <w:szCs w:val="13"/>
                <w:color w:val="auto"/>
              </w:rPr>
              <w:t>5.07</w:t>
            </w:r>
          </w:p>
        </w:tc>
        <w:tc>
          <w:tcPr>
            <w:tcW w:w="3840" w:type="dxa"/>
            <w:vAlign w:val="bottom"/>
          </w:tcPr>
          <w:p>
            <w:pPr>
              <w:ind w:left="240"/>
              <w:spacing w:after="0"/>
              <w:rPr>
                <w:sz w:val="20"/>
                <w:szCs w:val="20"/>
                <w:color w:val="auto"/>
              </w:rPr>
            </w:pPr>
            <w:r>
              <w:rPr>
                <w:rFonts w:ascii="Arial" w:cs="Arial" w:eastAsia="Arial" w:hAnsi="Arial"/>
                <w:sz w:val="13"/>
                <w:szCs w:val="13"/>
                <w:color w:val="auto"/>
              </w:rPr>
              <w:t>No Default</w:t>
            </w:r>
          </w:p>
        </w:tc>
        <w:tc>
          <w:tcPr>
            <w:tcW w:w="6760" w:type="dxa"/>
            <w:vAlign w:val="bottom"/>
          </w:tcPr>
          <w:p>
            <w:pPr>
              <w:jc w:val="right"/>
              <w:spacing w:after="0"/>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153"/>
        </w:trPr>
        <w:tc>
          <w:tcPr>
            <w:tcW w:w="900" w:type="dxa"/>
            <w:vAlign w:val="bottom"/>
          </w:tcPr>
          <w:p>
            <w:pPr>
              <w:jc w:val="right"/>
              <w:ind w:right="474"/>
              <w:spacing w:after="0"/>
              <w:rPr>
                <w:sz w:val="20"/>
                <w:szCs w:val="20"/>
                <w:color w:val="auto"/>
              </w:rPr>
            </w:pPr>
            <w:r>
              <w:rPr>
                <w:rFonts w:ascii="Arial" w:cs="Arial" w:eastAsia="Arial" w:hAnsi="Arial"/>
                <w:sz w:val="13"/>
                <w:szCs w:val="13"/>
                <w:color w:val="auto"/>
              </w:rPr>
              <w:t>5.08</w:t>
            </w:r>
          </w:p>
        </w:tc>
        <w:tc>
          <w:tcPr>
            <w:tcW w:w="3840" w:type="dxa"/>
            <w:vAlign w:val="bottom"/>
          </w:tcPr>
          <w:p>
            <w:pPr>
              <w:ind w:left="240"/>
              <w:spacing w:after="0"/>
              <w:rPr>
                <w:sz w:val="20"/>
                <w:szCs w:val="20"/>
                <w:color w:val="auto"/>
              </w:rPr>
            </w:pPr>
            <w:r>
              <w:rPr>
                <w:rFonts w:ascii="Arial" w:cs="Arial" w:eastAsia="Arial" w:hAnsi="Arial"/>
                <w:sz w:val="13"/>
                <w:szCs w:val="13"/>
                <w:color w:val="auto"/>
              </w:rPr>
              <w:t>Ownership of Property; Liens</w:t>
            </w:r>
          </w:p>
        </w:tc>
        <w:tc>
          <w:tcPr>
            <w:tcW w:w="6760" w:type="dxa"/>
            <w:vAlign w:val="bottom"/>
          </w:tcPr>
          <w:p>
            <w:pPr>
              <w:jc w:val="right"/>
              <w:spacing w:after="0"/>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153"/>
        </w:trPr>
        <w:tc>
          <w:tcPr>
            <w:tcW w:w="900" w:type="dxa"/>
            <w:vAlign w:val="bottom"/>
          </w:tcPr>
          <w:p>
            <w:pPr>
              <w:jc w:val="right"/>
              <w:ind w:right="474"/>
              <w:spacing w:after="0"/>
              <w:rPr>
                <w:sz w:val="20"/>
                <w:szCs w:val="20"/>
                <w:color w:val="auto"/>
              </w:rPr>
            </w:pPr>
            <w:r>
              <w:rPr>
                <w:rFonts w:ascii="Arial" w:cs="Arial" w:eastAsia="Arial" w:hAnsi="Arial"/>
                <w:sz w:val="13"/>
                <w:szCs w:val="13"/>
                <w:color w:val="auto"/>
              </w:rPr>
              <w:t>5.09</w:t>
            </w:r>
          </w:p>
        </w:tc>
        <w:tc>
          <w:tcPr>
            <w:tcW w:w="3840" w:type="dxa"/>
            <w:vAlign w:val="bottom"/>
          </w:tcPr>
          <w:p>
            <w:pPr>
              <w:ind w:left="240"/>
              <w:spacing w:after="0"/>
              <w:rPr>
                <w:sz w:val="20"/>
                <w:szCs w:val="20"/>
                <w:color w:val="auto"/>
              </w:rPr>
            </w:pPr>
            <w:r>
              <w:rPr>
                <w:rFonts w:ascii="Arial" w:cs="Arial" w:eastAsia="Arial" w:hAnsi="Arial"/>
                <w:sz w:val="13"/>
                <w:szCs w:val="13"/>
                <w:color w:val="auto"/>
              </w:rPr>
              <w:t>Environmental Compliance.</w:t>
            </w:r>
          </w:p>
        </w:tc>
        <w:tc>
          <w:tcPr>
            <w:tcW w:w="6760" w:type="dxa"/>
            <w:vAlign w:val="bottom"/>
          </w:tcPr>
          <w:p>
            <w:pPr>
              <w:jc w:val="right"/>
              <w:spacing w:after="0"/>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153"/>
        </w:trPr>
        <w:tc>
          <w:tcPr>
            <w:tcW w:w="900" w:type="dxa"/>
            <w:vAlign w:val="bottom"/>
          </w:tcPr>
          <w:p>
            <w:pPr>
              <w:jc w:val="right"/>
              <w:ind w:right="474"/>
              <w:spacing w:after="0"/>
              <w:rPr>
                <w:sz w:val="20"/>
                <w:szCs w:val="20"/>
                <w:color w:val="auto"/>
              </w:rPr>
            </w:pPr>
            <w:r>
              <w:rPr>
                <w:rFonts w:ascii="Arial" w:cs="Arial" w:eastAsia="Arial" w:hAnsi="Arial"/>
                <w:sz w:val="13"/>
                <w:szCs w:val="13"/>
                <w:color w:val="auto"/>
              </w:rPr>
              <w:t>5.10</w:t>
            </w:r>
          </w:p>
        </w:tc>
        <w:tc>
          <w:tcPr>
            <w:tcW w:w="3840" w:type="dxa"/>
            <w:vAlign w:val="bottom"/>
          </w:tcPr>
          <w:p>
            <w:pPr>
              <w:ind w:left="240"/>
              <w:spacing w:after="0"/>
              <w:rPr>
                <w:sz w:val="20"/>
                <w:szCs w:val="20"/>
                <w:color w:val="auto"/>
              </w:rPr>
            </w:pPr>
            <w:r>
              <w:rPr>
                <w:rFonts w:ascii="Arial" w:cs="Arial" w:eastAsia="Arial" w:hAnsi="Arial"/>
                <w:sz w:val="13"/>
                <w:szCs w:val="13"/>
                <w:color w:val="auto"/>
              </w:rPr>
              <w:t>Insurance</w:t>
            </w:r>
          </w:p>
        </w:tc>
        <w:tc>
          <w:tcPr>
            <w:tcW w:w="6760" w:type="dxa"/>
            <w:vAlign w:val="bottom"/>
          </w:tcPr>
          <w:p>
            <w:pPr>
              <w:jc w:val="right"/>
              <w:spacing w:after="0"/>
              <w:rPr>
                <w:sz w:val="20"/>
                <w:szCs w:val="20"/>
                <w:color w:val="auto"/>
              </w:rPr>
            </w:pPr>
            <w:r>
              <w:rPr>
                <w:rFonts w:ascii="Arial" w:cs="Arial" w:eastAsia="Arial" w:hAnsi="Arial"/>
                <w:sz w:val="13"/>
                <w:szCs w:val="13"/>
                <w:color w:val="auto"/>
              </w:rPr>
              <w:t>87</w:t>
            </w:r>
          </w:p>
        </w:tc>
        <w:tc>
          <w:tcPr>
            <w:tcW w:w="0" w:type="dxa"/>
            <w:vAlign w:val="bottom"/>
          </w:tcPr>
          <w:p>
            <w:pPr>
              <w:spacing w:after="0"/>
              <w:rPr>
                <w:sz w:val="1"/>
                <w:szCs w:val="1"/>
                <w:color w:val="auto"/>
              </w:rPr>
            </w:pPr>
          </w:p>
        </w:tc>
      </w:tr>
      <w:tr>
        <w:trPr>
          <w:trHeight w:val="153"/>
        </w:trPr>
        <w:tc>
          <w:tcPr>
            <w:tcW w:w="900" w:type="dxa"/>
            <w:vAlign w:val="bottom"/>
          </w:tcPr>
          <w:p>
            <w:pPr>
              <w:jc w:val="right"/>
              <w:ind w:right="494"/>
              <w:spacing w:after="0"/>
              <w:rPr>
                <w:sz w:val="20"/>
                <w:szCs w:val="20"/>
                <w:color w:val="auto"/>
              </w:rPr>
            </w:pPr>
            <w:r>
              <w:rPr>
                <w:rFonts w:ascii="Arial" w:cs="Arial" w:eastAsia="Arial" w:hAnsi="Arial"/>
                <w:sz w:val="13"/>
                <w:szCs w:val="13"/>
                <w:color w:val="auto"/>
              </w:rPr>
              <w:t>5.11</w:t>
            </w:r>
          </w:p>
        </w:tc>
        <w:tc>
          <w:tcPr>
            <w:tcW w:w="3840" w:type="dxa"/>
            <w:vAlign w:val="bottom"/>
          </w:tcPr>
          <w:p>
            <w:pPr>
              <w:ind w:left="240"/>
              <w:spacing w:after="0"/>
              <w:rPr>
                <w:sz w:val="20"/>
                <w:szCs w:val="20"/>
                <w:color w:val="auto"/>
              </w:rPr>
            </w:pPr>
            <w:r>
              <w:rPr>
                <w:rFonts w:ascii="Arial" w:cs="Arial" w:eastAsia="Arial" w:hAnsi="Arial"/>
                <w:sz w:val="13"/>
                <w:szCs w:val="13"/>
                <w:color w:val="auto"/>
              </w:rPr>
              <w:t>Taxes</w:t>
            </w:r>
          </w:p>
        </w:tc>
        <w:tc>
          <w:tcPr>
            <w:tcW w:w="6760" w:type="dxa"/>
            <w:vAlign w:val="bottom"/>
          </w:tcPr>
          <w:p>
            <w:pPr>
              <w:jc w:val="right"/>
              <w:spacing w:after="0"/>
              <w:rPr>
                <w:sz w:val="20"/>
                <w:szCs w:val="20"/>
                <w:color w:val="auto"/>
              </w:rPr>
            </w:pPr>
            <w:r>
              <w:rPr>
                <w:rFonts w:ascii="Arial" w:cs="Arial" w:eastAsia="Arial" w:hAnsi="Arial"/>
                <w:sz w:val="13"/>
                <w:szCs w:val="13"/>
                <w:color w:val="auto"/>
              </w:rPr>
              <w:t>87</w:t>
            </w:r>
          </w:p>
        </w:tc>
        <w:tc>
          <w:tcPr>
            <w:tcW w:w="0" w:type="dxa"/>
            <w:vAlign w:val="bottom"/>
          </w:tcPr>
          <w:p>
            <w:pPr>
              <w:spacing w:after="0"/>
              <w:rPr>
                <w:sz w:val="1"/>
                <w:szCs w:val="1"/>
                <w:color w:val="auto"/>
              </w:rPr>
            </w:pPr>
          </w:p>
        </w:tc>
      </w:tr>
      <w:tr>
        <w:trPr>
          <w:trHeight w:val="153"/>
        </w:trPr>
        <w:tc>
          <w:tcPr>
            <w:tcW w:w="900" w:type="dxa"/>
            <w:vAlign w:val="bottom"/>
          </w:tcPr>
          <w:p>
            <w:pPr>
              <w:jc w:val="right"/>
              <w:ind w:right="474"/>
              <w:spacing w:after="0"/>
              <w:rPr>
                <w:sz w:val="20"/>
                <w:szCs w:val="20"/>
                <w:color w:val="auto"/>
              </w:rPr>
            </w:pPr>
            <w:r>
              <w:rPr>
                <w:rFonts w:ascii="Arial" w:cs="Arial" w:eastAsia="Arial" w:hAnsi="Arial"/>
                <w:sz w:val="13"/>
                <w:szCs w:val="13"/>
                <w:color w:val="auto"/>
              </w:rPr>
              <w:t>5.12</w:t>
            </w:r>
          </w:p>
        </w:tc>
        <w:tc>
          <w:tcPr>
            <w:tcW w:w="3840" w:type="dxa"/>
            <w:vAlign w:val="bottom"/>
          </w:tcPr>
          <w:p>
            <w:pPr>
              <w:ind w:left="240"/>
              <w:spacing w:after="0"/>
              <w:rPr>
                <w:sz w:val="20"/>
                <w:szCs w:val="20"/>
                <w:color w:val="auto"/>
              </w:rPr>
            </w:pPr>
            <w:r>
              <w:rPr>
                <w:rFonts w:ascii="Arial" w:cs="Arial" w:eastAsia="Arial" w:hAnsi="Arial"/>
                <w:sz w:val="13"/>
                <w:szCs w:val="13"/>
                <w:color w:val="auto"/>
              </w:rPr>
              <w:t>ERISA Compliance.</w:t>
            </w:r>
          </w:p>
        </w:tc>
        <w:tc>
          <w:tcPr>
            <w:tcW w:w="6760" w:type="dxa"/>
            <w:vAlign w:val="bottom"/>
          </w:tcPr>
          <w:p>
            <w:pPr>
              <w:jc w:val="right"/>
              <w:spacing w:after="0"/>
              <w:rPr>
                <w:sz w:val="20"/>
                <w:szCs w:val="20"/>
                <w:color w:val="auto"/>
              </w:rPr>
            </w:pPr>
            <w:r>
              <w:rPr>
                <w:rFonts w:ascii="Arial" w:cs="Arial" w:eastAsia="Arial" w:hAnsi="Arial"/>
                <w:sz w:val="13"/>
                <w:szCs w:val="13"/>
                <w:color w:val="auto"/>
              </w:rPr>
              <w:t>87</w:t>
            </w:r>
          </w:p>
        </w:tc>
        <w:tc>
          <w:tcPr>
            <w:tcW w:w="0" w:type="dxa"/>
            <w:vAlign w:val="bottom"/>
          </w:tcPr>
          <w:p>
            <w:pPr>
              <w:spacing w:after="0"/>
              <w:rPr>
                <w:sz w:val="1"/>
                <w:szCs w:val="1"/>
                <w:color w:val="auto"/>
              </w:rPr>
            </w:pPr>
          </w:p>
        </w:tc>
      </w:tr>
      <w:tr>
        <w:trPr>
          <w:trHeight w:val="153"/>
        </w:trPr>
        <w:tc>
          <w:tcPr>
            <w:tcW w:w="900" w:type="dxa"/>
            <w:vAlign w:val="bottom"/>
          </w:tcPr>
          <w:p>
            <w:pPr>
              <w:jc w:val="right"/>
              <w:ind w:right="474"/>
              <w:spacing w:after="0"/>
              <w:rPr>
                <w:sz w:val="20"/>
                <w:szCs w:val="20"/>
                <w:color w:val="auto"/>
              </w:rPr>
            </w:pPr>
            <w:r>
              <w:rPr>
                <w:rFonts w:ascii="Arial" w:cs="Arial" w:eastAsia="Arial" w:hAnsi="Arial"/>
                <w:sz w:val="13"/>
                <w:szCs w:val="13"/>
                <w:color w:val="auto"/>
              </w:rPr>
              <w:t>5.13</w:t>
            </w:r>
          </w:p>
        </w:tc>
        <w:tc>
          <w:tcPr>
            <w:tcW w:w="3840" w:type="dxa"/>
            <w:vAlign w:val="bottom"/>
          </w:tcPr>
          <w:p>
            <w:pPr>
              <w:ind w:left="240"/>
              <w:spacing w:after="0"/>
              <w:rPr>
                <w:sz w:val="20"/>
                <w:szCs w:val="20"/>
                <w:color w:val="auto"/>
              </w:rPr>
            </w:pPr>
            <w:r>
              <w:rPr>
                <w:rFonts w:ascii="Arial" w:cs="Arial" w:eastAsia="Arial" w:hAnsi="Arial"/>
                <w:sz w:val="13"/>
                <w:szCs w:val="13"/>
                <w:color w:val="auto"/>
              </w:rPr>
              <w:t>Subsidiaries; Equity Interests</w:t>
            </w:r>
          </w:p>
        </w:tc>
        <w:tc>
          <w:tcPr>
            <w:tcW w:w="6760" w:type="dxa"/>
            <w:vAlign w:val="bottom"/>
          </w:tcPr>
          <w:p>
            <w:pPr>
              <w:jc w:val="right"/>
              <w:spacing w:after="0"/>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153"/>
        </w:trPr>
        <w:tc>
          <w:tcPr>
            <w:tcW w:w="900" w:type="dxa"/>
            <w:vAlign w:val="bottom"/>
          </w:tcPr>
          <w:p>
            <w:pPr>
              <w:jc w:val="right"/>
              <w:ind w:right="474"/>
              <w:spacing w:after="0"/>
              <w:rPr>
                <w:sz w:val="20"/>
                <w:szCs w:val="20"/>
                <w:color w:val="auto"/>
              </w:rPr>
            </w:pPr>
            <w:r>
              <w:rPr>
                <w:rFonts w:ascii="Arial" w:cs="Arial" w:eastAsia="Arial" w:hAnsi="Arial"/>
                <w:sz w:val="13"/>
                <w:szCs w:val="13"/>
                <w:color w:val="auto"/>
              </w:rPr>
              <w:t>5.14</w:t>
            </w:r>
          </w:p>
        </w:tc>
        <w:tc>
          <w:tcPr>
            <w:tcW w:w="3840" w:type="dxa"/>
            <w:vAlign w:val="bottom"/>
          </w:tcPr>
          <w:p>
            <w:pPr>
              <w:ind w:left="240"/>
              <w:spacing w:after="0"/>
              <w:rPr>
                <w:sz w:val="20"/>
                <w:szCs w:val="20"/>
                <w:color w:val="auto"/>
              </w:rPr>
            </w:pPr>
            <w:r>
              <w:rPr>
                <w:rFonts w:ascii="Arial" w:cs="Arial" w:eastAsia="Arial" w:hAnsi="Arial"/>
                <w:sz w:val="13"/>
                <w:szCs w:val="13"/>
                <w:color w:val="auto"/>
              </w:rPr>
              <w:t>Margin Regulations; Investment Company Act.</w:t>
            </w:r>
          </w:p>
        </w:tc>
        <w:tc>
          <w:tcPr>
            <w:tcW w:w="6760" w:type="dxa"/>
            <w:vAlign w:val="bottom"/>
          </w:tcPr>
          <w:p>
            <w:pPr>
              <w:jc w:val="right"/>
              <w:spacing w:after="0"/>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153"/>
        </w:trPr>
        <w:tc>
          <w:tcPr>
            <w:tcW w:w="900" w:type="dxa"/>
            <w:vAlign w:val="bottom"/>
          </w:tcPr>
          <w:p>
            <w:pPr>
              <w:jc w:val="right"/>
              <w:ind w:right="474"/>
              <w:spacing w:after="0"/>
              <w:rPr>
                <w:sz w:val="20"/>
                <w:szCs w:val="20"/>
                <w:color w:val="auto"/>
              </w:rPr>
            </w:pPr>
            <w:r>
              <w:rPr>
                <w:rFonts w:ascii="Arial" w:cs="Arial" w:eastAsia="Arial" w:hAnsi="Arial"/>
                <w:sz w:val="13"/>
                <w:szCs w:val="13"/>
                <w:color w:val="auto"/>
              </w:rPr>
              <w:t>5.15</w:t>
            </w:r>
          </w:p>
        </w:tc>
        <w:tc>
          <w:tcPr>
            <w:tcW w:w="3840" w:type="dxa"/>
            <w:vAlign w:val="bottom"/>
          </w:tcPr>
          <w:p>
            <w:pPr>
              <w:ind w:left="240"/>
              <w:spacing w:after="0"/>
              <w:rPr>
                <w:sz w:val="20"/>
                <w:szCs w:val="20"/>
                <w:color w:val="auto"/>
              </w:rPr>
            </w:pPr>
            <w:r>
              <w:rPr>
                <w:rFonts w:ascii="Arial" w:cs="Arial" w:eastAsia="Arial" w:hAnsi="Arial"/>
                <w:sz w:val="13"/>
                <w:szCs w:val="13"/>
                <w:color w:val="auto"/>
              </w:rPr>
              <w:t>Disclosure</w:t>
            </w:r>
          </w:p>
        </w:tc>
        <w:tc>
          <w:tcPr>
            <w:tcW w:w="6760" w:type="dxa"/>
            <w:vAlign w:val="bottom"/>
          </w:tcPr>
          <w:p>
            <w:pPr>
              <w:jc w:val="right"/>
              <w:spacing w:after="0"/>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153"/>
        </w:trPr>
        <w:tc>
          <w:tcPr>
            <w:tcW w:w="900" w:type="dxa"/>
            <w:vAlign w:val="bottom"/>
          </w:tcPr>
          <w:p>
            <w:pPr>
              <w:jc w:val="right"/>
              <w:ind w:right="474"/>
              <w:spacing w:after="0"/>
              <w:rPr>
                <w:sz w:val="20"/>
                <w:szCs w:val="20"/>
                <w:color w:val="auto"/>
              </w:rPr>
            </w:pPr>
            <w:r>
              <w:rPr>
                <w:rFonts w:ascii="Arial" w:cs="Arial" w:eastAsia="Arial" w:hAnsi="Arial"/>
                <w:sz w:val="13"/>
                <w:szCs w:val="13"/>
                <w:color w:val="auto"/>
              </w:rPr>
              <w:t>5.16</w:t>
            </w:r>
          </w:p>
        </w:tc>
        <w:tc>
          <w:tcPr>
            <w:tcW w:w="3840" w:type="dxa"/>
            <w:vAlign w:val="bottom"/>
          </w:tcPr>
          <w:p>
            <w:pPr>
              <w:ind w:left="240"/>
              <w:spacing w:after="0"/>
              <w:rPr>
                <w:sz w:val="20"/>
                <w:szCs w:val="20"/>
                <w:color w:val="auto"/>
              </w:rPr>
            </w:pPr>
            <w:r>
              <w:rPr>
                <w:rFonts w:ascii="Arial" w:cs="Arial" w:eastAsia="Arial" w:hAnsi="Arial"/>
                <w:sz w:val="13"/>
                <w:szCs w:val="13"/>
                <w:color w:val="auto"/>
              </w:rPr>
              <w:t>Compliance with Laws</w:t>
            </w:r>
          </w:p>
        </w:tc>
        <w:tc>
          <w:tcPr>
            <w:tcW w:w="6760" w:type="dxa"/>
            <w:vAlign w:val="bottom"/>
          </w:tcPr>
          <w:p>
            <w:pPr>
              <w:jc w:val="right"/>
              <w:spacing w:after="0"/>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153"/>
        </w:trPr>
        <w:tc>
          <w:tcPr>
            <w:tcW w:w="900" w:type="dxa"/>
            <w:vAlign w:val="bottom"/>
          </w:tcPr>
          <w:p>
            <w:pPr>
              <w:jc w:val="right"/>
              <w:ind w:right="474"/>
              <w:spacing w:after="0"/>
              <w:rPr>
                <w:sz w:val="20"/>
                <w:szCs w:val="20"/>
                <w:color w:val="auto"/>
              </w:rPr>
            </w:pPr>
            <w:r>
              <w:rPr>
                <w:rFonts w:ascii="Arial" w:cs="Arial" w:eastAsia="Arial" w:hAnsi="Arial"/>
                <w:sz w:val="13"/>
                <w:szCs w:val="13"/>
                <w:color w:val="auto"/>
              </w:rPr>
              <w:t>5.17</w:t>
            </w:r>
          </w:p>
        </w:tc>
        <w:tc>
          <w:tcPr>
            <w:tcW w:w="3840" w:type="dxa"/>
            <w:vAlign w:val="bottom"/>
          </w:tcPr>
          <w:p>
            <w:pPr>
              <w:ind w:left="240"/>
              <w:spacing w:after="0"/>
              <w:rPr>
                <w:sz w:val="20"/>
                <w:szCs w:val="20"/>
                <w:color w:val="auto"/>
              </w:rPr>
            </w:pPr>
            <w:r>
              <w:rPr>
                <w:rFonts w:ascii="Arial" w:cs="Arial" w:eastAsia="Arial" w:hAnsi="Arial"/>
                <w:sz w:val="13"/>
                <w:szCs w:val="13"/>
                <w:color w:val="auto"/>
              </w:rPr>
              <w:t>Intellectual Property; Licenses, Etc.</w:t>
            </w:r>
          </w:p>
        </w:tc>
        <w:tc>
          <w:tcPr>
            <w:tcW w:w="6760" w:type="dxa"/>
            <w:vAlign w:val="bottom"/>
          </w:tcPr>
          <w:p>
            <w:pPr>
              <w:jc w:val="right"/>
              <w:spacing w:after="0"/>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153"/>
        </w:trPr>
        <w:tc>
          <w:tcPr>
            <w:tcW w:w="900" w:type="dxa"/>
            <w:vAlign w:val="bottom"/>
          </w:tcPr>
          <w:p>
            <w:pPr>
              <w:jc w:val="right"/>
              <w:ind w:right="474"/>
              <w:spacing w:after="0"/>
              <w:rPr>
                <w:sz w:val="20"/>
                <w:szCs w:val="20"/>
                <w:color w:val="auto"/>
              </w:rPr>
            </w:pPr>
            <w:r>
              <w:rPr>
                <w:rFonts w:ascii="Arial" w:cs="Arial" w:eastAsia="Arial" w:hAnsi="Arial"/>
                <w:sz w:val="13"/>
                <w:szCs w:val="13"/>
                <w:color w:val="auto"/>
              </w:rPr>
              <w:t>5.18</w:t>
            </w:r>
          </w:p>
        </w:tc>
        <w:tc>
          <w:tcPr>
            <w:tcW w:w="3840" w:type="dxa"/>
            <w:vAlign w:val="bottom"/>
          </w:tcPr>
          <w:p>
            <w:pPr>
              <w:ind w:left="240"/>
              <w:spacing w:after="0"/>
              <w:rPr>
                <w:sz w:val="20"/>
                <w:szCs w:val="20"/>
                <w:color w:val="auto"/>
              </w:rPr>
            </w:pPr>
            <w:r>
              <w:rPr>
                <w:rFonts w:ascii="Arial" w:cs="Arial" w:eastAsia="Arial" w:hAnsi="Arial"/>
                <w:sz w:val="13"/>
                <w:szCs w:val="13"/>
                <w:color w:val="auto"/>
              </w:rPr>
              <w:t>Labor Matters.</w:t>
            </w:r>
          </w:p>
        </w:tc>
        <w:tc>
          <w:tcPr>
            <w:tcW w:w="6760" w:type="dxa"/>
            <w:vAlign w:val="bottom"/>
          </w:tcPr>
          <w:p>
            <w:pPr>
              <w:jc w:val="right"/>
              <w:spacing w:after="0"/>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153"/>
        </w:trPr>
        <w:tc>
          <w:tcPr>
            <w:tcW w:w="900" w:type="dxa"/>
            <w:vAlign w:val="bottom"/>
          </w:tcPr>
          <w:p>
            <w:pPr>
              <w:jc w:val="right"/>
              <w:ind w:right="474"/>
              <w:spacing w:after="0"/>
              <w:rPr>
                <w:sz w:val="20"/>
                <w:szCs w:val="20"/>
                <w:color w:val="auto"/>
              </w:rPr>
            </w:pPr>
            <w:r>
              <w:rPr>
                <w:rFonts w:ascii="Arial" w:cs="Arial" w:eastAsia="Arial" w:hAnsi="Arial"/>
                <w:sz w:val="13"/>
                <w:szCs w:val="13"/>
                <w:color w:val="auto"/>
              </w:rPr>
              <w:t>5.19</w:t>
            </w:r>
          </w:p>
        </w:tc>
        <w:tc>
          <w:tcPr>
            <w:tcW w:w="3840" w:type="dxa"/>
            <w:vAlign w:val="bottom"/>
          </w:tcPr>
          <w:p>
            <w:pPr>
              <w:ind w:left="240"/>
              <w:spacing w:after="0"/>
              <w:rPr>
                <w:sz w:val="20"/>
                <w:szCs w:val="20"/>
                <w:color w:val="auto"/>
              </w:rPr>
            </w:pPr>
            <w:r>
              <w:rPr>
                <w:rFonts w:ascii="Arial" w:cs="Arial" w:eastAsia="Arial" w:hAnsi="Arial"/>
                <w:sz w:val="13"/>
                <w:szCs w:val="13"/>
                <w:color w:val="auto"/>
              </w:rPr>
              <w:t>Security Documents.</w:t>
            </w:r>
          </w:p>
        </w:tc>
        <w:tc>
          <w:tcPr>
            <w:tcW w:w="6760" w:type="dxa"/>
            <w:vAlign w:val="bottom"/>
          </w:tcPr>
          <w:p>
            <w:pPr>
              <w:jc w:val="right"/>
              <w:spacing w:after="0"/>
              <w:rPr>
                <w:sz w:val="20"/>
                <w:szCs w:val="20"/>
                <w:color w:val="auto"/>
              </w:rPr>
            </w:pPr>
            <w:r>
              <w:rPr>
                <w:rFonts w:ascii="Arial" w:cs="Arial" w:eastAsia="Arial" w:hAnsi="Arial"/>
                <w:sz w:val="13"/>
                <w:szCs w:val="13"/>
                <w:color w:val="auto"/>
              </w:rPr>
              <w:t>90</w:t>
            </w:r>
          </w:p>
        </w:tc>
        <w:tc>
          <w:tcPr>
            <w:tcW w:w="0" w:type="dxa"/>
            <w:vAlign w:val="bottom"/>
          </w:tcPr>
          <w:p>
            <w:pPr>
              <w:spacing w:after="0"/>
              <w:rPr>
                <w:sz w:val="1"/>
                <w:szCs w:val="1"/>
                <w:color w:val="auto"/>
              </w:rPr>
            </w:pPr>
          </w:p>
        </w:tc>
      </w:tr>
      <w:tr>
        <w:trPr>
          <w:trHeight w:val="153"/>
        </w:trPr>
        <w:tc>
          <w:tcPr>
            <w:tcW w:w="900" w:type="dxa"/>
            <w:vAlign w:val="bottom"/>
          </w:tcPr>
          <w:p>
            <w:pPr>
              <w:jc w:val="right"/>
              <w:ind w:right="474"/>
              <w:spacing w:after="0"/>
              <w:rPr>
                <w:sz w:val="20"/>
                <w:szCs w:val="20"/>
                <w:color w:val="auto"/>
              </w:rPr>
            </w:pPr>
            <w:r>
              <w:rPr>
                <w:rFonts w:ascii="Arial" w:cs="Arial" w:eastAsia="Arial" w:hAnsi="Arial"/>
                <w:sz w:val="13"/>
                <w:szCs w:val="13"/>
                <w:color w:val="auto"/>
              </w:rPr>
              <w:t>5.20</w:t>
            </w:r>
          </w:p>
        </w:tc>
        <w:tc>
          <w:tcPr>
            <w:tcW w:w="3840" w:type="dxa"/>
            <w:vAlign w:val="bottom"/>
          </w:tcPr>
          <w:p>
            <w:pPr>
              <w:ind w:left="240"/>
              <w:spacing w:after="0"/>
              <w:rPr>
                <w:sz w:val="20"/>
                <w:szCs w:val="20"/>
                <w:color w:val="auto"/>
              </w:rPr>
            </w:pPr>
            <w:r>
              <w:rPr>
                <w:rFonts w:ascii="Arial" w:cs="Arial" w:eastAsia="Arial" w:hAnsi="Arial"/>
                <w:sz w:val="13"/>
                <w:szCs w:val="13"/>
                <w:color w:val="auto"/>
              </w:rPr>
              <w:t>Solvency</w:t>
            </w:r>
          </w:p>
        </w:tc>
        <w:tc>
          <w:tcPr>
            <w:tcW w:w="6760" w:type="dxa"/>
            <w:vAlign w:val="bottom"/>
          </w:tcPr>
          <w:p>
            <w:pPr>
              <w:jc w:val="right"/>
              <w:spacing w:after="0"/>
              <w:rPr>
                <w:sz w:val="20"/>
                <w:szCs w:val="20"/>
                <w:color w:val="auto"/>
              </w:rPr>
            </w:pPr>
            <w:r>
              <w:rPr>
                <w:rFonts w:ascii="Arial" w:cs="Arial" w:eastAsia="Arial" w:hAnsi="Arial"/>
                <w:sz w:val="13"/>
                <w:szCs w:val="13"/>
                <w:color w:val="auto"/>
              </w:rPr>
              <w:t>90</w:t>
            </w:r>
          </w:p>
        </w:tc>
        <w:tc>
          <w:tcPr>
            <w:tcW w:w="0" w:type="dxa"/>
            <w:vAlign w:val="bottom"/>
          </w:tcPr>
          <w:p>
            <w:pPr>
              <w:spacing w:after="0"/>
              <w:rPr>
                <w:sz w:val="1"/>
                <w:szCs w:val="1"/>
                <w:color w:val="auto"/>
              </w:rPr>
            </w:pPr>
          </w:p>
        </w:tc>
      </w:tr>
      <w:tr>
        <w:trPr>
          <w:trHeight w:val="153"/>
        </w:trPr>
        <w:tc>
          <w:tcPr>
            <w:tcW w:w="900" w:type="dxa"/>
            <w:vAlign w:val="bottom"/>
          </w:tcPr>
          <w:p>
            <w:pPr>
              <w:jc w:val="right"/>
              <w:ind w:right="474"/>
              <w:spacing w:after="0"/>
              <w:rPr>
                <w:sz w:val="20"/>
                <w:szCs w:val="20"/>
                <w:color w:val="auto"/>
              </w:rPr>
            </w:pPr>
            <w:r>
              <w:rPr>
                <w:rFonts w:ascii="Arial" w:cs="Arial" w:eastAsia="Arial" w:hAnsi="Arial"/>
                <w:sz w:val="13"/>
                <w:szCs w:val="13"/>
                <w:color w:val="auto"/>
              </w:rPr>
              <w:t>5.21</w:t>
            </w:r>
          </w:p>
        </w:tc>
        <w:tc>
          <w:tcPr>
            <w:tcW w:w="3840" w:type="dxa"/>
            <w:vAlign w:val="bottom"/>
          </w:tcPr>
          <w:p>
            <w:pPr>
              <w:ind w:left="240"/>
              <w:spacing w:after="0"/>
              <w:rPr>
                <w:sz w:val="20"/>
                <w:szCs w:val="20"/>
                <w:color w:val="auto"/>
              </w:rPr>
            </w:pPr>
            <w:r>
              <w:rPr>
                <w:rFonts w:ascii="Arial" w:cs="Arial" w:eastAsia="Arial" w:hAnsi="Arial"/>
                <w:sz w:val="13"/>
                <w:szCs w:val="13"/>
                <w:color w:val="auto"/>
              </w:rPr>
              <w:t>Deposit Accounts; Credit Card Arrangements.</w:t>
            </w:r>
          </w:p>
        </w:tc>
        <w:tc>
          <w:tcPr>
            <w:tcW w:w="6760" w:type="dxa"/>
            <w:vAlign w:val="bottom"/>
          </w:tcPr>
          <w:p>
            <w:pPr>
              <w:jc w:val="right"/>
              <w:spacing w:after="0"/>
              <w:rPr>
                <w:sz w:val="20"/>
                <w:szCs w:val="20"/>
                <w:color w:val="auto"/>
              </w:rPr>
            </w:pPr>
            <w:r>
              <w:rPr>
                <w:rFonts w:ascii="Arial" w:cs="Arial" w:eastAsia="Arial" w:hAnsi="Arial"/>
                <w:sz w:val="13"/>
                <w:szCs w:val="13"/>
                <w:color w:val="auto"/>
              </w:rPr>
              <w:t>90</w:t>
            </w:r>
          </w:p>
        </w:tc>
        <w:tc>
          <w:tcPr>
            <w:tcW w:w="0" w:type="dxa"/>
            <w:vAlign w:val="bottom"/>
          </w:tcPr>
          <w:p>
            <w:pPr>
              <w:spacing w:after="0"/>
              <w:rPr>
                <w:sz w:val="1"/>
                <w:szCs w:val="1"/>
                <w:color w:val="auto"/>
              </w:rPr>
            </w:pPr>
          </w:p>
        </w:tc>
      </w:tr>
      <w:tr>
        <w:trPr>
          <w:trHeight w:val="153"/>
        </w:trPr>
        <w:tc>
          <w:tcPr>
            <w:tcW w:w="900" w:type="dxa"/>
            <w:vAlign w:val="bottom"/>
          </w:tcPr>
          <w:p>
            <w:pPr>
              <w:jc w:val="right"/>
              <w:ind w:right="474"/>
              <w:spacing w:after="0"/>
              <w:rPr>
                <w:sz w:val="20"/>
                <w:szCs w:val="20"/>
                <w:color w:val="auto"/>
              </w:rPr>
            </w:pPr>
            <w:r>
              <w:rPr>
                <w:rFonts w:ascii="Arial" w:cs="Arial" w:eastAsia="Arial" w:hAnsi="Arial"/>
                <w:sz w:val="13"/>
                <w:szCs w:val="13"/>
                <w:color w:val="auto"/>
              </w:rPr>
              <w:t>5.22</w:t>
            </w:r>
          </w:p>
        </w:tc>
        <w:tc>
          <w:tcPr>
            <w:tcW w:w="3840" w:type="dxa"/>
            <w:vAlign w:val="bottom"/>
          </w:tcPr>
          <w:p>
            <w:pPr>
              <w:ind w:left="240"/>
              <w:spacing w:after="0"/>
              <w:rPr>
                <w:sz w:val="20"/>
                <w:szCs w:val="20"/>
                <w:color w:val="auto"/>
              </w:rPr>
            </w:pPr>
            <w:r>
              <w:rPr>
                <w:rFonts w:ascii="Arial" w:cs="Arial" w:eastAsia="Arial" w:hAnsi="Arial"/>
                <w:sz w:val="13"/>
                <w:szCs w:val="13"/>
                <w:color w:val="auto"/>
              </w:rPr>
              <w:t>Brokers</w:t>
            </w:r>
          </w:p>
        </w:tc>
        <w:tc>
          <w:tcPr>
            <w:tcW w:w="6760" w:type="dxa"/>
            <w:vAlign w:val="bottom"/>
          </w:tcPr>
          <w:p>
            <w:pPr>
              <w:jc w:val="right"/>
              <w:spacing w:after="0"/>
              <w:rPr>
                <w:sz w:val="20"/>
                <w:szCs w:val="20"/>
                <w:color w:val="auto"/>
              </w:rPr>
            </w:pPr>
            <w:r>
              <w:rPr>
                <w:rFonts w:ascii="Arial" w:cs="Arial" w:eastAsia="Arial" w:hAnsi="Arial"/>
                <w:sz w:val="13"/>
                <w:szCs w:val="13"/>
                <w:color w:val="auto"/>
              </w:rPr>
              <w:t>90</w:t>
            </w:r>
          </w:p>
        </w:tc>
        <w:tc>
          <w:tcPr>
            <w:tcW w:w="0" w:type="dxa"/>
            <w:vAlign w:val="bottom"/>
          </w:tcPr>
          <w:p>
            <w:pPr>
              <w:spacing w:after="0"/>
              <w:rPr>
                <w:sz w:val="1"/>
                <w:szCs w:val="1"/>
                <w:color w:val="auto"/>
              </w:rPr>
            </w:pPr>
          </w:p>
        </w:tc>
      </w:tr>
      <w:tr>
        <w:trPr>
          <w:trHeight w:val="153"/>
        </w:trPr>
        <w:tc>
          <w:tcPr>
            <w:tcW w:w="900" w:type="dxa"/>
            <w:vAlign w:val="bottom"/>
          </w:tcPr>
          <w:p>
            <w:pPr>
              <w:jc w:val="right"/>
              <w:ind w:right="474"/>
              <w:spacing w:after="0"/>
              <w:rPr>
                <w:sz w:val="20"/>
                <w:szCs w:val="20"/>
                <w:color w:val="auto"/>
              </w:rPr>
            </w:pPr>
            <w:r>
              <w:rPr>
                <w:rFonts w:ascii="Arial" w:cs="Arial" w:eastAsia="Arial" w:hAnsi="Arial"/>
                <w:sz w:val="13"/>
                <w:szCs w:val="13"/>
                <w:color w:val="auto"/>
              </w:rPr>
              <w:t>5.23</w:t>
            </w:r>
          </w:p>
        </w:tc>
        <w:tc>
          <w:tcPr>
            <w:tcW w:w="3840" w:type="dxa"/>
            <w:vAlign w:val="bottom"/>
          </w:tcPr>
          <w:p>
            <w:pPr>
              <w:ind w:left="240"/>
              <w:spacing w:after="0"/>
              <w:rPr>
                <w:sz w:val="20"/>
                <w:szCs w:val="20"/>
                <w:color w:val="auto"/>
              </w:rPr>
            </w:pPr>
            <w:r>
              <w:rPr>
                <w:rFonts w:ascii="Arial" w:cs="Arial" w:eastAsia="Arial" w:hAnsi="Arial"/>
                <w:sz w:val="13"/>
                <w:szCs w:val="13"/>
                <w:color w:val="auto"/>
              </w:rPr>
              <w:t>Customer and Trade Relations</w:t>
            </w:r>
          </w:p>
        </w:tc>
        <w:tc>
          <w:tcPr>
            <w:tcW w:w="6760" w:type="dxa"/>
            <w:vAlign w:val="bottom"/>
          </w:tcPr>
          <w:p>
            <w:pPr>
              <w:jc w:val="right"/>
              <w:spacing w:after="0"/>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153"/>
        </w:trPr>
        <w:tc>
          <w:tcPr>
            <w:tcW w:w="900" w:type="dxa"/>
            <w:vAlign w:val="bottom"/>
          </w:tcPr>
          <w:p>
            <w:pPr>
              <w:jc w:val="right"/>
              <w:ind w:right="474"/>
              <w:spacing w:after="0"/>
              <w:rPr>
                <w:sz w:val="20"/>
                <w:szCs w:val="20"/>
                <w:color w:val="auto"/>
              </w:rPr>
            </w:pPr>
            <w:r>
              <w:rPr>
                <w:rFonts w:ascii="Arial" w:cs="Arial" w:eastAsia="Arial" w:hAnsi="Arial"/>
                <w:sz w:val="13"/>
                <w:szCs w:val="13"/>
                <w:color w:val="auto"/>
              </w:rPr>
              <w:t>5.24</w:t>
            </w:r>
          </w:p>
        </w:tc>
        <w:tc>
          <w:tcPr>
            <w:tcW w:w="3840" w:type="dxa"/>
            <w:vAlign w:val="bottom"/>
          </w:tcPr>
          <w:p>
            <w:pPr>
              <w:ind w:left="240"/>
              <w:spacing w:after="0"/>
              <w:rPr>
                <w:sz w:val="20"/>
                <w:szCs w:val="20"/>
                <w:color w:val="auto"/>
              </w:rPr>
            </w:pPr>
            <w:r>
              <w:rPr>
                <w:rFonts w:ascii="Arial" w:cs="Arial" w:eastAsia="Arial" w:hAnsi="Arial"/>
                <w:sz w:val="13"/>
                <w:szCs w:val="13"/>
                <w:color w:val="auto"/>
              </w:rPr>
              <w:t>Material Contracts</w:t>
            </w:r>
          </w:p>
        </w:tc>
        <w:tc>
          <w:tcPr>
            <w:tcW w:w="6760" w:type="dxa"/>
            <w:vAlign w:val="bottom"/>
          </w:tcPr>
          <w:p>
            <w:pPr>
              <w:jc w:val="right"/>
              <w:spacing w:after="0"/>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153"/>
        </w:trPr>
        <w:tc>
          <w:tcPr>
            <w:tcW w:w="900" w:type="dxa"/>
            <w:vAlign w:val="bottom"/>
          </w:tcPr>
          <w:p>
            <w:pPr>
              <w:jc w:val="right"/>
              <w:ind w:right="474"/>
              <w:spacing w:after="0"/>
              <w:rPr>
                <w:sz w:val="20"/>
                <w:szCs w:val="20"/>
                <w:color w:val="auto"/>
              </w:rPr>
            </w:pPr>
            <w:r>
              <w:rPr>
                <w:rFonts w:ascii="Arial" w:cs="Arial" w:eastAsia="Arial" w:hAnsi="Arial"/>
                <w:sz w:val="13"/>
                <w:szCs w:val="13"/>
                <w:color w:val="auto"/>
              </w:rPr>
              <w:t>5.25</w:t>
            </w:r>
          </w:p>
        </w:tc>
        <w:tc>
          <w:tcPr>
            <w:tcW w:w="3840" w:type="dxa"/>
            <w:vAlign w:val="bottom"/>
          </w:tcPr>
          <w:p>
            <w:pPr>
              <w:ind w:left="240"/>
              <w:spacing w:after="0"/>
              <w:rPr>
                <w:sz w:val="20"/>
                <w:szCs w:val="20"/>
                <w:color w:val="auto"/>
              </w:rPr>
            </w:pPr>
            <w:r>
              <w:rPr>
                <w:rFonts w:ascii="Arial" w:cs="Arial" w:eastAsia="Arial" w:hAnsi="Arial"/>
                <w:sz w:val="13"/>
                <w:szCs w:val="13"/>
                <w:color w:val="auto"/>
              </w:rPr>
              <w:t>Casualty</w:t>
            </w:r>
          </w:p>
        </w:tc>
        <w:tc>
          <w:tcPr>
            <w:tcW w:w="6760" w:type="dxa"/>
            <w:vAlign w:val="bottom"/>
          </w:tcPr>
          <w:p>
            <w:pPr>
              <w:jc w:val="right"/>
              <w:spacing w:after="0"/>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153"/>
        </w:trPr>
        <w:tc>
          <w:tcPr>
            <w:tcW w:w="900" w:type="dxa"/>
            <w:vAlign w:val="bottom"/>
          </w:tcPr>
          <w:p>
            <w:pPr>
              <w:jc w:val="right"/>
              <w:ind w:right="474"/>
              <w:spacing w:after="0"/>
              <w:rPr>
                <w:sz w:val="20"/>
                <w:szCs w:val="20"/>
                <w:color w:val="auto"/>
              </w:rPr>
            </w:pPr>
            <w:r>
              <w:rPr>
                <w:rFonts w:ascii="Arial" w:cs="Arial" w:eastAsia="Arial" w:hAnsi="Arial"/>
                <w:sz w:val="13"/>
                <w:szCs w:val="13"/>
                <w:color w:val="auto"/>
              </w:rPr>
              <w:t>5.26</w:t>
            </w:r>
          </w:p>
        </w:tc>
        <w:tc>
          <w:tcPr>
            <w:tcW w:w="3840" w:type="dxa"/>
            <w:vAlign w:val="bottom"/>
          </w:tcPr>
          <w:p>
            <w:pPr>
              <w:ind w:left="240"/>
              <w:spacing w:after="0"/>
              <w:rPr>
                <w:sz w:val="20"/>
                <w:szCs w:val="20"/>
                <w:color w:val="auto"/>
              </w:rPr>
            </w:pPr>
            <w:r>
              <w:rPr>
                <w:rFonts w:ascii="Arial" w:cs="Arial" w:eastAsia="Arial" w:hAnsi="Arial"/>
                <w:sz w:val="13"/>
                <w:szCs w:val="13"/>
                <w:color w:val="auto"/>
              </w:rPr>
              <w:t>EEA Financial Institution.</w:t>
            </w:r>
          </w:p>
        </w:tc>
        <w:tc>
          <w:tcPr>
            <w:tcW w:w="6760" w:type="dxa"/>
            <w:vAlign w:val="bottom"/>
          </w:tcPr>
          <w:p>
            <w:pPr>
              <w:jc w:val="right"/>
              <w:spacing w:after="0"/>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153"/>
        </w:trPr>
        <w:tc>
          <w:tcPr>
            <w:tcW w:w="900" w:type="dxa"/>
            <w:vAlign w:val="bottom"/>
          </w:tcPr>
          <w:p>
            <w:pPr>
              <w:jc w:val="right"/>
              <w:ind w:right="474"/>
              <w:spacing w:after="0"/>
              <w:rPr>
                <w:sz w:val="20"/>
                <w:szCs w:val="20"/>
                <w:color w:val="auto"/>
              </w:rPr>
            </w:pPr>
            <w:r>
              <w:rPr>
                <w:rFonts w:ascii="Arial" w:cs="Arial" w:eastAsia="Arial" w:hAnsi="Arial"/>
                <w:sz w:val="13"/>
                <w:szCs w:val="13"/>
                <w:color w:val="auto"/>
              </w:rPr>
              <w:t>5.27</w:t>
            </w:r>
          </w:p>
        </w:tc>
        <w:tc>
          <w:tcPr>
            <w:tcW w:w="3840" w:type="dxa"/>
            <w:vAlign w:val="bottom"/>
          </w:tcPr>
          <w:p>
            <w:pPr>
              <w:ind w:left="240"/>
              <w:spacing w:after="0"/>
              <w:rPr>
                <w:sz w:val="20"/>
                <w:szCs w:val="20"/>
                <w:color w:val="auto"/>
              </w:rPr>
            </w:pPr>
            <w:r>
              <w:rPr>
                <w:rFonts w:ascii="Arial" w:cs="Arial" w:eastAsia="Arial" w:hAnsi="Arial"/>
                <w:sz w:val="13"/>
                <w:szCs w:val="13"/>
                <w:color w:val="auto"/>
              </w:rPr>
              <w:t>OFAC; Sanctions.</w:t>
            </w:r>
          </w:p>
        </w:tc>
        <w:tc>
          <w:tcPr>
            <w:tcW w:w="6760" w:type="dxa"/>
            <w:vAlign w:val="bottom"/>
          </w:tcPr>
          <w:p>
            <w:pPr>
              <w:jc w:val="right"/>
              <w:spacing w:after="0"/>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166"/>
        </w:trPr>
        <w:tc>
          <w:tcPr>
            <w:tcW w:w="900" w:type="dxa"/>
            <w:vAlign w:val="bottom"/>
          </w:tcPr>
          <w:p>
            <w:pPr>
              <w:jc w:val="right"/>
              <w:ind w:right="474"/>
              <w:spacing w:after="0"/>
              <w:rPr>
                <w:sz w:val="20"/>
                <w:szCs w:val="20"/>
                <w:color w:val="auto"/>
              </w:rPr>
            </w:pPr>
            <w:r>
              <w:rPr>
                <w:rFonts w:ascii="Arial" w:cs="Arial" w:eastAsia="Arial" w:hAnsi="Arial"/>
                <w:sz w:val="13"/>
                <w:szCs w:val="13"/>
                <w:color w:val="auto"/>
              </w:rPr>
              <w:t>5.28</w:t>
            </w:r>
          </w:p>
        </w:tc>
        <w:tc>
          <w:tcPr>
            <w:tcW w:w="3840" w:type="dxa"/>
            <w:vAlign w:val="bottom"/>
          </w:tcPr>
          <w:p>
            <w:pPr>
              <w:ind w:left="240"/>
              <w:spacing w:after="0"/>
              <w:rPr>
                <w:sz w:val="20"/>
                <w:szCs w:val="20"/>
                <w:color w:val="auto"/>
              </w:rPr>
            </w:pPr>
            <w:r>
              <w:rPr>
                <w:rFonts w:ascii="Arial" w:cs="Arial" w:eastAsia="Arial" w:hAnsi="Arial"/>
                <w:sz w:val="13"/>
                <w:szCs w:val="13"/>
                <w:color w:val="auto"/>
              </w:rPr>
              <w:t>Beneficial Ownership Certification.</w:t>
            </w:r>
          </w:p>
        </w:tc>
        <w:tc>
          <w:tcPr>
            <w:tcW w:w="6760" w:type="dxa"/>
            <w:vAlign w:val="bottom"/>
          </w:tcPr>
          <w:p>
            <w:pPr>
              <w:jc w:val="right"/>
              <w:spacing w:after="0"/>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234"/>
        </w:trPr>
        <w:tc>
          <w:tcPr>
            <w:tcW w:w="4740" w:type="dxa"/>
            <w:vAlign w:val="bottom"/>
            <w:gridSpan w:val="2"/>
          </w:tcPr>
          <w:p>
            <w:pPr>
              <w:spacing w:after="0"/>
              <w:rPr>
                <w:sz w:val="20"/>
                <w:szCs w:val="20"/>
                <w:color w:val="auto"/>
              </w:rPr>
            </w:pPr>
            <w:r>
              <w:rPr>
                <w:rFonts w:ascii="Arial" w:cs="Arial" w:eastAsia="Arial" w:hAnsi="Arial"/>
                <w:sz w:val="13"/>
                <w:szCs w:val="13"/>
                <w:color w:val="auto"/>
              </w:rPr>
              <w:t>ARTICLE VI AFFIRMATIVE COVENANTS</w:t>
            </w:r>
          </w:p>
        </w:tc>
        <w:tc>
          <w:tcPr>
            <w:tcW w:w="6760" w:type="dxa"/>
            <w:vAlign w:val="bottom"/>
          </w:tcPr>
          <w:p>
            <w:pPr>
              <w:jc w:val="right"/>
              <w:spacing w:after="0"/>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222"/>
        </w:trPr>
        <w:tc>
          <w:tcPr>
            <w:tcW w:w="900" w:type="dxa"/>
            <w:vAlign w:val="bottom"/>
          </w:tcPr>
          <w:p>
            <w:pPr>
              <w:jc w:val="right"/>
              <w:ind w:right="474"/>
              <w:spacing w:after="0"/>
              <w:rPr>
                <w:sz w:val="20"/>
                <w:szCs w:val="20"/>
                <w:color w:val="auto"/>
              </w:rPr>
            </w:pPr>
            <w:r>
              <w:rPr>
                <w:rFonts w:ascii="Arial" w:cs="Arial" w:eastAsia="Arial" w:hAnsi="Arial"/>
                <w:sz w:val="13"/>
                <w:szCs w:val="13"/>
                <w:color w:val="auto"/>
              </w:rPr>
              <w:t>6.01</w:t>
            </w:r>
          </w:p>
        </w:tc>
        <w:tc>
          <w:tcPr>
            <w:tcW w:w="3840" w:type="dxa"/>
            <w:vAlign w:val="bottom"/>
          </w:tcPr>
          <w:p>
            <w:pPr>
              <w:ind w:left="240"/>
              <w:spacing w:after="0"/>
              <w:rPr>
                <w:sz w:val="20"/>
                <w:szCs w:val="20"/>
                <w:color w:val="auto"/>
              </w:rPr>
            </w:pPr>
            <w:r>
              <w:rPr>
                <w:rFonts w:ascii="Arial" w:cs="Arial" w:eastAsia="Arial" w:hAnsi="Arial"/>
                <w:sz w:val="13"/>
                <w:szCs w:val="13"/>
                <w:color w:val="auto"/>
              </w:rPr>
              <w:t>Financial Statements</w:t>
            </w:r>
          </w:p>
        </w:tc>
        <w:tc>
          <w:tcPr>
            <w:tcW w:w="6760" w:type="dxa"/>
            <w:vAlign w:val="bottom"/>
          </w:tcPr>
          <w:p>
            <w:pPr>
              <w:jc w:val="right"/>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153"/>
        </w:trPr>
        <w:tc>
          <w:tcPr>
            <w:tcW w:w="900" w:type="dxa"/>
            <w:vAlign w:val="bottom"/>
          </w:tcPr>
          <w:p>
            <w:pPr>
              <w:jc w:val="right"/>
              <w:ind w:right="474"/>
              <w:spacing w:after="0"/>
              <w:rPr>
                <w:sz w:val="20"/>
                <w:szCs w:val="20"/>
                <w:color w:val="auto"/>
              </w:rPr>
            </w:pPr>
            <w:r>
              <w:rPr>
                <w:rFonts w:ascii="Arial" w:cs="Arial" w:eastAsia="Arial" w:hAnsi="Arial"/>
                <w:sz w:val="13"/>
                <w:szCs w:val="13"/>
                <w:color w:val="auto"/>
              </w:rPr>
              <w:t>6.02</w:t>
            </w:r>
          </w:p>
        </w:tc>
        <w:tc>
          <w:tcPr>
            <w:tcW w:w="3840" w:type="dxa"/>
            <w:vAlign w:val="bottom"/>
          </w:tcPr>
          <w:p>
            <w:pPr>
              <w:ind w:left="240"/>
              <w:spacing w:after="0"/>
              <w:rPr>
                <w:sz w:val="20"/>
                <w:szCs w:val="20"/>
                <w:color w:val="auto"/>
              </w:rPr>
            </w:pPr>
            <w:r>
              <w:rPr>
                <w:rFonts w:ascii="Arial" w:cs="Arial" w:eastAsia="Arial" w:hAnsi="Arial"/>
                <w:sz w:val="13"/>
                <w:szCs w:val="13"/>
                <w:color w:val="auto"/>
              </w:rPr>
              <w:t>Certificates; Other Information</w:t>
            </w:r>
          </w:p>
        </w:tc>
        <w:tc>
          <w:tcPr>
            <w:tcW w:w="6760" w:type="dxa"/>
            <w:vAlign w:val="bottom"/>
          </w:tcPr>
          <w:p>
            <w:pPr>
              <w:jc w:val="right"/>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153"/>
        </w:trPr>
        <w:tc>
          <w:tcPr>
            <w:tcW w:w="900" w:type="dxa"/>
            <w:vAlign w:val="bottom"/>
          </w:tcPr>
          <w:p>
            <w:pPr>
              <w:jc w:val="right"/>
              <w:ind w:right="474"/>
              <w:spacing w:after="0"/>
              <w:rPr>
                <w:sz w:val="20"/>
                <w:szCs w:val="20"/>
                <w:color w:val="auto"/>
              </w:rPr>
            </w:pPr>
            <w:r>
              <w:rPr>
                <w:rFonts w:ascii="Arial" w:cs="Arial" w:eastAsia="Arial" w:hAnsi="Arial"/>
                <w:sz w:val="13"/>
                <w:szCs w:val="13"/>
                <w:color w:val="auto"/>
              </w:rPr>
              <w:t>6.03</w:t>
            </w:r>
          </w:p>
        </w:tc>
        <w:tc>
          <w:tcPr>
            <w:tcW w:w="3840" w:type="dxa"/>
            <w:vAlign w:val="bottom"/>
          </w:tcPr>
          <w:p>
            <w:pPr>
              <w:ind w:left="240"/>
              <w:spacing w:after="0"/>
              <w:rPr>
                <w:sz w:val="20"/>
                <w:szCs w:val="20"/>
                <w:color w:val="auto"/>
              </w:rPr>
            </w:pPr>
            <w:r>
              <w:rPr>
                <w:rFonts w:ascii="Arial" w:cs="Arial" w:eastAsia="Arial" w:hAnsi="Arial"/>
                <w:sz w:val="13"/>
                <w:szCs w:val="13"/>
                <w:color w:val="auto"/>
              </w:rPr>
              <w:t>Notices</w:t>
            </w:r>
          </w:p>
        </w:tc>
        <w:tc>
          <w:tcPr>
            <w:tcW w:w="6760" w:type="dxa"/>
            <w:vAlign w:val="bottom"/>
          </w:tcPr>
          <w:p>
            <w:pPr>
              <w:jc w:val="right"/>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53"/>
        </w:trPr>
        <w:tc>
          <w:tcPr>
            <w:tcW w:w="900" w:type="dxa"/>
            <w:vAlign w:val="bottom"/>
          </w:tcPr>
          <w:p>
            <w:pPr>
              <w:jc w:val="right"/>
              <w:ind w:right="474"/>
              <w:spacing w:after="0"/>
              <w:rPr>
                <w:sz w:val="20"/>
                <w:szCs w:val="20"/>
                <w:color w:val="auto"/>
              </w:rPr>
            </w:pPr>
            <w:r>
              <w:rPr>
                <w:rFonts w:ascii="Arial" w:cs="Arial" w:eastAsia="Arial" w:hAnsi="Arial"/>
                <w:sz w:val="13"/>
                <w:szCs w:val="13"/>
                <w:color w:val="auto"/>
              </w:rPr>
              <w:t>6.04</w:t>
            </w:r>
          </w:p>
        </w:tc>
        <w:tc>
          <w:tcPr>
            <w:tcW w:w="3840" w:type="dxa"/>
            <w:vAlign w:val="bottom"/>
          </w:tcPr>
          <w:p>
            <w:pPr>
              <w:ind w:left="240"/>
              <w:spacing w:after="0"/>
              <w:rPr>
                <w:sz w:val="20"/>
                <w:szCs w:val="20"/>
                <w:color w:val="auto"/>
              </w:rPr>
            </w:pPr>
            <w:r>
              <w:rPr>
                <w:rFonts w:ascii="Arial" w:cs="Arial" w:eastAsia="Arial" w:hAnsi="Arial"/>
                <w:sz w:val="13"/>
                <w:szCs w:val="13"/>
                <w:color w:val="auto"/>
              </w:rPr>
              <w:t>Payment of Obligations</w:t>
            </w:r>
          </w:p>
        </w:tc>
        <w:tc>
          <w:tcPr>
            <w:tcW w:w="6760" w:type="dxa"/>
            <w:vAlign w:val="bottom"/>
          </w:tcPr>
          <w:p>
            <w:pPr>
              <w:jc w:val="right"/>
              <w:spacing w:after="0"/>
              <w:rPr>
                <w:sz w:val="20"/>
                <w:szCs w:val="20"/>
                <w:color w:val="auto"/>
              </w:rPr>
            </w:pPr>
            <w:r>
              <w:rPr>
                <w:rFonts w:ascii="Arial" w:cs="Arial" w:eastAsia="Arial" w:hAnsi="Arial"/>
                <w:sz w:val="13"/>
                <w:szCs w:val="13"/>
                <w:color w:val="auto"/>
              </w:rPr>
              <w:t>95</w:t>
            </w:r>
          </w:p>
        </w:tc>
        <w:tc>
          <w:tcPr>
            <w:tcW w:w="0" w:type="dxa"/>
            <w:vAlign w:val="bottom"/>
          </w:tcPr>
          <w:p>
            <w:pPr>
              <w:spacing w:after="0"/>
              <w:rPr>
                <w:sz w:val="1"/>
                <w:szCs w:val="1"/>
                <w:color w:val="auto"/>
              </w:rPr>
            </w:pPr>
          </w:p>
        </w:tc>
      </w:tr>
      <w:tr>
        <w:trPr>
          <w:trHeight w:val="153"/>
        </w:trPr>
        <w:tc>
          <w:tcPr>
            <w:tcW w:w="900" w:type="dxa"/>
            <w:vAlign w:val="bottom"/>
          </w:tcPr>
          <w:p>
            <w:pPr>
              <w:jc w:val="right"/>
              <w:ind w:right="474"/>
              <w:spacing w:after="0"/>
              <w:rPr>
                <w:sz w:val="20"/>
                <w:szCs w:val="20"/>
                <w:color w:val="auto"/>
              </w:rPr>
            </w:pPr>
            <w:r>
              <w:rPr>
                <w:rFonts w:ascii="Arial" w:cs="Arial" w:eastAsia="Arial" w:hAnsi="Arial"/>
                <w:sz w:val="13"/>
                <w:szCs w:val="13"/>
                <w:color w:val="auto"/>
              </w:rPr>
              <w:t>6.05</w:t>
            </w:r>
          </w:p>
        </w:tc>
        <w:tc>
          <w:tcPr>
            <w:tcW w:w="3840" w:type="dxa"/>
            <w:vAlign w:val="bottom"/>
          </w:tcPr>
          <w:p>
            <w:pPr>
              <w:ind w:left="240"/>
              <w:spacing w:after="0"/>
              <w:rPr>
                <w:sz w:val="20"/>
                <w:szCs w:val="20"/>
                <w:color w:val="auto"/>
              </w:rPr>
            </w:pPr>
            <w:r>
              <w:rPr>
                <w:rFonts w:ascii="Arial" w:cs="Arial" w:eastAsia="Arial" w:hAnsi="Arial"/>
                <w:sz w:val="13"/>
                <w:szCs w:val="13"/>
                <w:color w:val="auto"/>
              </w:rPr>
              <w:t>Preservation of Existence, Etc.</w:t>
            </w:r>
          </w:p>
        </w:tc>
        <w:tc>
          <w:tcPr>
            <w:tcW w:w="6760" w:type="dxa"/>
            <w:vAlign w:val="bottom"/>
          </w:tcPr>
          <w:p>
            <w:pPr>
              <w:jc w:val="right"/>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153"/>
        </w:trPr>
        <w:tc>
          <w:tcPr>
            <w:tcW w:w="900" w:type="dxa"/>
            <w:vAlign w:val="bottom"/>
          </w:tcPr>
          <w:p>
            <w:pPr>
              <w:jc w:val="right"/>
              <w:ind w:right="474"/>
              <w:spacing w:after="0"/>
              <w:rPr>
                <w:sz w:val="20"/>
                <w:szCs w:val="20"/>
                <w:color w:val="auto"/>
              </w:rPr>
            </w:pPr>
            <w:r>
              <w:rPr>
                <w:rFonts w:ascii="Arial" w:cs="Arial" w:eastAsia="Arial" w:hAnsi="Arial"/>
                <w:sz w:val="13"/>
                <w:szCs w:val="13"/>
                <w:color w:val="auto"/>
              </w:rPr>
              <w:t>6.06</w:t>
            </w:r>
          </w:p>
        </w:tc>
        <w:tc>
          <w:tcPr>
            <w:tcW w:w="3840" w:type="dxa"/>
            <w:vAlign w:val="bottom"/>
          </w:tcPr>
          <w:p>
            <w:pPr>
              <w:ind w:left="240"/>
              <w:spacing w:after="0"/>
              <w:rPr>
                <w:sz w:val="20"/>
                <w:szCs w:val="20"/>
                <w:color w:val="auto"/>
              </w:rPr>
            </w:pPr>
            <w:r>
              <w:rPr>
                <w:rFonts w:ascii="Arial" w:cs="Arial" w:eastAsia="Arial" w:hAnsi="Arial"/>
                <w:sz w:val="13"/>
                <w:szCs w:val="13"/>
                <w:color w:val="auto"/>
              </w:rPr>
              <w:t>Maintenance of Properties</w:t>
            </w:r>
          </w:p>
        </w:tc>
        <w:tc>
          <w:tcPr>
            <w:tcW w:w="6760" w:type="dxa"/>
            <w:vAlign w:val="bottom"/>
          </w:tcPr>
          <w:p>
            <w:pPr>
              <w:jc w:val="right"/>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153"/>
        </w:trPr>
        <w:tc>
          <w:tcPr>
            <w:tcW w:w="900" w:type="dxa"/>
            <w:vAlign w:val="bottom"/>
          </w:tcPr>
          <w:p>
            <w:pPr>
              <w:jc w:val="right"/>
              <w:ind w:right="474"/>
              <w:spacing w:after="0"/>
              <w:rPr>
                <w:sz w:val="20"/>
                <w:szCs w:val="20"/>
                <w:color w:val="auto"/>
              </w:rPr>
            </w:pPr>
            <w:r>
              <w:rPr>
                <w:rFonts w:ascii="Arial" w:cs="Arial" w:eastAsia="Arial" w:hAnsi="Arial"/>
                <w:sz w:val="13"/>
                <w:szCs w:val="13"/>
                <w:color w:val="auto"/>
              </w:rPr>
              <w:t>6.07</w:t>
            </w:r>
          </w:p>
        </w:tc>
        <w:tc>
          <w:tcPr>
            <w:tcW w:w="3840" w:type="dxa"/>
            <w:vAlign w:val="bottom"/>
          </w:tcPr>
          <w:p>
            <w:pPr>
              <w:ind w:left="240"/>
              <w:spacing w:after="0"/>
              <w:rPr>
                <w:sz w:val="20"/>
                <w:szCs w:val="20"/>
                <w:color w:val="auto"/>
              </w:rPr>
            </w:pPr>
            <w:r>
              <w:rPr>
                <w:rFonts w:ascii="Arial" w:cs="Arial" w:eastAsia="Arial" w:hAnsi="Arial"/>
                <w:sz w:val="13"/>
                <w:szCs w:val="13"/>
                <w:color w:val="auto"/>
              </w:rPr>
              <w:t>Maintenance of Insurance</w:t>
            </w:r>
          </w:p>
        </w:tc>
        <w:tc>
          <w:tcPr>
            <w:tcW w:w="6760" w:type="dxa"/>
            <w:vAlign w:val="bottom"/>
          </w:tcPr>
          <w:p>
            <w:pPr>
              <w:jc w:val="right"/>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153"/>
        </w:trPr>
        <w:tc>
          <w:tcPr>
            <w:tcW w:w="900" w:type="dxa"/>
            <w:vAlign w:val="bottom"/>
          </w:tcPr>
          <w:p>
            <w:pPr>
              <w:jc w:val="right"/>
              <w:ind w:right="474"/>
              <w:spacing w:after="0"/>
              <w:rPr>
                <w:sz w:val="20"/>
                <w:szCs w:val="20"/>
                <w:color w:val="auto"/>
              </w:rPr>
            </w:pPr>
            <w:r>
              <w:rPr>
                <w:rFonts w:ascii="Arial" w:cs="Arial" w:eastAsia="Arial" w:hAnsi="Arial"/>
                <w:sz w:val="13"/>
                <w:szCs w:val="13"/>
                <w:color w:val="auto"/>
              </w:rPr>
              <w:t>6.08</w:t>
            </w:r>
          </w:p>
        </w:tc>
        <w:tc>
          <w:tcPr>
            <w:tcW w:w="3840" w:type="dxa"/>
            <w:vAlign w:val="bottom"/>
          </w:tcPr>
          <w:p>
            <w:pPr>
              <w:ind w:left="240"/>
              <w:spacing w:after="0"/>
              <w:rPr>
                <w:sz w:val="20"/>
                <w:szCs w:val="20"/>
                <w:color w:val="auto"/>
              </w:rPr>
            </w:pPr>
            <w:r>
              <w:rPr>
                <w:rFonts w:ascii="Arial" w:cs="Arial" w:eastAsia="Arial" w:hAnsi="Arial"/>
                <w:sz w:val="13"/>
                <w:szCs w:val="13"/>
                <w:color w:val="auto"/>
              </w:rPr>
              <w:t>Compliance with Laws</w:t>
            </w:r>
          </w:p>
        </w:tc>
        <w:tc>
          <w:tcPr>
            <w:tcW w:w="6760" w:type="dxa"/>
            <w:vAlign w:val="bottom"/>
          </w:tcPr>
          <w:p>
            <w:pPr>
              <w:jc w:val="right"/>
              <w:spacing w:after="0"/>
              <w:rPr>
                <w:sz w:val="20"/>
                <w:szCs w:val="20"/>
                <w:color w:val="auto"/>
              </w:rPr>
            </w:pPr>
            <w:r>
              <w:rPr>
                <w:rFonts w:ascii="Arial" w:cs="Arial" w:eastAsia="Arial" w:hAnsi="Arial"/>
                <w:sz w:val="13"/>
                <w:szCs w:val="13"/>
                <w:color w:val="auto"/>
              </w:rPr>
              <w:t>97</w:t>
            </w:r>
          </w:p>
        </w:tc>
        <w:tc>
          <w:tcPr>
            <w:tcW w:w="0" w:type="dxa"/>
            <w:vAlign w:val="bottom"/>
          </w:tcPr>
          <w:p>
            <w:pPr>
              <w:spacing w:after="0"/>
              <w:rPr>
                <w:sz w:val="1"/>
                <w:szCs w:val="1"/>
                <w:color w:val="auto"/>
              </w:rPr>
            </w:pPr>
          </w:p>
        </w:tc>
      </w:tr>
      <w:tr>
        <w:trPr>
          <w:trHeight w:val="153"/>
        </w:trPr>
        <w:tc>
          <w:tcPr>
            <w:tcW w:w="900" w:type="dxa"/>
            <w:vAlign w:val="bottom"/>
          </w:tcPr>
          <w:p>
            <w:pPr>
              <w:jc w:val="right"/>
              <w:ind w:right="474"/>
              <w:spacing w:after="0"/>
              <w:rPr>
                <w:sz w:val="20"/>
                <w:szCs w:val="20"/>
                <w:color w:val="auto"/>
              </w:rPr>
            </w:pPr>
            <w:r>
              <w:rPr>
                <w:rFonts w:ascii="Arial" w:cs="Arial" w:eastAsia="Arial" w:hAnsi="Arial"/>
                <w:sz w:val="13"/>
                <w:szCs w:val="13"/>
                <w:color w:val="auto"/>
              </w:rPr>
              <w:t>6.09</w:t>
            </w:r>
          </w:p>
        </w:tc>
        <w:tc>
          <w:tcPr>
            <w:tcW w:w="3840" w:type="dxa"/>
            <w:vAlign w:val="bottom"/>
          </w:tcPr>
          <w:p>
            <w:pPr>
              <w:ind w:left="240"/>
              <w:spacing w:after="0"/>
              <w:rPr>
                <w:sz w:val="20"/>
                <w:szCs w:val="20"/>
                <w:color w:val="auto"/>
              </w:rPr>
            </w:pPr>
            <w:r>
              <w:rPr>
                <w:rFonts w:ascii="Arial" w:cs="Arial" w:eastAsia="Arial" w:hAnsi="Arial"/>
                <w:sz w:val="13"/>
                <w:szCs w:val="13"/>
                <w:color w:val="auto"/>
              </w:rPr>
              <w:t>Books and Records; Accountants.</w:t>
            </w:r>
          </w:p>
        </w:tc>
        <w:tc>
          <w:tcPr>
            <w:tcW w:w="6760" w:type="dxa"/>
            <w:vAlign w:val="bottom"/>
          </w:tcPr>
          <w:p>
            <w:pPr>
              <w:jc w:val="right"/>
              <w:spacing w:after="0"/>
              <w:rPr>
                <w:sz w:val="20"/>
                <w:szCs w:val="20"/>
                <w:color w:val="auto"/>
              </w:rPr>
            </w:pPr>
            <w:r>
              <w:rPr>
                <w:rFonts w:ascii="Arial" w:cs="Arial" w:eastAsia="Arial" w:hAnsi="Arial"/>
                <w:sz w:val="13"/>
                <w:szCs w:val="13"/>
                <w:color w:val="auto"/>
              </w:rPr>
              <w:t>97</w:t>
            </w:r>
          </w:p>
        </w:tc>
        <w:tc>
          <w:tcPr>
            <w:tcW w:w="0" w:type="dxa"/>
            <w:vAlign w:val="bottom"/>
          </w:tcPr>
          <w:p>
            <w:pPr>
              <w:spacing w:after="0"/>
              <w:rPr>
                <w:sz w:val="1"/>
                <w:szCs w:val="1"/>
                <w:color w:val="auto"/>
              </w:rPr>
            </w:pPr>
          </w:p>
        </w:tc>
      </w:tr>
      <w:tr>
        <w:trPr>
          <w:trHeight w:val="153"/>
        </w:trPr>
        <w:tc>
          <w:tcPr>
            <w:tcW w:w="900" w:type="dxa"/>
            <w:vAlign w:val="bottom"/>
          </w:tcPr>
          <w:p>
            <w:pPr>
              <w:jc w:val="right"/>
              <w:ind w:right="474"/>
              <w:spacing w:after="0"/>
              <w:rPr>
                <w:sz w:val="20"/>
                <w:szCs w:val="20"/>
                <w:color w:val="auto"/>
              </w:rPr>
            </w:pPr>
            <w:r>
              <w:rPr>
                <w:rFonts w:ascii="Arial" w:cs="Arial" w:eastAsia="Arial" w:hAnsi="Arial"/>
                <w:sz w:val="13"/>
                <w:szCs w:val="13"/>
                <w:color w:val="auto"/>
              </w:rPr>
              <w:t>6.10</w:t>
            </w:r>
          </w:p>
        </w:tc>
        <w:tc>
          <w:tcPr>
            <w:tcW w:w="3840" w:type="dxa"/>
            <w:vAlign w:val="bottom"/>
          </w:tcPr>
          <w:p>
            <w:pPr>
              <w:ind w:left="240"/>
              <w:spacing w:after="0"/>
              <w:rPr>
                <w:sz w:val="20"/>
                <w:szCs w:val="20"/>
                <w:color w:val="auto"/>
              </w:rPr>
            </w:pPr>
            <w:r>
              <w:rPr>
                <w:rFonts w:ascii="Arial" w:cs="Arial" w:eastAsia="Arial" w:hAnsi="Arial"/>
                <w:sz w:val="13"/>
                <w:szCs w:val="13"/>
                <w:color w:val="auto"/>
              </w:rPr>
              <w:t>Inspection Rights.</w:t>
            </w:r>
          </w:p>
        </w:tc>
        <w:tc>
          <w:tcPr>
            <w:tcW w:w="6760" w:type="dxa"/>
            <w:vAlign w:val="bottom"/>
          </w:tcPr>
          <w:p>
            <w:pPr>
              <w:jc w:val="right"/>
              <w:spacing w:after="0"/>
              <w:rPr>
                <w:sz w:val="20"/>
                <w:szCs w:val="20"/>
                <w:color w:val="auto"/>
              </w:rPr>
            </w:pPr>
            <w:r>
              <w:rPr>
                <w:rFonts w:ascii="Arial" w:cs="Arial" w:eastAsia="Arial" w:hAnsi="Arial"/>
                <w:sz w:val="13"/>
                <w:szCs w:val="13"/>
                <w:color w:val="auto"/>
              </w:rPr>
              <w:t>98</w:t>
            </w:r>
          </w:p>
        </w:tc>
        <w:tc>
          <w:tcPr>
            <w:tcW w:w="0" w:type="dxa"/>
            <w:vAlign w:val="bottom"/>
          </w:tcPr>
          <w:p>
            <w:pPr>
              <w:spacing w:after="0"/>
              <w:rPr>
                <w:sz w:val="1"/>
                <w:szCs w:val="1"/>
                <w:color w:val="auto"/>
              </w:rPr>
            </w:pPr>
          </w:p>
        </w:tc>
      </w:tr>
      <w:tr>
        <w:trPr>
          <w:trHeight w:val="153"/>
        </w:trPr>
        <w:tc>
          <w:tcPr>
            <w:tcW w:w="900" w:type="dxa"/>
            <w:vAlign w:val="bottom"/>
          </w:tcPr>
          <w:p>
            <w:pPr>
              <w:jc w:val="right"/>
              <w:ind w:right="494"/>
              <w:spacing w:after="0"/>
              <w:rPr>
                <w:sz w:val="20"/>
                <w:szCs w:val="20"/>
                <w:color w:val="auto"/>
              </w:rPr>
            </w:pPr>
            <w:r>
              <w:rPr>
                <w:rFonts w:ascii="Arial" w:cs="Arial" w:eastAsia="Arial" w:hAnsi="Arial"/>
                <w:sz w:val="13"/>
                <w:szCs w:val="13"/>
                <w:color w:val="auto"/>
              </w:rPr>
              <w:t>6.11</w:t>
            </w:r>
          </w:p>
        </w:tc>
        <w:tc>
          <w:tcPr>
            <w:tcW w:w="3840" w:type="dxa"/>
            <w:vAlign w:val="bottom"/>
          </w:tcPr>
          <w:p>
            <w:pPr>
              <w:ind w:left="240"/>
              <w:spacing w:after="0"/>
              <w:rPr>
                <w:sz w:val="20"/>
                <w:szCs w:val="20"/>
                <w:color w:val="auto"/>
              </w:rPr>
            </w:pPr>
            <w:r>
              <w:rPr>
                <w:rFonts w:ascii="Arial" w:cs="Arial" w:eastAsia="Arial" w:hAnsi="Arial"/>
                <w:sz w:val="13"/>
                <w:szCs w:val="13"/>
                <w:color w:val="auto"/>
              </w:rPr>
              <w:t>Additional Loan Parties</w:t>
            </w:r>
          </w:p>
        </w:tc>
        <w:tc>
          <w:tcPr>
            <w:tcW w:w="6760" w:type="dxa"/>
            <w:vAlign w:val="bottom"/>
          </w:tcPr>
          <w:p>
            <w:pPr>
              <w:jc w:val="right"/>
              <w:spacing w:after="0"/>
              <w:rPr>
                <w:sz w:val="20"/>
                <w:szCs w:val="20"/>
                <w:color w:val="auto"/>
              </w:rPr>
            </w:pPr>
            <w:r>
              <w:rPr>
                <w:rFonts w:ascii="Arial" w:cs="Arial" w:eastAsia="Arial" w:hAnsi="Arial"/>
                <w:sz w:val="13"/>
                <w:szCs w:val="13"/>
                <w:color w:val="auto"/>
              </w:rPr>
              <w:t>98</w:t>
            </w:r>
          </w:p>
        </w:tc>
        <w:tc>
          <w:tcPr>
            <w:tcW w:w="0" w:type="dxa"/>
            <w:vAlign w:val="bottom"/>
          </w:tcPr>
          <w:p>
            <w:pPr>
              <w:spacing w:after="0"/>
              <w:rPr>
                <w:sz w:val="1"/>
                <w:szCs w:val="1"/>
                <w:color w:val="auto"/>
              </w:rPr>
            </w:pPr>
          </w:p>
        </w:tc>
      </w:tr>
      <w:tr>
        <w:trPr>
          <w:trHeight w:val="153"/>
        </w:trPr>
        <w:tc>
          <w:tcPr>
            <w:tcW w:w="900" w:type="dxa"/>
            <w:vAlign w:val="bottom"/>
          </w:tcPr>
          <w:p>
            <w:pPr>
              <w:jc w:val="right"/>
              <w:ind w:right="474"/>
              <w:spacing w:after="0"/>
              <w:rPr>
                <w:sz w:val="20"/>
                <w:szCs w:val="20"/>
                <w:color w:val="auto"/>
              </w:rPr>
            </w:pPr>
            <w:r>
              <w:rPr>
                <w:rFonts w:ascii="Arial" w:cs="Arial" w:eastAsia="Arial" w:hAnsi="Arial"/>
                <w:sz w:val="13"/>
                <w:szCs w:val="13"/>
                <w:color w:val="auto"/>
              </w:rPr>
              <w:t>6.12</w:t>
            </w:r>
          </w:p>
        </w:tc>
        <w:tc>
          <w:tcPr>
            <w:tcW w:w="3840" w:type="dxa"/>
            <w:vAlign w:val="bottom"/>
          </w:tcPr>
          <w:p>
            <w:pPr>
              <w:ind w:left="240"/>
              <w:spacing w:after="0"/>
              <w:rPr>
                <w:sz w:val="20"/>
                <w:szCs w:val="20"/>
                <w:color w:val="auto"/>
              </w:rPr>
            </w:pPr>
            <w:r>
              <w:rPr>
                <w:rFonts w:ascii="Arial" w:cs="Arial" w:eastAsia="Arial" w:hAnsi="Arial"/>
                <w:sz w:val="13"/>
                <w:szCs w:val="13"/>
                <w:color w:val="auto"/>
              </w:rPr>
              <w:t>Cash Management.</w:t>
            </w:r>
          </w:p>
        </w:tc>
        <w:tc>
          <w:tcPr>
            <w:tcW w:w="6760" w:type="dxa"/>
            <w:vAlign w:val="bottom"/>
          </w:tcPr>
          <w:p>
            <w:pPr>
              <w:jc w:val="right"/>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153"/>
        </w:trPr>
        <w:tc>
          <w:tcPr>
            <w:tcW w:w="900" w:type="dxa"/>
            <w:vAlign w:val="bottom"/>
          </w:tcPr>
          <w:p>
            <w:pPr>
              <w:jc w:val="right"/>
              <w:ind w:right="474"/>
              <w:spacing w:after="0"/>
              <w:rPr>
                <w:sz w:val="20"/>
                <w:szCs w:val="20"/>
                <w:color w:val="auto"/>
              </w:rPr>
            </w:pPr>
            <w:r>
              <w:rPr>
                <w:rFonts w:ascii="Arial" w:cs="Arial" w:eastAsia="Arial" w:hAnsi="Arial"/>
                <w:sz w:val="13"/>
                <w:szCs w:val="13"/>
                <w:color w:val="auto"/>
              </w:rPr>
              <w:t>6.13</w:t>
            </w:r>
          </w:p>
        </w:tc>
        <w:tc>
          <w:tcPr>
            <w:tcW w:w="3840" w:type="dxa"/>
            <w:vAlign w:val="bottom"/>
          </w:tcPr>
          <w:p>
            <w:pPr>
              <w:ind w:left="240"/>
              <w:spacing w:after="0"/>
              <w:rPr>
                <w:sz w:val="20"/>
                <w:szCs w:val="20"/>
                <w:color w:val="auto"/>
              </w:rPr>
            </w:pPr>
            <w:r>
              <w:rPr>
                <w:rFonts w:ascii="Arial" w:cs="Arial" w:eastAsia="Arial" w:hAnsi="Arial"/>
                <w:sz w:val="13"/>
                <w:szCs w:val="13"/>
                <w:color w:val="auto"/>
              </w:rPr>
              <w:t>Information Regarding the Collateral.</w:t>
            </w:r>
          </w:p>
        </w:tc>
        <w:tc>
          <w:tcPr>
            <w:tcW w:w="6760" w:type="dxa"/>
            <w:vAlign w:val="bottom"/>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3"/>
        </w:trPr>
        <w:tc>
          <w:tcPr>
            <w:tcW w:w="900" w:type="dxa"/>
            <w:vAlign w:val="bottom"/>
          </w:tcPr>
          <w:p>
            <w:pPr>
              <w:jc w:val="right"/>
              <w:ind w:right="474"/>
              <w:spacing w:after="0"/>
              <w:rPr>
                <w:sz w:val="20"/>
                <w:szCs w:val="20"/>
                <w:color w:val="auto"/>
              </w:rPr>
            </w:pPr>
            <w:r>
              <w:rPr>
                <w:rFonts w:ascii="Arial" w:cs="Arial" w:eastAsia="Arial" w:hAnsi="Arial"/>
                <w:sz w:val="13"/>
                <w:szCs w:val="13"/>
                <w:color w:val="auto"/>
              </w:rPr>
              <w:t>6.14</w:t>
            </w:r>
          </w:p>
        </w:tc>
        <w:tc>
          <w:tcPr>
            <w:tcW w:w="3840" w:type="dxa"/>
            <w:vAlign w:val="bottom"/>
          </w:tcPr>
          <w:p>
            <w:pPr>
              <w:ind w:left="240"/>
              <w:spacing w:after="0"/>
              <w:rPr>
                <w:sz w:val="20"/>
                <w:szCs w:val="20"/>
                <w:color w:val="auto"/>
              </w:rPr>
            </w:pPr>
            <w:r>
              <w:rPr>
                <w:rFonts w:ascii="Arial" w:cs="Arial" w:eastAsia="Arial" w:hAnsi="Arial"/>
                <w:sz w:val="13"/>
                <w:szCs w:val="13"/>
                <w:color w:val="auto"/>
              </w:rPr>
              <w:t>Physical Inventories.</w:t>
            </w:r>
          </w:p>
        </w:tc>
        <w:tc>
          <w:tcPr>
            <w:tcW w:w="6760" w:type="dxa"/>
            <w:vAlign w:val="bottom"/>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3"/>
        </w:trPr>
        <w:tc>
          <w:tcPr>
            <w:tcW w:w="900" w:type="dxa"/>
            <w:vAlign w:val="bottom"/>
          </w:tcPr>
          <w:p>
            <w:pPr>
              <w:jc w:val="right"/>
              <w:ind w:right="474"/>
              <w:spacing w:after="0"/>
              <w:rPr>
                <w:sz w:val="20"/>
                <w:szCs w:val="20"/>
                <w:color w:val="auto"/>
              </w:rPr>
            </w:pPr>
            <w:r>
              <w:rPr>
                <w:rFonts w:ascii="Arial" w:cs="Arial" w:eastAsia="Arial" w:hAnsi="Arial"/>
                <w:sz w:val="13"/>
                <w:szCs w:val="13"/>
                <w:color w:val="auto"/>
              </w:rPr>
              <w:t>6.15</w:t>
            </w:r>
          </w:p>
        </w:tc>
        <w:tc>
          <w:tcPr>
            <w:tcW w:w="3840" w:type="dxa"/>
            <w:vAlign w:val="bottom"/>
          </w:tcPr>
          <w:p>
            <w:pPr>
              <w:ind w:left="240"/>
              <w:spacing w:after="0"/>
              <w:rPr>
                <w:sz w:val="20"/>
                <w:szCs w:val="20"/>
                <w:color w:val="auto"/>
              </w:rPr>
            </w:pPr>
            <w:r>
              <w:rPr>
                <w:rFonts w:ascii="Arial" w:cs="Arial" w:eastAsia="Arial" w:hAnsi="Arial"/>
                <w:sz w:val="13"/>
                <w:szCs w:val="13"/>
                <w:color w:val="auto"/>
              </w:rPr>
              <w:t>Environmental Laws.</w:t>
            </w:r>
          </w:p>
        </w:tc>
        <w:tc>
          <w:tcPr>
            <w:tcW w:w="6760" w:type="dxa"/>
            <w:vAlign w:val="bottom"/>
          </w:tcPr>
          <w:p>
            <w:pPr>
              <w:jc w:val="right"/>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153"/>
        </w:trPr>
        <w:tc>
          <w:tcPr>
            <w:tcW w:w="900" w:type="dxa"/>
            <w:vAlign w:val="bottom"/>
          </w:tcPr>
          <w:p>
            <w:pPr>
              <w:jc w:val="right"/>
              <w:ind w:right="474"/>
              <w:spacing w:after="0"/>
              <w:rPr>
                <w:sz w:val="20"/>
                <w:szCs w:val="20"/>
                <w:color w:val="auto"/>
              </w:rPr>
            </w:pPr>
            <w:r>
              <w:rPr>
                <w:rFonts w:ascii="Arial" w:cs="Arial" w:eastAsia="Arial" w:hAnsi="Arial"/>
                <w:sz w:val="13"/>
                <w:szCs w:val="13"/>
                <w:color w:val="auto"/>
              </w:rPr>
              <w:t>6.16</w:t>
            </w:r>
          </w:p>
        </w:tc>
        <w:tc>
          <w:tcPr>
            <w:tcW w:w="3840" w:type="dxa"/>
            <w:vAlign w:val="bottom"/>
          </w:tcPr>
          <w:p>
            <w:pPr>
              <w:ind w:left="240"/>
              <w:spacing w:after="0"/>
              <w:rPr>
                <w:sz w:val="20"/>
                <w:szCs w:val="20"/>
                <w:color w:val="auto"/>
              </w:rPr>
            </w:pPr>
            <w:r>
              <w:rPr>
                <w:rFonts w:ascii="Arial" w:cs="Arial" w:eastAsia="Arial" w:hAnsi="Arial"/>
                <w:sz w:val="13"/>
                <w:szCs w:val="13"/>
                <w:color w:val="auto"/>
              </w:rPr>
              <w:t>Further Assurances.</w:t>
            </w:r>
          </w:p>
        </w:tc>
        <w:tc>
          <w:tcPr>
            <w:tcW w:w="6760" w:type="dxa"/>
            <w:vAlign w:val="bottom"/>
          </w:tcPr>
          <w:p>
            <w:pPr>
              <w:jc w:val="right"/>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153"/>
        </w:trPr>
        <w:tc>
          <w:tcPr>
            <w:tcW w:w="900" w:type="dxa"/>
            <w:vAlign w:val="bottom"/>
          </w:tcPr>
          <w:p>
            <w:pPr>
              <w:jc w:val="right"/>
              <w:ind w:right="474"/>
              <w:spacing w:after="0"/>
              <w:rPr>
                <w:sz w:val="20"/>
                <w:szCs w:val="20"/>
                <w:color w:val="auto"/>
              </w:rPr>
            </w:pPr>
            <w:r>
              <w:rPr>
                <w:rFonts w:ascii="Arial" w:cs="Arial" w:eastAsia="Arial" w:hAnsi="Arial"/>
                <w:sz w:val="13"/>
                <w:szCs w:val="13"/>
                <w:color w:val="auto"/>
              </w:rPr>
              <w:t>6.17</w:t>
            </w:r>
          </w:p>
        </w:tc>
        <w:tc>
          <w:tcPr>
            <w:tcW w:w="3840" w:type="dxa"/>
            <w:vAlign w:val="bottom"/>
          </w:tcPr>
          <w:p>
            <w:pPr>
              <w:ind w:left="240"/>
              <w:spacing w:after="0"/>
              <w:rPr>
                <w:sz w:val="20"/>
                <w:szCs w:val="20"/>
                <w:color w:val="auto"/>
              </w:rPr>
            </w:pPr>
            <w:r>
              <w:rPr>
                <w:rFonts w:ascii="Arial" w:cs="Arial" w:eastAsia="Arial" w:hAnsi="Arial"/>
                <w:sz w:val="13"/>
                <w:szCs w:val="13"/>
                <w:color w:val="auto"/>
              </w:rPr>
              <w:t>Compliance with Terms of Leaseholds.</w:t>
            </w:r>
          </w:p>
        </w:tc>
        <w:tc>
          <w:tcPr>
            <w:tcW w:w="6760" w:type="dxa"/>
            <w:vAlign w:val="bottom"/>
          </w:tcPr>
          <w:p>
            <w:pPr>
              <w:jc w:val="right"/>
              <w:spacing w:after="0"/>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153"/>
        </w:trPr>
        <w:tc>
          <w:tcPr>
            <w:tcW w:w="900" w:type="dxa"/>
            <w:vAlign w:val="bottom"/>
          </w:tcPr>
          <w:p>
            <w:pPr>
              <w:jc w:val="right"/>
              <w:ind w:right="474"/>
              <w:spacing w:after="0"/>
              <w:rPr>
                <w:sz w:val="20"/>
                <w:szCs w:val="20"/>
                <w:color w:val="auto"/>
              </w:rPr>
            </w:pPr>
            <w:r>
              <w:rPr>
                <w:rFonts w:ascii="Arial" w:cs="Arial" w:eastAsia="Arial" w:hAnsi="Arial"/>
                <w:sz w:val="13"/>
                <w:szCs w:val="13"/>
                <w:color w:val="auto"/>
              </w:rPr>
              <w:t>6.18</w:t>
            </w:r>
          </w:p>
        </w:tc>
        <w:tc>
          <w:tcPr>
            <w:tcW w:w="3840" w:type="dxa"/>
            <w:vAlign w:val="bottom"/>
          </w:tcPr>
          <w:p>
            <w:pPr>
              <w:ind w:left="240"/>
              <w:spacing w:after="0"/>
              <w:rPr>
                <w:sz w:val="20"/>
                <w:szCs w:val="20"/>
                <w:color w:val="auto"/>
              </w:rPr>
            </w:pPr>
            <w:r>
              <w:rPr>
                <w:rFonts w:ascii="Arial" w:cs="Arial" w:eastAsia="Arial" w:hAnsi="Arial"/>
                <w:sz w:val="13"/>
                <w:szCs w:val="13"/>
                <w:color w:val="auto"/>
              </w:rPr>
              <w:t>Material Contracts</w:t>
            </w:r>
          </w:p>
        </w:tc>
        <w:tc>
          <w:tcPr>
            <w:tcW w:w="6760" w:type="dxa"/>
            <w:vAlign w:val="bottom"/>
          </w:tcPr>
          <w:p>
            <w:pPr>
              <w:jc w:val="right"/>
              <w:spacing w:after="0"/>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166"/>
        </w:trPr>
        <w:tc>
          <w:tcPr>
            <w:tcW w:w="900" w:type="dxa"/>
            <w:vAlign w:val="bottom"/>
          </w:tcPr>
          <w:p>
            <w:pPr>
              <w:jc w:val="right"/>
              <w:ind w:right="474"/>
              <w:spacing w:after="0"/>
              <w:rPr>
                <w:sz w:val="20"/>
                <w:szCs w:val="20"/>
                <w:color w:val="auto"/>
              </w:rPr>
            </w:pPr>
            <w:r>
              <w:rPr>
                <w:rFonts w:ascii="Arial" w:cs="Arial" w:eastAsia="Arial" w:hAnsi="Arial"/>
                <w:sz w:val="13"/>
                <w:szCs w:val="13"/>
                <w:color w:val="auto"/>
              </w:rPr>
              <w:t>6.19</w:t>
            </w:r>
          </w:p>
        </w:tc>
        <w:tc>
          <w:tcPr>
            <w:tcW w:w="3840" w:type="dxa"/>
            <w:vAlign w:val="bottom"/>
          </w:tcPr>
          <w:p>
            <w:pPr>
              <w:ind w:left="240"/>
              <w:spacing w:after="0"/>
              <w:rPr>
                <w:sz w:val="20"/>
                <w:szCs w:val="20"/>
                <w:color w:val="auto"/>
              </w:rPr>
            </w:pPr>
            <w:r>
              <w:rPr>
                <w:rFonts w:ascii="Arial" w:cs="Arial" w:eastAsia="Arial" w:hAnsi="Arial"/>
                <w:sz w:val="13"/>
                <w:szCs w:val="13"/>
                <w:color w:val="auto"/>
              </w:rPr>
              <w:t>OFAC; Sanctions.</w:t>
            </w:r>
          </w:p>
        </w:tc>
        <w:tc>
          <w:tcPr>
            <w:tcW w:w="6760" w:type="dxa"/>
            <w:vAlign w:val="bottom"/>
          </w:tcPr>
          <w:p>
            <w:pPr>
              <w:jc w:val="right"/>
              <w:spacing w:after="0"/>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234"/>
        </w:trPr>
        <w:tc>
          <w:tcPr>
            <w:tcW w:w="4740" w:type="dxa"/>
            <w:vAlign w:val="bottom"/>
            <w:gridSpan w:val="2"/>
          </w:tcPr>
          <w:p>
            <w:pPr>
              <w:spacing w:after="0"/>
              <w:rPr>
                <w:sz w:val="20"/>
                <w:szCs w:val="20"/>
                <w:color w:val="auto"/>
              </w:rPr>
            </w:pPr>
            <w:r>
              <w:rPr>
                <w:rFonts w:ascii="Arial" w:cs="Arial" w:eastAsia="Arial" w:hAnsi="Arial"/>
                <w:sz w:val="13"/>
                <w:szCs w:val="13"/>
                <w:color w:val="auto"/>
              </w:rPr>
              <w:t>ARTICLE VII NEGATIVE COVENANTS</w:t>
            </w:r>
          </w:p>
        </w:tc>
        <w:tc>
          <w:tcPr>
            <w:tcW w:w="6760" w:type="dxa"/>
            <w:vAlign w:val="bottom"/>
          </w:tcPr>
          <w:p>
            <w:pPr>
              <w:jc w:val="right"/>
              <w:spacing w:after="0"/>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222"/>
        </w:trPr>
        <w:tc>
          <w:tcPr>
            <w:tcW w:w="900" w:type="dxa"/>
            <w:vAlign w:val="bottom"/>
          </w:tcPr>
          <w:p>
            <w:pPr>
              <w:jc w:val="right"/>
              <w:ind w:right="474"/>
              <w:spacing w:after="0"/>
              <w:rPr>
                <w:sz w:val="20"/>
                <w:szCs w:val="20"/>
                <w:color w:val="auto"/>
              </w:rPr>
            </w:pPr>
            <w:r>
              <w:rPr>
                <w:rFonts w:ascii="Arial" w:cs="Arial" w:eastAsia="Arial" w:hAnsi="Arial"/>
                <w:sz w:val="13"/>
                <w:szCs w:val="13"/>
                <w:color w:val="auto"/>
              </w:rPr>
              <w:t>7.01</w:t>
            </w:r>
          </w:p>
        </w:tc>
        <w:tc>
          <w:tcPr>
            <w:tcW w:w="3840" w:type="dxa"/>
            <w:vAlign w:val="bottom"/>
          </w:tcPr>
          <w:p>
            <w:pPr>
              <w:ind w:left="240"/>
              <w:spacing w:after="0"/>
              <w:rPr>
                <w:sz w:val="20"/>
                <w:szCs w:val="20"/>
                <w:color w:val="auto"/>
              </w:rPr>
            </w:pPr>
            <w:r>
              <w:rPr>
                <w:rFonts w:ascii="Arial" w:cs="Arial" w:eastAsia="Arial" w:hAnsi="Arial"/>
                <w:sz w:val="13"/>
                <w:szCs w:val="13"/>
                <w:color w:val="auto"/>
              </w:rPr>
              <w:t>Liens</w:t>
            </w:r>
          </w:p>
        </w:tc>
        <w:tc>
          <w:tcPr>
            <w:tcW w:w="6760" w:type="dxa"/>
            <w:vAlign w:val="bottom"/>
          </w:tcPr>
          <w:p>
            <w:pPr>
              <w:jc w:val="right"/>
              <w:spacing w:after="0"/>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153"/>
        </w:trPr>
        <w:tc>
          <w:tcPr>
            <w:tcW w:w="900" w:type="dxa"/>
            <w:vAlign w:val="bottom"/>
          </w:tcPr>
          <w:p>
            <w:pPr>
              <w:jc w:val="right"/>
              <w:ind w:right="474"/>
              <w:spacing w:after="0"/>
              <w:rPr>
                <w:sz w:val="20"/>
                <w:szCs w:val="20"/>
                <w:color w:val="auto"/>
              </w:rPr>
            </w:pPr>
            <w:r>
              <w:rPr>
                <w:rFonts w:ascii="Arial" w:cs="Arial" w:eastAsia="Arial" w:hAnsi="Arial"/>
                <w:sz w:val="13"/>
                <w:szCs w:val="13"/>
                <w:color w:val="auto"/>
              </w:rPr>
              <w:t>7.02</w:t>
            </w:r>
          </w:p>
        </w:tc>
        <w:tc>
          <w:tcPr>
            <w:tcW w:w="3840" w:type="dxa"/>
            <w:vAlign w:val="bottom"/>
          </w:tcPr>
          <w:p>
            <w:pPr>
              <w:ind w:left="240"/>
              <w:spacing w:after="0"/>
              <w:rPr>
                <w:sz w:val="20"/>
                <w:szCs w:val="20"/>
                <w:color w:val="auto"/>
              </w:rPr>
            </w:pPr>
            <w:r>
              <w:rPr>
                <w:rFonts w:ascii="Arial" w:cs="Arial" w:eastAsia="Arial" w:hAnsi="Arial"/>
                <w:sz w:val="13"/>
                <w:szCs w:val="13"/>
                <w:color w:val="auto"/>
              </w:rPr>
              <w:t>Investments</w:t>
            </w:r>
          </w:p>
        </w:tc>
        <w:tc>
          <w:tcPr>
            <w:tcW w:w="6760" w:type="dxa"/>
            <w:vAlign w:val="bottom"/>
          </w:tcPr>
          <w:p>
            <w:pPr>
              <w:jc w:val="right"/>
              <w:spacing w:after="0"/>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153"/>
        </w:trPr>
        <w:tc>
          <w:tcPr>
            <w:tcW w:w="900" w:type="dxa"/>
            <w:vAlign w:val="bottom"/>
          </w:tcPr>
          <w:p>
            <w:pPr>
              <w:jc w:val="right"/>
              <w:ind w:right="474"/>
              <w:spacing w:after="0"/>
              <w:rPr>
                <w:sz w:val="20"/>
                <w:szCs w:val="20"/>
                <w:color w:val="auto"/>
              </w:rPr>
            </w:pPr>
            <w:r>
              <w:rPr>
                <w:rFonts w:ascii="Arial" w:cs="Arial" w:eastAsia="Arial" w:hAnsi="Arial"/>
                <w:sz w:val="13"/>
                <w:szCs w:val="13"/>
                <w:color w:val="auto"/>
              </w:rPr>
              <w:t>7.03</w:t>
            </w:r>
          </w:p>
        </w:tc>
        <w:tc>
          <w:tcPr>
            <w:tcW w:w="3840" w:type="dxa"/>
            <w:vAlign w:val="bottom"/>
          </w:tcPr>
          <w:p>
            <w:pPr>
              <w:ind w:left="240"/>
              <w:spacing w:after="0"/>
              <w:rPr>
                <w:sz w:val="20"/>
                <w:szCs w:val="20"/>
                <w:color w:val="auto"/>
              </w:rPr>
            </w:pPr>
            <w:r>
              <w:rPr>
                <w:rFonts w:ascii="Arial" w:cs="Arial" w:eastAsia="Arial" w:hAnsi="Arial"/>
                <w:sz w:val="13"/>
                <w:szCs w:val="13"/>
                <w:color w:val="auto"/>
              </w:rPr>
              <w:t>Indebtedness; Disqualified Stock; Equity Issuances</w:t>
            </w:r>
          </w:p>
        </w:tc>
        <w:tc>
          <w:tcPr>
            <w:tcW w:w="6760" w:type="dxa"/>
            <w:vAlign w:val="bottom"/>
          </w:tcPr>
          <w:p>
            <w:pPr>
              <w:jc w:val="right"/>
              <w:spacing w:after="0"/>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166"/>
        </w:trPr>
        <w:tc>
          <w:tcPr>
            <w:tcW w:w="900" w:type="dxa"/>
            <w:vAlign w:val="bottom"/>
          </w:tcPr>
          <w:p>
            <w:pPr>
              <w:jc w:val="right"/>
              <w:ind w:right="474"/>
              <w:spacing w:after="0"/>
              <w:rPr>
                <w:sz w:val="20"/>
                <w:szCs w:val="20"/>
                <w:color w:val="auto"/>
              </w:rPr>
            </w:pPr>
            <w:r>
              <w:rPr>
                <w:rFonts w:ascii="Arial" w:cs="Arial" w:eastAsia="Arial" w:hAnsi="Arial"/>
                <w:sz w:val="13"/>
                <w:szCs w:val="13"/>
                <w:color w:val="auto"/>
              </w:rPr>
              <w:t>7.04</w:t>
            </w:r>
          </w:p>
        </w:tc>
        <w:tc>
          <w:tcPr>
            <w:tcW w:w="3840" w:type="dxa"/>
            <w:vAlign w:val="bottom"/>
          </w:tcPr>
          <w:p>
            <w:pPr>
              <w:ind w:left="240"/>
              <w:spacing w:after="0"/>
              <w:rPr>
                <w:sz w:val="20"/>
                <w:szCs w:val="20"/>
                <w:color w:val="auto"/>
              </w:rPr>
            </w:pPr>
            <w:r>
              <w:rPr>
                <w:rFonts w:ascii="Arial" w:cs="Arial" w:eastAsia="Arial" w:hAnsi="Arial"/>
                <w:sz w:val="13"/>
                <w:szCs w:val="13"/>
                <w:color w:val="auto"/>
              </w:rPr>
              <w:t>Fundamental Changes</w:t>
            </w:r>
          </w:p>
        </w:tc>
        <w:tc>
          <w:tcPr>
            <w:tcW w:w="6760" w:type="dxa"/>
            <w:vAlign w:val="bottom"/>
          </w:tcPr>
          <w:p>
            <w:pPr>
              <w:jc w:val="right"/>
              <w:spacing w:after="0"/>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251"/>
        </w:trPr>
        <w:tc>
          <w:tcPr>
            <w:tcW w:w="900" w:type="dxa"/>
            <w:vAlign w:val="bottom"/>
          </w:tcPr>
          <w:p>
            <w:pPr>
              <w:spacing w:after="0"/>
              <w:rPr>
                <w:sz w:val="20"/>
                <w:szCs w:val="20"/>
                <w:color w:val="auto"/>
              </w:rPr>
            </w:pPr>
            <w:r>
              <w:rPr>
                <w:rFonts w:ascii="Arial" w:cs="Arial" w:eastAsia="Arial" w:hAnsi="Arial"/>
                <w:sz w:val="10"/>
                <w:szCs w:val="10"/>
                <w:color w:val="auto"/>
              </w:rPr>
              <w:t>DB1/ 97390493.6</w:t>
            </w:r>
          </w:p>
        </w:tc>
        <w:tc>
          <w:tcPr>
            <w:tcW w:w="3840" w:type="dxa"/>
            <w:vAlign w:val="bottom"/>
          </w:tcPr>
          <w:p>
            <w:pPr>
              <w:spacing w:after="0"/>
              <w:rPr>
                <w:sz w:val="21"/>
                <w:szCs w:val="21"/>
                <w:color w:val="auto"/>
              </w:rPr>
            </w:pPr>
          </w:p>
        </w:tc>
        <w:tc>
          <w:tcPr>
            <w:tcW w:w="6760" w:type="dxa"/>
            <w:vAlign w:val="bottom"/>
            <w:vMerge w:val="restart"/>
          </w:tcPr>
          <w:p>
            <w:pPr>
              <w:jc w:val="right"/>
              <w:ind w:right="5614"/>
              <w:spacing w:after="0"/>
              <w:rPr>
                <w:sz w:val="20"/>
                <w:szCs w:val="20"/>
                <w:color w:val="auto"/>
              </w:rPr>
            </w:pPr>
            <w:r>
              <w:rPr>
                <w:rFonts w:ascii="Arial" w:cs="Arial" w:eastAsia="Arial" w:hAnsi="Arial"/>
                <w:sz w:val="13"/>
                <w:szCs w:val="13"/>
                <w:color w:val="auto"/>
              </w:rPr>
              <w:t>(ii)</w:t>
            </w:r>
          </w:p>
        </w:tc>
        <w:tc>
          <w:tcPr>
            <w:tcW w:w="0" w:type="dxa"/>
            <w:vAlign w:val="bottom"/>
          </w:tcPr>
          <w:p>
            <w:pPr>
              <w:spacing w:after="0"/>
              <w:rPr>
                <w:sz w:val="1"/>
                <w:szCs w:val="1"/>
                <w:color w:val="auto"/>
              </w:rPr>
            </w:pPr>
          </w:p>
        </w:tc>
      </w:tr>
      <w:tr>
        <w:trPr>
          <w:trHeight w:val="145"/>
        </w:trPr>
        <w:tc>
          <w:tcPr>
            <w:tcW w:w="9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6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900" w:type="dxa"/>
            <w:vAlign w:val="bottom"/>
            <w:tcBorders>
              <w:bottom w:val="single" w:sz="8" w:color="9A9A9A"/>
            </w:tcBorders>
          </w:tcPr>
          <w:p>
            <w:pPr>
              <w:spacing w:after="0"/>
              <w:rPr>
                <w:sz w:val="6"/>
                <w:szCs w:val="6"/>
                <w:color w:val="auto"/>
              </w:rPr>
            </w:pPr>
          </w:p>
        </w:tc>
        <w:tc>
          <w:tcPr>
            <w:tcW w:w="3840" w:type="dxa"/>
            <w:vAlign w:val="bottom"/>
            <w:tcBorders>
              <w:bottom w:val="single" w:sz="8" w:color="9A9A9A"/>
            </w:tcBorders>
          </w:tcPr>
          <w:p>
            <w:pPr>
              <w:spacing w:after="0"/>
              <w:rPr>
                <w:sz w:val="6"/>
                <w:szCs w:val="6"/>
                <w:color w:val="auto"/>
              </w:rPr>
            </w:pPr>
          </w:p>
        </w:tc>
        <w:tc>
          <w:tcPr>
            <w:tcW w:w="676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28" w:right="1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55"/>
        </w:trPr>
        <w:tc>
          <w:tcPr>
            <w:tcW w:w="900" w:type="dxa"/>
            <w:vAlign w:val="bottom"/>
          </w:tcPr>
          <w:p>
            <w:pPr>
              <w:ind w:left="120"/>
              <w:spacing w:after="0"/>
              <w:rPr>
                <w:sz w:val="20"/>
                <w:szCs w:val="20"/>
                <w:color w:val="auto"/>
              </w:rPr>
            </w:pPr>
            <w:r>
              <w:rPr>
                <w:rFonts w:ascii="Arial" w:cs="Arial" w:eastAsia="Arial" w:hAnsi="Arial"/>
                <w:sz w:val="13"/>
                <w:szCs w:val="13"/>
                <w:color w:val="auto"/>
              </w:rPr>
              <w:t>7.05</w:t>
            </w:r>
          </w:p>
        </w:tc>
        <w:tc>
          <w:tcPr>
            <w:tcW w:w="3860" w:type="dxa"/>
            <w:vAlign w:val="bottom"/>
          </w:tcPr>
          <w:p>
            <w:pPr>
              <w:ind w:left="240"/>
              <w:spacing w:after="0"/>
              <w:rPr>
                <w:sz w:val="20"/>
                <w:szCs w:val="20"/>
                <w:color w:val="auto"/>
              </w:rPr>
            </w:pPr>
            <w:r>
              <w:rPr>
                <w:rFonts w:ascii="Arial" w:cs="Arial" w:eastAsia="Arial" w:hAnsi="Arial"/>
                <w:sz w:val="13"/>
                <w:szCs w:val="13"/>
                <w:color w:val="auto"/>
              </w:rPr>
              <w:t>Dispositions</w:t>
            </w:r>
          </w:p>
        </w:tc>
        <w:tc>
          <w:tcPr>
            <w:tcW w:w="6740" w:type="dxa"/>
            <w:vAlign w:val="bottom"/>
          </w:tcPr>
          <w:p>
            <w:pPr>
              <w:jc w:val="right"/>
              <w:spacing w:after="0"/>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7.06</w:t>
            </w:r>
          </w:p>
        </w:tc>
        <w:tc>
          <w:tcPr>
            <w:tcW w:w="3860" w:type="dxa"/>
            <w:vAlign w:val="bottom"/>
          </w:tcPr>
          <w:p>
            <w:pPr>
              <w:ind w:left="240"/>
              <w:spacing w:after="0"/>
              <w:rPr>
                <w:sz w:val="20"/>
                <w:szCs w:val="20"/>
                <w:color w:val="auto"/>
              </w:rPr>
            </w:pPr>
            <w:r>
              <w:rPr>
                <w:rFonts w:ascii="Arial" w:cs="Arial" w:eastAsia="Arial" w:hAnsi="Arial"/>
                <w:sz w:val="13"/>
                <w:szCs w:val="13"/>
                <w:color w:val="auto"/>
              </w:rPr>
              <w:t>Restricted Payments</w:t>
            </w:r>
          </w:p>
        </w:tc>
        <w:tc>
          <w:tcPr>
            <w:tcW w:w="6740" w:type="dxa"/>
            <w:vAlign w:val="bottom"/>
          </w:tcPr>
          <w:p>
            <w:pPr>
              <w:jc w:val="right"/>
              <w:spacing w:after="0"/>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7.07</w:t>
            </w:r>
          </w:p>
        </w:tc>
        <w:tc>
          <w:tcPr>
            <w:tcW w:w="3860" w:type="dxa"/>
            <w:vAlign w:val="bottom"/>
          </w:tcPr>
          <w:p>
            <w:pPr>
              <w:ind w:left="240"/>
              <w:spacing w:after="0"/>
              <w:rPr>
                <w:sz w:val="20"/>
                <w:szCs w:val="20"/>
                <w:color w:val="auto"/>
              </w:rPr>
            </w:pPr>
            <w:r>
              <w:rPr>
                <w:rFonts w:ascii="Arial" w:cs="Arial" w:eastAsia="Arial" w:hAnsi="Arial"/>
                <w:sz w:val="13"/>
                <w:szCs w:val="13"/>
                <w:color w:val="auto"/>
              </w:rPr>
              <w:t>Prepayments of Indebtedness</w:t>
            </w:r>
          </w:p>
        </w:tc>
        <w:tc>
          <w:tcPr>
            <w:tcW w:w="6740" w:type="dxa"/>
            <w:vAlign w:val="bottom"/>
          </w:tcPr>
          <w:p>
            <w:pPr>
              <w:jc w:val="right"/>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7.08</w:t>
            </w:r>
          </w:p>
        </w:tc>
        <w:tc>
          <w:tcPr>
            <w:tcW w:w="3860" w:type="dxa"/>
            <w:vAlign w:val="bottom"/>
          </w:tcPr>
          <w:p>
            <w:pPr>
              <w:ind w:left="240"/>
              <w:spacing w:after="0"/>
              <w:rPr>
                <w:sz w:val="20"/>
                <w:szCs w:val="20"/>
                <w:color w:val="auto"/>
              </w:rPr>
            </w:pPr>
            <w:r>
              <w:rPr>
                <w:rFonts w:ascii="Arial" w:cs="Arial" w:eastAsia="Arial" w:hAnsi="Arial"/>
                <w:sz w:val="13"/>
                <w:szCs w:val="13"/>
                <w:color w:val="auto"/>
              </w:rPr>
              <w:t>Change in Nature of Business.</w:t>
            </w:r>
          </w:p>
        </w:tc>
        <w:tc>
          <w:tcPr>
            <w:tcW w:w="6740" w:type="dxa"/>
            <w:vAlign w:val="bottom"/>
          </w:tcPr>
          <w:p>
            <w:pPr>
              <w:jc w:val="right"/>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7.09</w:t>
            </w:r>
          </w:p>
        </w:tc>
        <w:tc>
          <w:tcPr>
            <w:tcW w:w="3860" w:type="dxa"/>
            <w:vAlign w:val="bottom"/>
          </w:tcPr>
          <w:p>
            <w:pPr>
              <w:ind w:left="240"/>
              <w:spacing w:after="0"/>
              <w:rPr>
                <w:sz w:val="20"/>
                <w:szCs w:val="20"/>
                <w:color w:val="auto"/>
              </w:rPr>
            </w:pPr>
            <w:r>
              <w:rPr>
                <w:rFonts w:ascii="Arial" w:cs="Arial" w:eastAsia="Arial" w:hAnsi="Arial"/>
                <w:sz w:val="13"/>
                <w:szCs w:val="13"/>
                <w:color w:val="auto"/>
              </w:rPr>
              <w:t>Transactions with Affiliates</w:t>
            </w:r>
          </w:p>
        </w:tc>
        <w:tc>
          <w:tcPr>
            <w:tcW w:w="6740" w:type="dxa"/>
            <w:vAlign w:val="bottom"/>
          </w:tcPr>
          <w:p>
            <w:pPr>
              <w:jc w:val="right"/>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7.10</w:t>
            </w:r>
          </w:p>
        </w:tc>
        <w:tc>
          <w:tcPr>
            <w:tcW w:w="3860" w:type="dxa"/>
            <w:vAlign w:val="bottom"/>
          </w:tcPr>
          <w:p>
            <w:pPr>
              <w:ind w:left="240"/>
              <w:spacing w:after="0"/>
              <w:rPr>
                <w:sz w:val="20"/>
                <w:szCs w:val="20"/>
                <w:color w:val="auto"/>
              </w:rPr>
            </w:pPr>
            <w:r>
              <w:rPr>
                <w:rFonts w:ascii="Arial" w:cs="Arial" w:eastAsia="Arial" w:hAnsi="Arial"/>
                <w:sz w:val="13"/>
                <w:szCs w:val="13"/>
                <w:color w:val="auto"/>
              </w:rPr>
              <w:t>Burdensome Agreements</w:t>
            </w:r>
          </w:p>
        </w:tc>
        <w:tc>
          <w:tcPr>
            <w:tcW w:w="6740" w:type="dxa"/>
            <w:vAlign w:val="bottom"/>
          </w:tcPr>
          <w:p>
            <w:pPr>
              <w:jc w:val="right"/>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7.11</w:t>
            </w:r>
          </w:p>
        </w:tc>
        <w:tc>
          <w:tcPr>
            <w:tcW w:w="3860" w:type="dxa"/>
            <w:vAlign w:val="bottom"/>
          </w:tcPr>
          <w:p>
            <w:pPr>
              <w:ind w:left="240"/>
              <w:spacing w:after="0"/>
              <w:rPr>
                <w:sz w:val="20"/>
                <w:szCs w:val="20"/>
                <w:color w:val="auto"/>
              </w:rPr>
            </w:pPr>
            <w:r>
              <w:rPr>
                <w:rFonts w:ascii="Arial" w:cs="Arial" w:eastAsia="Arial" w:hAnsi="Arial"/>
                <w:sz w:val="13"/>
                <w:szCs w:val="13"/>
                <w:color w:val="auto"/>
              </w:rPr>
              <w:t>Use of Proceeds</w:t>
            </w:r>
          </w:p>
        </w:tc>
        <w:tc>
          <w:tcPr>
            <w:tcW w:w="6740" w:type="dxa"/>
            <w:vAlign w:val="bottom"/>
          </w:tcPr>
          <w:p>
            <w:pPr>
              <w:jc w:val="right"/>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7.12</w:t>
            </w:r>
          </w:p>
        </w:tc>
        <w:tc>
          <w:tcPr>
            <w:tcW w:w="3860" w:type="dxa"/>
            <w:vAlign w:val="bottom"/>
          </w:tcPr>
          <w:p>
            <w:pPr>
              <w:ind w:left="240"/>
              <w:spacing w:after="0"/>
              <w:rPr>
                <w:sz w:val="20"/>
                <w:szCs w:val="20"/>
                <w:color w:val="auto"/>
              </w:rPr>
            </w:pPr>
            <w:r>
              <w:rPr>
                <w:rFonts w:ascii="Arial" w:cs="Arial" w:eastAsia="Arial" w:hAnsi="Arial"/>
                <w:sz w:val="13"/>
                <w:szCs w:val="13"/>
                <w:color w:val="auto"/>
              </w:rPr>
              <w:t>Amendment of Material Documents.</w:t>
            </w:r>
          </w:p>
        </w:tc>
        <w:tc>
          <w:tcPr>
            <w:tcW w:w="6740" w:type="dxa"/>
            <w:vAlign w:val="bottom"/>
          </w:tcPr>
          <w:p>
            <w:pPr>
              <w:jc w:val="right"/>
              <w:spacing w:after="0"/>
              <w:rPr>
                <w:sz w:val="20"/>
                <w:szCs w:val="20"/>
                <w:color w:val="auto"/>
              </w:rPr>
            </w:pPr>
            <w:r>
              <w:rPr>
                <w:rFonts w:ascii="Arial" w:cs="Arial" w:eastAsia="Arial" w:hAnsi="Arial"/>
                <w:sz w:val="13"/>
                <w:szCs w:val="13"/>
                <w:color w:val="auto"/>
              </w:rPr>
              <w:t>105</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7.13</w:t>
            </w:r>
          </w:p>
        </w:tc>
        <w:tc>
          <w:tcPr>
            <w:tcW w:w="3860" w:type="dxa"/>
            <w:vAlign w:val="bottom"/>
          </w:tcPr>
          <w:p>
            <w:pPr>
              <w:ind w:left="240"/>
              <w:spacing w:after="0"/>
              <w:rPr>
                <w:sz w:val="20"/>
                <w:szCs w:val="20"/>
                <w:color w:val="auto"/>
              </w:rPr>
            </w:pPr>
            <w:r>
              <w:rPr>
                <w:rFonts w:ascii="Arial" w:cs="Arial" w:eastAsia="Arial" w:hAnsi="Arial"/>
                <w:sz w:val="13"/>
                <w:szCs w:val="13"/>
                <w:color w:val="auto"/>
              </w:rPr>
              <w:t>Fiscal Year.</w:t>
            </w:r>
          </w:p>
        </w:tc>
        <w:tc>
          <w:tcPr>
            <w:tcW w:w="6740" w:type="dxa"/>
            <w:vAlign w:val="bottom"/>
          </w:tcPr>
          <w:p>
            <w:pPr>
              <w:jc w:val="right"/>
              <w:spacing w:after="0"/>
              <w:rPr>
                <w:sz w:val="20"/>
                <w:szCs w:val="20"/>
                <w:color w:val="auto"/>
              </w:rPr>
            </w:pPr>
            <w:r>
              <w:rPr>
                <w:rFonts w:ascii="Arial" w:cs="Arial" w:eastAsia="Arial" w:hAnsi="Arial"/>
                <w:sz w:val="13"/>
                <w:szCs w:val="13"/>
                <w:color w:val="auto"/>
              </w:rPr>
              <w:t>105</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7.14</w:t>
            </w:r>
          </w:p>
        </w:tc>
        <w:tc>
          <w:tcPr>
            <w:tcW w:w="3860" w:type="dxa"/>
            <w:vAlign w:val="bottom"/>
          </w:tcPr>
          <w:p>
            <w:pPr>
              <w:ind w:left="240"/>
              <w:spacing w:after="0"/>
              <w:rPr>
                <w:sz w:val="20"/>
                <w:szCs w:val="20"/>
                <w:color w:val="auto"/>
              </w:rPr>
            </w:pPr>
            <w:r>
              <w:rPr>
                <w:rFonts w:ascii="Arial" w:cs="Arial" w:eastAsia="Arial" w:hAnsi="Arial"/>
                <w:sz w:val="13"/>
                <w:szCs w:val="13"/>
                <w:color w:val="auto"/>
              </w:rPr>
              <w:t>Deposit Accounts; Credit Card Processors.</w:t>
            </w:r>
          </w:p>
        </w:tc>
        <w:tc>
          <w:tcPr>
            <w:tcW w:w="6740" w:type="dxa"/>
            <w:vAlign w:val="bottom"/>
          </w:tcPr>
          <w:p>
            <w:pPr>
              <w:jc w:val="right"/>
              <w:spacing w:after="0"/>
              <w:rPr>
                <w:sz w:val="20"/>
                <w:szCs w:val="20"/>
                <w:color w:val="auto"/>
              </w:rPr>
            </w:pPr>
            <w:r>
              <w:rPr>
                <w:rFonts w:ascii="Arial" w:cs="Arial" w:eastAsia="Arial" w:hAnsi="Arial"/>
                <w:sz w:val="13"/>
                <w:szCs w:val="13"/>
                <w:color w:val="auto"/>
              </w:rPr>
              <w:t>105</w:t>
            </w:r>
          </w:p>
        </w:tc>
        <w:tc>
          <w:tcPr>
            <w:tcW w:w="0" w:type="dxa"/>
            <w:vAlign w:val="bottom"/>
          </w:tcPr>
          <w:p>
            <w:pPr>
              <w:spacing w:after="0"/>
              <w:rPr>
                <w:sz w:val="1"/>
                <w:szCs w:val="1"/>
                <w:color w:val="auto"/>
              </w:rPr>
            </w:pPr>
          </w:p>
        </w:tc>
      </w:tr>
      <w:tr>
        <w:trPr>
          <w:trHeight w:val="166"/>
        </w:trPr>
        <w:tc>
          <w:tcPr>
            <w:tcW w:w="900" w:type="dxa"/>
            <w:vAlign w:val="bottom"/>
          </w:tcPr>
          <w:p>
            <w:pPr>
              <w:ind w:left="120"/>
              <w:spacing w:after="0"/>
              <w:rPr>
                <w:sz w:val="20"/>
                <w:szCs w:val="20"/>
                <w:color w:val="auto"/>
              </w:rPr>
            </w:pPr>
            <w:r>
              <w:rPr>
                <w:rFonts w:ascii="Arial" w:cs="Arial" w:eastAsia="Arial" w:hAnsi="Arial"/>
                <w:sz w:val="13"/>
                <w:szCs w:val="13"/>
                <w:color w:val="auto"/>
              </w:rPr>
              <w:t>7.15</w:t>
            </w:r>
          </w:p>
        </w:tc>
        <w:tc>
          <w:tcPr>
            <w:tcW w:w="3860" w:type="dxa"/>
            <w:vAlign w:val="bottom"/>
          </w:tcPr>
          <w:p>
            <w:pPr>
              <w:ind w:left="240"/>
              <w:spacing w:after="0"/>
              <w:rPr>
                <w:sz w:val="20"/>
                <w:szCs w:val="20"/>
                <w:color w:val="auto"/>
              </w:rPr>
            </w:pPr>
            <w:r>
              <w:rPr>
                <w:rFonts w:ascii="Arial" w:cs="Arial" w:eastAsia="Arial" w:hAnsi="Arial"/>
                <w:sz w:val="13"/>
                <w:szCs w:val="13"/>
                <w:color w:val="auto"/>
              </w:rPr>
              <w:t>Financial Covenant.</w:t>
            </w:r>
          </w:p>
        </w:tc>
        <w:tc>
          <w:tcPr>
            <w:tcW w:w="6740" w:type="dxa"/>
            <w:vAlign w:val="bottom"/>
          </w:tcPr>
          <w:p>
            <w:pPr>
              <w:jc w:val="right"/>
              <w:spacing w:after="0"/>
              <w:rPr>
                <w:sz w:val="20"/>
                <w:szCs w:val="20"/>
                <w:color w:val="auto"/>
              </w:rPr>
            </w:pPr>
            <w:r>
              <w:rPr>
                <w:rFonts w:ascii="Arial" w:cs="Arial" w:eastAsia="Arial" w:hAnsi="Arial"/>
                <w:sz w:val="13"/>
                <w:szCs w:val="13"/>
                <w:color w:val="auto"/>
              </w:rPr>
              <w:t>105</w:t>
            </w:r>
          </w:p>
        </w:tc>
        <w:tc>
          <w:tcPr>
            <w:tcW w:w="0" w:type="dxa"/>
            <w:vAlign w:val="bottom"/>
          </w:tcPr>
          <w:p>
            <w:pPr>
              <w:spacing w:after="0"/>
              <w:rPr>
                <w:sz w:val="1"/>
                <w:szCs w:val="1"/>
                <w:color w:val="auto"/>
              </w:rPr>
            </w:pPr>
          </w:p>
        </w:tc>
      </w:tr>
      <w:tr>
        <w:trPr>
          <w:trHeight w:val="234"/>
        </w:trPr>
        <w:tc>
          <w:tcPr>
            <w:tcW w:w="4760" w:type="dxa"/>
            <w:vAlign w:val="bottom"/>
            <w:gridSpan w:val="2"/>
          </w:tcPr>
          <w:p>
            <w:pPr>
              <w:spacing w:after="0"/>
              <w:rPr>
                <w:sz w:val="20"/>
                <w:szCs w:val="20"/>
                <w:color w:val="auto"/>
              </w:rPr>
            </w:pPr>
            <w:r>
              <w:rPr>
                <w:rFonts w:ascii="Arial" w:cs="Arial" w:eastAsia="Arial" w:hAnsi="Arial"/>
                <w:sz w:val="13"/>
                <w:szCs w:val="13"/>
                <w:color w:val="auto"/>
              </w:rPr>
              <w:t>ARTICLE VIII EVENTS OF DEFAULT AND REMEDIES</w:t>
            </w:r>
          </w:p>
        </w:tc>
        <w:tc>
          <w:tcPr>
            <w:tcW w:w="6740" w:type="dxa"/>
            <w:vAlign w:val="bottom"/>
          </w:tcPr>
          <w:p>
            <w:pPr>
              <w:jc w:val="right"/>
              <w:spacing w:after="0"/>
              <w:rPr>
                <w:sz w:val="20"/>
                <w:szCs w:val="20"/>
                <w:color w:val="auto"/>
              </w:rPr>
            </w:pPr>
            <w:r>
              <w:rPr>
                <w:rFonts w:ascii="Arial" w:cs="Arial" w:eastAsia="Arial" w:hAnsi="Arial"/>
                <w:sz w:val="13"/>
                <w:szCs w:val="13"/>
                <w:color w:val="auto"/>
              </w:rPr>
              <w:t>105</w:t>
            </w:r>
          </w:p>
        </w:tc>
        <w:tc>
          <w:tcPr>
            <w:tcW w:w="0" w:type="dxa"/>
            <w:vAlign w:val="bottom"/>
          </w:tcPr>
          <w:p>
            <w:pPr>
              <w:spacing w:after="0"/>
              <w:rPr>
                <w:sz w:val="1"/>
                <w:szCs w:val="1"/>
                <w:color w:val="auto"/>
              </w:rPr>
            </w:pPr>
          </w:p>
        </w:tc>
      </w:tr>
      <w:tr>
        <w:trPr>
          <w:trHeight w:val="222"/>
        </w:trPr>
        <w:tc>
          <w:tcPr>
            <w:tcW w:w="900" w:type="dxa"/>
            <w:vAlign w:val="bottom"/>
          </w:tcPr>
          <w:p>
            <w:pPr>
              <w:ind w:left="120"/>
              <w:spacing w:after="0"/>
              <w:rPr>
                <w:sz w:val="20"/>
                <w:szCs w:val="20"/>
                <w:color w:val="auto"/>
              </w:rPr>
            </w:pPr>
            <w:r>
              <w:rPr>
                <w:rFonts w:ascii="Arial" w:cs="Arial" w:eastAsia="Arial" w:hAnsi="Arial"/>
                <w:sz w:val="13"/>
                <w:szCs w:val="13"/>
                <w:color w:val="auto"/>
              </w:rPr>
              <w:t>8.01</w:t>
            </w:r>
          </w:p>
        </w:tc>
        <w:tc>
          <w:tcPr>
            <w:tcW w:w="3860" w:type="dxa"/>
            <w:vAlign w:val="bottom"/>
          </w:tcPr>
          <w:p>
            <w:pPr>
              <w:ind w:left="240"/>
              <w:spacing w:after="0"/>
              <w:rPr>
                <w:sz w:val="20"/>
                <w:szCs w:val="20"/>
                <w:color w:val="auto"/>
              </w:rPr>
            </w:pPr>
            <w:r>
              <w:rPr>
                <w:rFonts w:ascii="Arial" w:cs="Arial" w:eastAsia="Arial" w:hAnsi="Arial"/>
                <w:sz w:val="13"/>
                <w:szCs w:val="13"/>
                <w:color w:val="auto"/>
              </w:rPr>
              <w:t>Events of Default</w:t>
            </w:r>
          </w:p>
        </w:tc>
        <w:tc>
          <w:tcPr>
            <w:tcW w:w="6740" w:type="dxa"/>
            <w:vAlign w:val="bottom"/>
          </w:tcPr>
          <w:p>
            <w:pPr>
              <w:jc w:val="right"/>
              <w:spacing w:after="0"/>
              <w:rPr>
                <w:sz w:val="20"/>
                <w:szCs w:val="20"/>
                <w:color w:val="auto"/>
              </w:rPr>
            </w:pPr>
            <w:r>
              <w:rPr>
                <w:rFonts w:ascii="Arial" w:cs="Arial" w:eastAsia="Arial" w:hAnsi="Arial"/>
                <w:sz w:val="13"/>
                <w:szCs w:val="13"/>
                <w:color w:val="auto"/>
              </w:rPr>
              <w:t>105</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8.02</w:t>
            </w:r>
          </w:p>
        </w:tc>
        <w:tc>
          <w:tcPr>
            <w:tcW w:w="3860" w:type="dxa"/>
            <w:vAlign w:val="bottom"/>
          </w:tcPr>
          <w:p>
            <w:pPr>
              <w:ind w:left="240"/>
              <w:spacing w:after="0"/>
              <w:rPr>
                <w:sz w:val="20"/>
                <w:szCs w:val="20"/>
                <w:color w:val="auto"/>
              </w:rPr>
            </w:pPr>
            <w:r>
              <w:rPr>
                <w:rFonts w:ascii="Arial" w:cs="Arial" w:eastAsia="Arial" w:hAnsi="Arial"/>
                <w:sz w:val="13"/>
                <w:szCs w:val="13"/>
                <w:color w:val="auto"/>
              </w:rPr>
              <w:t>Remedies Upon Event of Default</w:t>
            </w:r>
          </w:p>
        </w:tc>
        <w:tc>
          <w:tcPr>
            <w:tcW w:w="6740" w:type="dxa"/>
            <w:vAlign w:val="bottom"/>
          </w:tcPr>
          <w:p>
            <w:pPr>
              <w:jc w:val="right"/>
              <w:spacing w:after="0"/>
              <w:rPr>
                <w:sz w:val="20"/>
                <w:szCs w:val="20"/>
                <w:color w:val="auto"/>
              </w:rPr>
            </w:pPr>
            <w:r>
              <w:rPr>
                <w:rFonts w:ascii="Arial" w:cs="Arial" w:eastAsia="Arial" w:hAnsi="Arial"/>
                <w:sz w:val="13"/>
                <w:szCs w:val="13"/>
                <w:color w:val="auto"/>
              </w:rPr>
              <w:t>108</w:t>
            </w:r>
          </w:p>
        </w:tc>
        <w:tc>
          <w:tcPr>
            <w:tcW w:w="0" w:type="dxa"/>
            <w:vAlign w:val="bottom"/>
          </w:tcPr>
          <w:p>
            <w:pPr>
              <w:spacing w:after="0"/>
              <w:rPr>
                <w:sz w:val="1"/>
                <w:szCs w:val="1"/>
                <w:color w:val="auto"/>
              </w:rPr>
            </w:pPr>
          </w:p>
        </w:tc>
      </w:tr>
      <w:tr>
        <w:trPr>
          <w:trHeight w:val="166"/>
        </w:trPr>
        <w:tc>
          <w:tcPr>
            <w:tcW w:w="900" w:type="dxa"/>
            <w:vAlign w:val="bottom"/>
          </w:tcPr>
          <w:p>
            <w:pPr>
              <w:ind w:left="120"/>
              <w:spacing w:after="0"/>
              <w:rPr>
                <w:sz w:val="20"/>
                <w:szCs w:val="20"/>
                <w:color w:val="auto"/>
              </w:rPr>
            </w:pPr>
            <w:r>
              <w:rPr>
                <w:rFonts w:ascii="Arial" w:cs="Arial" w:eastAsia="Arial" w:hAnsi="Arial"/>
                <w:sz w:val="13"/>
                <w:szCs w:val="13"/>
                <w:color w:val="auto"/>
              </w:rPr>
              <w:t>8.03</w:t>
            </w:r>
          </w:p>
        </w:tc>
        <w:tc>
          <w:tcPr>
            <w:tcW w:w="3860" w:type="dxa"/>
            <w:vAlign w:val="bottom"/>
          </w:tcPr>
          <w:p>
            <w:pPr>
              <w:ind w:left="240"/>
              <w:spacing w:after="0"/>
              <w:rPr>
                <w:sz w:val="20"/>
                <w:szCs w:val="20"/>
                <w:color w:val="auto"/>
              </w:rPr>
            </w:pPr>
            <w:r>
              <w:rPr>
                <w:rFonts w:ascii="Arial" w:cs="Arial" w:eastAsia="Arial" w:hAnsi="Arial"/>
                <w:sz w:val="13"/>
                <w:szCs w:val="13"/>
                <w:color w:val="auto"/>
              </w:rPr>
              <w:t>Application of Funds</w:t>
            </w:r>
          </w:p>
        </w:tc>
        <w:tc>
          <w:tcPr>
            <w:tcW w:w="6740" w:type="dxa"/>
            <w:vAlign w:val="bottom"/>
          </w:tcPr>
          <w:p>
            <w:pPr>
              <w:jc w:val="right"/>
              <w:spacing w:after="0"/>
              <w:rPr>
                <w:sz w:val="20"/>
                <w:szCs w:val="20"/>
                <w:color w:val="auto"/>
              </w:rPr>
            </w:pPr>
            <w:r>
              <w:rPr>
                <w:rFonts w:ascii="Arial" w:cs="Arial" w:eastAsia="Arial" w:hAnsi="Arial"/>
                <w:sz w:val="13"/>
                <w:szCs w:val="13"/>
                <w:color w:val="auto"/>
              </w:rPr>
              <w:t>108</w:t>
            </w:r>
          </w:p>
        </w:tc>
        <w:tc>
          <w:tcPr>
            <w:tcW w:w="0" w:type="dxa"/>
            <w:vAlign w:val="bottom"/>
          </w:tcPr>
          <w:p>
            <w:pPr>
              <w:spacing w:after="0"/>
              <w:rPr>
                <w:sz w:val="1"/>
                <w:szCs w:val="1"/>
                <w:color w:val="auto"/>
              </w:rPr>
            </w:pPr>
          </w:p>
        </w:tc>
      </w:tr>
      <w:tr>
        <w:trPr>
          <w:trHeight w:val="234"/>
        </w:trPr>
        <w:tc>
          <w:tcPr>
            <w:tcW w:w="4760" w:type="dxa"/>
            <w:vAlign w:val="bottom"/>
            <w:gridSpan w:val="2"/>
          </w:tcPr>
          <w:p>
            <w:pPr>
              <w:spacing w:after="0"/>
              <w:rPr>
                <w:sz w:val="20"/>
                <w:szCs w:val="20"/>
                <w:color w:val="auto"/>
              </w:rPr>
            </w:pPr>
            <w:r>
              <w:rPr>
                <w:rFonts w:ascii="Arial" w:cs="Arial" w:eastAsia="Arial" w:hAnsi="Arial"/>
                <w:sz w:val="13"/>
                <w:szCs w:val="13"/>
                <w:color w:val="auto"/>
              </w:rPr>
              <w:t>ARTICLE IX THE AGENT</w:t>
            </w:r>
          </w:p>
        </w:tc>
        <w:tc>
          <w:tcPr>
            <w:tcW w:w="6740" w:type="dxa"/>
            <w:vAlign w:val="bottom"/>
          </w:tcPr>
          <w:p>
            <w:pPr>
              <w:jc w:val="right"/>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222"/>
        </w:trPr>
        <w:tc>
          <w:tcPr>
            <w:tcW w:w="900" w:type="dxa"/>
            <w:vAlign w:val="bottom"/>
          </w:tcPr>
          <w:p>
            <w:pPr>
              <w:ind w:left="120"/>
              <w:spacing w:after="0"/>
              <w:rPr>
                <w:sz w:val="20"/>
                <w:szCs w:val="20"/>
                <w:color w:val="auto"/>
              </w:rPr>
            </w:pPr>
            <w:r>
              <w:rPr>
                <w:rFonts w:ascii="Arial" w:cs="Arial" w:eastAsia="Arial" w:hAnsi="Arial"/>
                <w:sz w:val="13"/>
                <w:szCs w:val="13"/>
                <w:color w:val="auto"/>
              </w:rPr>
              <w:t>9.01</w:t>
            </w:r>
          </w:p>
        </w:tc>
        <w:tc>
          <w:tcPr>
            <w:tcW w:w="3860" w:type="dxa"/>
            <w:vAlign w:val="bottom"/>
          </w:tcPr>
          <w:p>
            <w:pPr>
              <w:ind w:left="240"/>
              <w:spacing w:after="0"/>
              <w:rPr>
                <w:sz w:val="20"/>
                <w:szCs w:val="20"/>
                <w:color w:val="auto"/>
              </w:rPr>
            </w:pPr>
            <w:r>
              <w:rPr>
                <w:rFonts w:ascii="Arial" w:cs="Arial" w:eastAsia="Arial" w:hAnsi="Arial"/>
                <w:sz w:val="13"/>
                <w:szCs w:val="13"/>
                <w:color w:val="auto"/>
              </w:rPr>
              <w:t>Appointment and Authority.</w:t>
            </w:r>
          </w:p>
        </w:tc>
        <w:tc>
          <w:tcPr>
            <w:tcW w:w="6740" w:type="dxa"/>
            <w:vAlign w:val="bottom"/>
          </w:tcPr>
          <w:p>
            <w:pPr>
              <w:jc w:val="right"/>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9.02</w:t>
            </w:r>
          </w:p>
        </w:tc>
        <w:tc>
          <w:tcPr>
            <w:tcW w:w="3860" w:type="dxa"/>
            <w:vAlign w:val="bottom"/>
          </w:tcPr>
          <w:p>
            <w:pPr>
              <w:ind w:left="240"/>
              <w:spacing w:after="0"/>
              <w:rPr>
                <w:sz w:val="20"/>
                <w:szCs w:val="20"/>
                <w:color w:val="auto"/>
              </w:rPr>
            </w:pPr>
            <w:r>
              <w:rPr>
                <w:rFonts w:ascii="Arial" w:cs="Arial" w:eastAsia="Arial" w:hAnsi="Arial"/>
                <w:sz w:val="13"/>
                <w:szCs w:val="13"/>
                <w:color w:val="auto"/>
              </w:rPr>
              <w:t>Rights as a Lender</w:t>
            </w:r>
          </w:p>
        </w:tc>
        <w:tc>
          <w:tcPr>
            <w:tcW w:w="6740" w:type="dxa"/>
            <w:vAlign w:val="bottom"/>
          </w:tcPr>
          <w:p>
            <w:pPr>
              <w:jc w:val="right"/>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9.03</w:t>
            </w:r>
          </w:p>
        </w:tc>
        <w:tc>
          <w:tcPr>
            <w:tcW w:w="3860" w:type="dxa"/>
            <w:vAlign w:val="bottom"/>
          </w:tcPr>
          <w:p>
            <w:pPr>
              <w:ind w:left="240"/>
              <w:spacing w:after="0"/>
              <w:rPr>
                <w:sz w:val="20"/>
                <w:szCs w:val="20"/>
                <w:color w:val="auto"/>
              </w:rPr>
            </w:pPr>
            <w:r>
              <w:rPr>
                <w:rFonts w:ascii="Arial" w:cs="Arial" w:eastAsia="Arial" w:hAnsi="Arial"/>
                <w:sz w:val="13"/>
                <w:szCs w:val="13"/>
                <w:color w:val="auto"/>
              </w:rPr>
              <w:t>Exculpatory Provisions</w:t>
            </w:r>
          </w:p>
        </w:tc>
        <w:tc>
          <w:tcPr>
            <w:tcW w:w="6740" w:type="dxa"/>
            <w:vAlign w:val="bottom"/>
          </w:tcPr>
          <w:p>
            <w:pPr>
              <w:jc w:val="right"/>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9.04</w:t>
            </w:r>
          </w:p>
        </w:tc>
        <w:tc>
          <w:tcPr>
            <w:tcW w:w="3860" w:type="dxa"/>
            <w:vAlign w:val="bottom"/>
          </w:tcPr>
          <w:p>
            <w:pPr>
              <w:ind w:left="240"/>
              <w:spacing w:after="0"/>
              <w:rPr>
                <w:sz w:val="20"/>
                <w:szCs w:val="20"/>
                <w:color w:val="auto"/>
              </w:rPr>
            </w:pPr>
            <w:r>
              <w:rPr>
                <w:rFonts w:ascii="Arial" w:cs="Arial" w:eastAsia="Arial" w:hAnsi="Arial"/>
                <w:sz w:val="13"/>
                <w:szCs w:val="13"/>
                <w:color w:val="auto"/>
              </w:rPr>
              <w:t>Reliance by Agent.</w:t>
            </w:r>
          </w:p>
        </w:tc>
        <w:tc>
          <w:tcPr>
            <w:tcW w:w="6740" w:type="dxa"/>
            <w:vAlign w:val="bottom"/>
          </w:tcPr>
          <w:p>
            <w:pPr>
              <w:jc w:val="right"/>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9.05</w:t>
            </w:r>
          </w:p>
        </w:tc>
        <w:tc>
          <w:tcPr>
            <w:tcW w:w="3860" w:type="dxa"/>
            <w:vAlign w:val="bottom"/>
          </w:tcPr>
          <w:p>
            <w:pPr>
              <w:ind w:left="240"/>
              <w:spacing w:after="0"/>
              <w:rPr>
                <w:sz w:val="20"/>
                <w:szCs w:val="20"/>
                <w:color w:val="auto"/>
              </w:rPr>
            </w:pPr>
            <w:r>
              <w:rPr>
                <w:rFonts w:ascii="Arial" w:cs="Arial" w:eastAsia="Arial" w:hAnsi="Arial"/>
                <w:sz w:val="13"/>
                <w:szCs w:val="13"/>
                <w:color w:val="auto"/>
              </w:rPr>
              <w:t>Delegation of Duties</w:t>
            </w:r>
          </w:p>
        </w:tc>
        <w:tc>
          <w:tcPr>
            <w:tcW w:w="6740" w:type="dxa"/>
            <w:vAlign w:val="bottom"/>
          </w:tcPr>
          <w:p>
            <w:pPr>
              <w:jc w:val="right"/>
              <w:spacing w:after="0"/>
              <w:rPr>
                <w:sz w:val="20"/>
                <w:szCs w:val="20"/>
                <w:color w:val="auto"/>
              </w:rPr>
            </w:pPr>
            <w:r>
              <w:rPr>
                <w:rFonts w:ascii="Arial" w:cs="Arial" w:eastAsia="Arial" w:hAnsi="Arial"/>
                <w:sz w:val="13"/>
                <w:szCs w:val="13"/>
                <w:color w:val="auto"/>
              </w:rPr>
              <w:t>112</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9.06</w:t>
            </w:r>
          </w:p>
        </w:tc>
        <w:tc>
          <w:tcPr>
            <w:tcW w:w="3860" w:type="dxa"/>
            <w:vAlign w:val="bottom"/>
          </w:tcPr>
          <w:p>
            <w:pPr>
              <w:ind w:left="240"/>
              <w:spacing w:after="0"/>
              <w:rPr>
                <w:sz w:val="20"/>
                <w:szCs w:val="20"/>
                <w:color w:val="auto"/>
              </w:rPr>
            </w:pPr>
            <w:r>
              <w:rPr>
                <w:rFonts w:ascii="Arial" w:cs="Arial" w:eastAsia="Arial" w:hAnsi="Arial"/>
                <w:sz w:val="13"/>
                <w:szCs w:val="13"/>
                <w:color w:val="auto"/>
              </w:rPr>
              <w:t>Resignation of Agent</w:t>
            </w:r>
          </w:p>
        </w:tc>
        <w:tc>
          <w:tcPr>
            <w:tcW w:w="6740" w:type="dxa"/>
            <w:vAlign w:val="bottom"/>
          </w:tcPr>
          <w:p>
            <w:pPr>
              <w:jc w:val="right"/>
              <w:spacing w:after="0"/>
              <w:rPr>
                <w:sz w:val="20"/>
                <w:szCs w:val="20"/>
                <w:color w:val="auto"/>
              </w:rPr>
            </w:pPr>
            <w:r>
              <w:rPr>
                <w:rFonts w:ascii="Arial" w:cs="Arial" w:eastAsia="Arial" w:hAnsi="Arial"/>
                <w:sz w:val="13"/>
                <w:szCs w:val="13"/>
                <w:color w:val="auto"/>
              </w:rPr>
              <w:t>112</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9.07</w:t>
            </w:r>
          </w:p>
        </w:tc>
        <w:tc>
          <w:tcPr>
            <w:tcW w:w="3860" w:type="dxa"/>
            <w:vAlign w:val="bottom"/>
          </w:tcPr>
          <w:p>
            <w:pPr>
              <w:ind w:left="240"/>
              <w:spacing w:after="0"/>
              <w:rPr>
                <w:sz w:val="20"/>
                <w:szCs w:val="20"/>
                <w:color w:val="auto"/>
              </w:rPr>
            </w:pPr>
            <w:r>
              <w:rPr>
                <w:rFonts w:ascii="Arial" w:cs="Arial" w:eastAsia="Arial" w:hAnsi="Arial"/>
                <w:sz w:val="13"/>
                <w:szCs w:val="13"/>
                <w:color w:val="auto"/>
              </w:rPr>
              <w:t>Non-Reliance on Agent and Other Lenders</w:t>
            </w:r>
          </w:p>
        </w:tc>
        <w:tc>
          <w:tcPr>
            <w:tcW w:w="6740" w:type="dxa"/>
            <w:vAlign w:val="bottom"/>
          </w:tcPr>
          <w:p>
            <w:pPr>
              <w:jc w:val="right"/>
              <w:spacing w:after="0"/>
              <w:rPr>
                <w:sz w:val="20"/>
                <w:szCs w:val="20"/>
                <w:color w:val="auto"/>
              </w:rPr>
            </w:pPr>
            <w:r>
              <w:rPr>
                <w:rFonts w:ascii="Arial" w:cs="Arial" w:eastAsia="Arial" w:hAnsi="Arial"/>
                <w:sz w:val="13"/>
                <w:szCs w:val="13"/>
                <w:color w:val="auto"/>
              </w:rPr>
              <w:t>112</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9.08</w:t>
            </w:r>
          </w:p>
        </w:tc>
        <w:tc>
          <w:tcPr>
            <w:tcW w:w="3860" w:type="dxa"/>
            <w:vAlign w:val="bottom"/>
          </w:tcPr>
          <w:p>
            <w:pPr>
              <w:ind w:left="240"/>
              <w:spacing w:after="0"/>
              <w:rPr>
                <w:sz w:val="20"/>
                <w:szCs w:val="20"/>
                <w:color w:val="auto"/>
              </w:rPr>
            </w:pPr>
            <w:r>
              <w:rPr>
                <w:rFonts w:ascii="Arial" w:cs="Arial" w:eastAsia="Arial" w:hAnsi="Arial"/>
                <w:sz w:val="13"/>
                <w:szCs w:val="13"/>
                <w:color w:val="auto"/>
              </w:rPr>
              <w:t>No Other Duties, Etc.</w:t>
            </w:r>
          </w:p>
        </w:tc>
        <w:tc>
          <w:tcPr>
            <w:tcW w:w="6740" w:type="dxa"/>
            <w:vAlign w:val="bottom"/>
          </w:tcPr>
          <w:p>
            <w:pPr>
              <w:jc w:val="right"/>
              <w:spacing w:after="0"/>
              <w:rPr>
                <w:sz w:val="20"/>
                <w:szCs w:val="20"/>
                <w:color w:val="auto"/>
              </w:rPr>
            </w:pPr>
            <w:r>
              <w:rPr>
                <w:rFonts w:ascii="Arial" w:cs="Arial" w:eastAsia="Arial" w:hAnsi="Arial"/>
                <w:sz w:val="13"/>
                <w:szCs w:val="13"/>
                <w:color w:val="auto"/>
              </w:rPr>
              <w:t>113</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9.09</w:t>
            </w:r>
          </w:p>
        </w:tc>
        <w:tc>
          <w:tcPr>
            <w:tcW w:w="3860" w:type="dxa"/>
            <w:vAlign w:val="bottom"/>
          </w:tcPr>
          <w:p>
            <w:pPr>
              <w:ind w:left="240"/>
              <w:spacing w:after="0"/>
              <w:rPr>
                <w:sz w:val="20"/>
                <w:szCs w:val="20"/>
                <w:color w:val="auto"/>
              </w:rPr>
            </w:pPr>
            <w:r>
              <w:rPr>
                <w:rFonts w:ascii="Arial" w:cs="Arial" w:eastAsia="Arial" w:hAnsi="Arial"/>
                <w:sz w:val="13"/>
                <w:szCs w:val="13"/>
                <w:color w:val="auto"/>
              </w:rPr>
              <w:t>Agent May File Proofs of Claim</w:t>
            </w:r>
          </w:p>
        </w:tc>
        <w:tc>
          <w:tcPr>
            <w:tcW w:w="6740" w:type="dxa"/>
            <w:vAlign w:val="bottom"/>
          </w:tcPr>
          <w:p>
            <w:pPr>
              <w:jc w:val="right"/>
              <w:spacing w:after="0"/>
              <w:rPr>
                <w:sz w:val="20"/>
                <w:szCs w:val="20"/>
                <w:color w:val="auto"/>
              </w:rPr>
            </w:pPr>
            <w:r>
              <w:rPr>
                <w:rFonts w:ascii="Arial" w:cs="Arial" w:eastAsia="Arial" w:hAnsi="Arial"/>
                <w:sz w:val="13"/>
                <w:szCs w:val="13"/>
                <w:color w:val="auto"/>
              </w:rPr>
              <w:t>113</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9.10</w:t>
            </w:r>
          </w:p>
        </w:tc>
        <w:tc>
          <w:tcPr>
            <w:tcW w:w="3860" w:type="dxa"/>
            <w:vAlign w:val="bottom"/>
          </w:tcPr>
          <w:p>
            <w:pPr>
              <w:ind w:left="240"/>
              <w:spacing w:after="0"/>
              <w:rPr>
                <w:sz w:val="20"/>
                <w:szCs w:val="20"/>
                <w:color w:val="auto"/>
              </w:rPr>
            </w:pPr>
            <w:r>
              <w:rPr>
                <w:rFonts w:ascii="Arial" w:cs="Arial" w:eastAsia="Arial" w:hAnsi="Arial"/>
                <w:sz w:val="13"/>
                <w:szCs w:val="13"/>
                <w:color w:val="auto"/>
              </w:rPr>
              <w:t>Collateral and Guaranty Matters.</w:t>
            </w:r>
          </w:p>
        </w:tc>
        <w:tc>
          <w:tcPr>
            <w:tcW w:w="6740" w:type="dxa"/>
            <w:vAlign w:val="bottom"/>
          </w:tcPr>
          <w:p>
            <w:pPr>
              <w:jc w:val="right"/>
              <w:spacing w:after="0"/>
              <w:rPr>
                <w:sz w:val="20"/>
                <w:szCs w:val="20"/>
                <w:color w:val="auto"/>
              </w:rPr>
            </w:pPr>
            <w:r>
              <w:rPr>
                <w:rFonts w:ascii="Arial" w:cs="Arial" w:eastAsia="Arial" w:hAnsi="Arial"/>
                <w:sz w:val="13"/>
                <w:szCs w:val="13"/>
                <w:color w:val="auto"/>
              </w:rPr>
              <w:t>113</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9.11</w:t>
            </w:r>
          </w:p>
        </w:tc>
        <w:tc>
          <w:tcPr>
            <w:tcW w:w="3860" w:type="dxa"/>
            <w:vAlign w:val="bottom"/>
          </w:tcPr>
          <w:p>
            <w:pPr>
              <w:ind w:left="240"/>
              <w:spacing w:after="0"/>
              <w:rPr>
                <w:sz w:val="20"/>
                <w:szCs w:val="20"/>
                <w:color w:val="auto"/>
              </w:rPr>
            </w:pPr>
            <w:r>
              <w:rPr>
                <w:rFonts w:ascii="Arial" w:cs="Arial" w:eastAsia="Arial" w:hAnsi="Arial"/>
                <w:sz w:val="13"/>
                <w:szCs w:val="13"/>
                <w:color w:val="auto"/>
              </w:rPr>
              <w:t>Notice of Transfer.</w:t>
            </w:r>
          </w:p>
        </w:tc>
        <w:tc>
          <w:tcPr>
            <w:tcW w:w="6740" w:type="dxa"/>
            <w:vAlign w:val="bottom"/>
          </w:tcPr>
          <w:p>
            <w:pPr>
              <w:jc w:val="right"/>
              <w:spacing w:after="0"/>
              <w:rPr>
                <w:sz w:val="20"/>
                <w:szCs w:val="20"/>
                <w:color w:val="auto"/>
              </w:rPr>
            </w:pPr>
            <w:r>
              <w:rPr>
                <w:rFonts w:ascii="Arial" w:cs="Arial" w:eastAsia="Arial" w:hAnsi="Arial"/>
                <w:sz w:val="13"/>
                <w:szCs w:val="13"/>
                <w:color w:val="auto"/>
              </w:rPr>
              <w:t>114</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9.12</w:t>
            </w:r>
          </w:p>
        </w:tc>
        <w:tc>
          <w:tcPr>
            <w:tcW w:w="3860" w:type="dxa"/>
            <w:vAlign w:val="bottom"/>
          </w:tcPr>
          <w:p>
            <w:pPr>
              <w:ind w:left="240"/>
              <w:spacing w:after="0"/>
              <w:rPr>
                <w:sz w:val="20"/>
                <w:szCs w:val="20"/>
                <w:color w:val="auto"/>
              </w:rPr>
            </w:pPr>
            <w:r>
              <w:rPr>
                <w:rFonts w:ascii="Arial" w:cs="Arial" w:eastAsia="Arial" w:hAnsi="Arial"/>
                <w:sz w:val="13"/>
                <w:szCs w:val="13"/>
                <w:color w:val="auto"/>
              </w:rPr>
              <w:t>Reports and Financial Statements.</w:t>
            </w:r>
          </w:p>
        </w:tc>
        <w:tc>
          <w:tcPr>
            <w:tcW w:w="6740" w:type="dxa"/>
            <w:vAlign w:val="bottom"/>
          </w:tcPr>
          <w:p>
            <w:pPr>
              <w:jc w:val="right"/>
              <w:spacing w:after="0"/>
              <w:rPr>
                <w:sz w:val="20"/>
                <w:szCs w:val="20"/>
                <w:color w:val="auto"/>
              </w:rPr>
            </w:pPr>
            <w:r>
              <w:rPr>
                <w:rFonts w:ascii="Arial" w:cs="Arial" w:eastAsia="Arial" w:hAnsi="Arial"/>
                <w:sz w:val="13"/>
                <w:szCs w:val="13"/>
                <w:color w:val="auto"/>
              </w:rPr>
              <w:t>114</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9.13</w:t>
            </w:r>
          </w:p>
        </w:tc>
        <w:tc>
          <w:tcPr>
            <w:tcW w:w="3860" w:type="dxa"/>
            <w:vAlign w:val="bottom"/>
          </w:tcPr>
          <w:p>
            <w:pPr>
              <w:ind w:left="240"/>
              <w:spacing w:after="0"/>
              <w:rPr>
                <w:sz w:val="20"/>
                <w:szCs w:val="20"/>
                <w:color w:val="auto"/>
              </w:rPr>
            </w:pPr>
            <w:r>
              <w:rPr>
                <w:rFonts w:ascii="Arial" w:cs="Arial" w:eastAsia="Arial" w:hAnsi="Arial"/>
                <w:sz w:val="13"/>
                <w:szCs w:val="13"/>
                <w:color w:val="auto"/>
              </w:rPr>
              <w:t>Agency for Perfection.</w:t>
            </w:r>
          </w:p>
        </w:tc>
        <w:tc>
          <w:tcPr>
            <w:tcW w:w="6740" w:type="dxa"/>
            <w:vAlign w:val="bottom"/>
          </w:tcPr>
          <w:p>
            <w:pPr>
              <w:jc w:val="right"/>
              <w:spacing w:after="0"/>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9.14</w:t>
            </w:r>
          </w:p>
        </w:tc>
        <w:tc>
          <w:tcPr>
            <w:tcW w:w="3860" w:type="dxa"/>
            <w:vAlign w:val="bottom"/>
          </w:tcPr>
          <w:p>
            <w:pPr>
              <w:ind w:left="240"/>
              <w:spacing w:after="0"/>
              <w:rPr>
                <w:sz w:val="20"/>
                <w:szCs w:val="20"/>
                <w:color w:val="auto"/>
              </w:rPr>
            </w:pPr>
            <w:r>
              <w:rPr>
                <w:rFonts w:ascii="Arial" w:cs="Arial" w:eastAsia="Arial" w:hAnsi="Arial"/>
                <w:sz w:val="13"/>
                <w:szCs w:val="13"/>
                <w:color w:val="auto"/>
              </w:rPr>
              <w:t>Indemnification of Agent</w:t>
            </w:r>
          </w:p>
        </w:tc>
        <w:tc>
          <w:tcPr>
            <w:tcW w:w="6740" w:type="dxa"/>
            <w:vAlign w:val="bottom"/>
          </w:tcPr>
          <w:p>
            <w:pPr>
              <w:jc w:val="right"/>
              <w:spacing w:after="0"/>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166"/>
        </w:trPr>
        <w:tc>
          <w:tcPr>
            <w:tcW w:w="900" w:type="dxa"/>
            <w:vAlign w:val="bottom"/>
          </w:tcPr>
          <w:p>
            <w:pPr>
              <w:ind w:left="120"/>
              <w:spacing w:after="0"/>
              <w:rPr>
                <w:sz w:val="20"/>
                <w:szCs w:val="20"/>
                <w:color w:val="auto"/>
              </w:rPr>
            </w:pPr>
            <w:r>
              <w:rPr>
                <w:rFonts w:ascii="Arial" w:cs="Arial" w:eastAsia="Arial" w:hAnsi="Arial"/>
                <w:sz w:val="13"/>
                <w:szCs w:val="13"/>
                <w:color w:val="auto"/>
              </w:rPr>
              <w:t>9.15</w:t>
            </w:r>
          </w:p>
        </w:tc>
        <w:tc>
          <w:tcPr>
            <w:tcW w:w="3860" w:type="dxa"/>
            <w:vAlign w:val="bottom"/>
          </w:tcPr>
          <w:p>
            <w:pPr>
              <w:ind w:left="240"/>
              <w:spacing w:after="0"/>
              <w:rPr>
                <w:sz w:val="20"/>
                <w:szCs w:val="20"/>
                <w:color w:val="auto"/>
              </w:rPr>
            </w:pPr>
            <w:r>
              <w:rPr>
                <w:rFonts w:ascii="Arial" w:cs="Arial" w:eastAsia="Arial" w:hAnsi="Arial"/>
                <w:sz w:val="13"/>
                <w:szCs w:val="13"/>
                <w:color w:val="auto"/>
              </w:rPr>
              <w:t>Relation among Lenders</w:t>
            </w:r>
          </w:p>
        </w:tc>
        <w:tc>
          <w:tcPr>
            <w:tcW w:w="6740" w:type="dxa"/>
            <w:vAlign w:val="bottom"/>
          </w:tcPr>
          <w:p>
            <w:pPr>
              <w:jc w:val="right"/>
              <w:spacing w:after="0"/>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234"/>
        </w:trPr>
        <w:tc>
          <w:tcPr>
            <w:tcW w:w="4760" w:type="dxa"/>
            <w:vAlign w:val="bottom"/>
            <w:gridSpan w:val="2"/>
          </w:tcPr>
          <w:p>
            <w:pPr>
              <w:spacing w:after="0"/>
              <w:rPr>
                <w:sz w:val="20"/>
                <w:szCs w:val="20"/>
                <w:color w:val="auto"/>
              </w:rPr>
            </w:pPr>
            <w:r>
              <w:rPr>
                <w:rFonts w:ascii="Arial" w:cs="Arial" w:eastAsia="Arial" w:hAnsi="Arial"/>
                <w:sz w:val="13"/>
                <w:szCs w:val="13"/>
                <w:color w:val="auto"/>
              </w:rPr>
              <w:t>ARTICLE X MISCELLANEOUS</w:t>
            </w:r>
          </w:p>
        </w:tc>
        <w:tc>
          <w:tcPr>
            <w:tcW w:w="6740" w:type="dxa"/>
            <w:vAlign w:val="bottom"/>
          </w:tcPr>
          <w:p>
            <w:pPr>
              <w:jc w:val="right"/>
              <w:spacing w:after="0"/>
              <w:rPr>
                <w:sz w:val="20"/>
                <w:szCs w:val="20"/>
                <w:color w:val="auto"/>
              </w:rPr>
            </w:pPr>
            <w:r>
              <w:rPr>
                <w:rFonts w:ascii="Arial" w:cs="Arial" w:eastAsia="Arial" w:hAnsi="Arial"/>
                <w:sz w:val="13"/>
                <w:szCs w:val="13"/>
                <w:color w:val="auto"/>
              </w:rPr>
              <w:t>116</w:t>
            </w:r>
          </w:p>
        </w:tc>
        <w:tc>
          <w:tcPr>
            <w:tcW w:w="0" w:type="dxa"/>
            <w:vAlign w:val="bottom"/>
          </w:tcPr>
          <w:p>
            <w:pPr>
              <w:spacing w:after="0"/>
              <w:rPr>
                <w:sz w:val="1"/>
                <w:szCs w:val="1"/>
                <w:color w:val="auto"/>
              </w:rPr>
            </w:pPr>
          </w:p>
        </w:tc>
      </w:tr>
      <w:tr>
        <w:trPr>
          <w:trHeight w:val="222"/>
        </w:trPr>
        <w:tc>
          <w:tcPr>
            <w:tcW w:w="900" w:type="dxa"/>
            <w:vAlign w:val="bottom"/>
          </w:tcPr>
          <w:p>
            <w:pPr>
              <w:ind w:left="120"/>
              <w:spacing w:after="0"/>
              <w:rPr>
                <w:sz w:val="20"/>
                <w:szCs w:val="20"/>
                <w:color w:val="auto"/>
              </w:rPr>
            </w:pPr>
            <w:r>
              <w:rPr>
                <w:rFonts w:ascii="Arial" w:cs="Arial" w:eastAsia="Arial" w:hAnsi="Arial"/>
                <w:sz w:val="13"/>
                <w:szCs w:val="13"/>
                <w:color w:val="auto"/>
              </w:rPr>
              <w:t>10.01</w:t>
            </w:r>
          </w:p>
        </w:tc>
        <w:tc>
          <w:tcPr>
            <w:tcW w:w="3860" w:type="dxa"/>
            <w:vAlign w:val="bottom"/>
          </w:tcPr>
          <w:p>
            <w:pPr>
              <w:ind w:left="240"/>
              <w:spacing w:after="0"/>
              <w:rPr>
                <w:sz w:val="20"/>
                <w:szCs w:val="20"/>
                <w:color w:val="auto"/>
              </w:rPr>
            </w:pPr>
            <w:r>
              <w:rPr>
                <w:rFonts w:ascii="Arial" w:cs="Arial" w:eastAsia="Arial" w:hAnsi="Arial"/>
                <w:sz w:val="13"/>
                <w:szCs w:val="13"/>
                <w:color w:val="auto"/>
              </w:rPr>
              <w:t>Amendments, Etc.</w:t>
            </w:r>
          </w:p>
        </w:tc>
        <w:tc>
          <w:tcPr>
            <w:tcW w:w="6740" w:type="dxa"/>
            <w:vAlign w:val="bottom"/>
          </w:tcPr>
          <w:p>
            <w:pPr>
              <w:jc w:val="right"/>
              <w:spacing w:after="0"/>
              <w:rPr>
                <w:sz w:val="20"/>
                <w:szCs w:val="20"/>
                <w:color w:val="auto"/>
              </w:rPr>
            </w:pPr>
            <w:r>
              <w:rPr>
                <w:rFonts w:ascii="Arial" w:cs="Arial" w:eastAsia="Arial" w:hAnsi="Arial"/>
                <w:sz w:val="13"/>
                <w:szCs w:val="13"/>
                <w:color w:val="auto"/>
              </w:rPr>
              <w:t>116</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10.02</w:t>
            </w:r>
          </w:p>
        </w:tc>
        <w:tc>
          <w:tcPr>
            <w:tcW w:w="3860" w:type="dxa"/>
            <w:vAlign w:val="bottom"/>
          </w:tcPr>
          <w:p>
            <w:pPr>
              <w:ind w:left="240"/>
              <w:spacing w:after="0"/>
              <w:rPr>
                <w:sz w:val="20"/>
                <w:szCs w:val="20"/>
                <w:color w:val="auto"/>
              </w:rPr>
            </w:pPr>
            <w:r>
              <w:rPr>
                <w:rFonts w:ascii="Arial" w:cs="Arial" w:eastAsia="Arial" w:hAnsi="Arial"/>
                <w:sz w:val="13"/>
                <w:szCs w:val="13"/>
                <w:color w:val="auto"/>
              </w:rPr>
              <w:t>Notices; Effectiveness; Electronic Communications.</w:t>
            </w:r>
          </w:p>
        </w:tc>
        <w:tc>
          <w:tcPr>
            <w:tcW w:w="6740" w:type="dxa"/>
            <w:vAlign w:val="bottom"/>
          </w:tcPr>
          <w:p>
            <w:pPr>
              <w:jc w:val="right"/>
              <w:spacing w:after="0"/>
              <w:rPr>
                <w:sz w:val="20"/>
                <w:szCs w:val="20"/>
                <w:color w:val="auto"/>
              </w:rPr>
            </w:pPr>
            <w:r>
              <w:rPr>
                <w:rFonts w:ascii="Arial" w:cs="Arial" w:eastAsia="Arial" w:hAnsi="Arial"/>
                <w:sz w:val="13"/>
                <w:szCs w:val="13"/>
                <w:color w:val="auto"/>
              </w:rPr>
              <w:t>118</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10.03</w:t>
            </w:r>
          </w:p>
        </w:tc>
        <w:tc>
          <w:tcPr>
            <w:tcW w:w="3860" w:type="dxa"/>
            <w:vAlign w:val="bottom"/>
          </w:tcPr>
          <w:p>
            <w:pPr>
              <w:ind w:left="240"/>
              <w:spacing w:after="0"/>
              <w:rPr>
                <w:sz w:val="20"/>
                <w:szCs w:val="20"/>
                <w:color w:val="auto"/>
              </w:rPr>
            </w:pPr>
            <w:r>
              <w:rPr>
                <w:rFonts w:ascii="Arial" w:cs="Arial" w:eastAsia="Arial" w:hAnsi="Arial"/>
                <w:sz w:val="13"/>
                <w:szCs w:val="13"/>
                <w:color w:val="auto"/>
              </w:rPr>
              <w:t>No Waiver; Cumulative Remedies</w:t>
            </w:r>
          </w:p>
        </w:tc>
        <w:tc>
          <w:tcPr>
            <w:tcW w:w="6740" w:type="dxa"/>
            <w:vAlign w:val="bottom"/>
          </w:tcPr>
          <w:p>
            <w:pPr>
              <w:jc w:val="right"/>
              <w:spacing w:after="0"/>
              <w:rPr>
                <w:sz w:val="20"/>
                <w:szCs w:val="20"/>
                <w:color w:val="auto"/>
              </w:rPr>
            </w:pPr>
            <w:r>
              <w:rPr>
                <w:rFonts w:ascii="Arial" w:cs="Arial" w:eastAsia="Arial" w:hAnsi="Arial"/>
                <w:sz w:val="13"/>
                <w:szCs w:val="13"/>
                <w:color w:val="auto"/>
              </w:rPr>
              <w:t>119</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10.04</w:t>
            </w:r>
          </w:p>
        </w:tc>
        <w:tc>
          <w:tcPr>
            <w:tcW w:w="3860" w:type="dxa"/>
            <w:vAlign w:val="bottom"/>
          </w:tcPr>
          <w:p>
            <w:pPr>
              <w:ind w:left="240"/>
              <w:spacing w:after="0"/>
              <w:rPr>
                <w:sz w:val="20"/>
                <w:szCs w:val="20"/>
                <w:color w:val="auto"/>
              </w:rPr>
            </w:pPr>
            <w:r>
              <w:rPr>
                <w:rFonts w:ascii="Arial" w:cs="Arial" w:eastAsia="Arial" w:hAnsi="Arial"/>
                <w:sz w:val="13"/>
                <w:szCs w:val="13"/>
                <w:color w:val="auto"/>
              </w:rPr>
              <w:t>Expenses; Indemnity; Damage Waiver</w:t>
            </w:r>
          </w:p>
        </w:tc>
        <w:tc>
          <w:tcPr>
            <w:tcW w:w="6740" w:type="dxa"/>
            <w:vAlign w:val="bottom"/>
          </w:tcPr>
          <w:p>
            <w:pPr>
              <w:jc w:val="right"/>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10.05</w:t>
            </w:r>
          </w:p>
        </w:tc>
        <w:tc>
          <w:tcPr>
            <w:tcW w:w="3860" w:type="dxa"/>
            <w:vAlign w:val="bottom"/>
          </w:tcPr>
          <w:p>
            <w:pPr>
              <w:ind w:left="240"/>
              <w:spacing w:after="0"/>
              <w:rPr>
                <w:sz w:val="20"/>
                <w:szCs w:val="20"/>
                <w:color w:val="auto"/>
              </w:rPr>
            </w:pPr>
            <w:r>
              <w:rPr>
                <w:rFonts w:ascii="Arial" w:cs="Arial" w:eastAsia="Arial" w:hAnsi="Arial"/>
                <w:sz w:val="13"/>
                <w:szCs w:val="13"/>
                <w:color w:val="auto"/>
              </w:rPr>
              <w:t>Payments Set Aside</w:t>
            </w:r>
          </w:p>
        </w:tc>
        <w:tc>
          <w:tcPr>
            <w:tcW w:w="6740" w:type="dxa"/>
            <w:vAlign w:val="bottom"/>
          </w:tcPr>
          <w:p>
            <w:pPr>
              <w:jc w:val="right"/>
              <w:spacing w:after="0"/>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10.06</w:t>
            </w:r>
          </w:p>
        </w:tc>
        <w:tc>
          <w:tcPr>
            <w:tcW w:w="3860" w:type="dxa"/>
            <w:vAlign w:val="bottom"/>
          </w:tcPr>
          <w:p>
            <w:pPr>
              <w:ind w:left="240"/>
              <w:spacing w:after="0"/>
              <w:rPr>
                <w:sz w:val="20"/>
                <w:szCs w:val="20"/>
                <w:color w:val="auto"/>
              </w:rPr>
            </w:pPr>
            <w:r>
              <w:rPr>
                <w:rFonts w:ascii="Arial" w:cs="Arial" w:eastAsia="Arial" w:hAnsi="Arial"/>
                <w:sz w:val="13"/>
                <w:szCs w:val="13"/>
                <w:color w:val="auto"/>
              </w:rPr>
              <w:t>Successors and Assigns.</w:t>
            </w:r>
          </w:p>
        </w:tc>
        <w:tc>
          <w:tcPr>
            <w:tcW w:w="6740" w:type="dxa"/>
            <w:vAlign w:val="bottom"/>
          </w:tcPr>
          <w:p>
            <w:pPr>
              <w:jc w:val="right"/>
              <w:spacing w:after="0"/>
              <w:rPr>
                <w:sz w:val="20"/>
                <w:szCs w:val="20"/>
                <w:color w:val="auto"/>
              </w:rPr>
            </w:pPr>
            <w:r>
              <w:rPr>
                <w:rFonts w:ascii="Arial" w:cs="Arial" w:eastAsia="Arial" w:hAnsi="Arial"/>
                <w:sz w:val="13"/>
                <w:szCs w:val="13"/>
                <w:color w:val="auto"/>
              </w:rPr>
              <w:t>122</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10.07</w:t>
            </w:r>
          </w:p>
        </w:tc>
        <w:tc>
          <w:tcPr>
            <w:tcW w:w="3860" w:type="dxa"/>
            <w:vAlign w:val="bottom"/>
          </w:tcPr>
          <w:p>
            <w:pPr>
              <w:ind w:left="240"/>
              <w:spacing w:after="0"/>
              <w:rPr>
                <w:sz w:val="20"/>
                <w:szCs w:val="20"/>
                <w:color w:val="auto"/>
              </w:rPr>
            </w:pPr>
            <w:r>
              <w:rPr>
                <w:rFonts w:ascii="Arial" w:cs="Arial" w:eastAsia="Arial" w:hAnsi="Arial"/>
                <w:sz w:val="13"/>
                <w:szCs w:val="13"/>
                <w:color w:val="auto"/>
              </w:rPr>
              <w:t>Treatment of Certain Information; Confidentiality</w:t>
            </w:r>
          </w:p>
        </w:tc>
        <w:tc>
          <w:tcPr>
            <w:tcW w:w="6740" w:type="dxa"/>
            <w:vAlign w:val="bottom"/>
          </w:tcPr>
          <w:p>
            <w:pPr>
              <w:jc w:val="right"/>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10.08</w:t>
            </w:r>
          </w:p>
        </w:tc>
        <w:tc>
          <w:tcPr>
            <w:tcW w:w="3860" w:type="dxa"/>
            <w:vAlign w:val="bottom"/>
          </w:tcPr>
          <w:p>
            <w:pPr>
              <w:ind w:left="240"/>
              <w:spacing w:after="0"/>
              <w:rPr>
                <w:sz w:val="20"/>
                <w:szCs w:val="20"/>
                <w:color w:val="auto"/>
              </w:rPr>
            </w:pPr>
            <w:r>
              <w:rPr>
                <w:rFonts w:ascii="Arial" w:cs="Arial" w:eastAsia="Arial" w:hAnsi="Arial"/>
                <w:sz w:val="13"/>
                <w:szCs w:val="13"/>
                <w:color w:val="auto"/>
              </w:rPr>
              <w:t>Right of Setoff</w:t>
            </w:r>
          </w:p>
        </w:tc>
        <w:tc>
          <w:tcPr>
            <w:tcW w:w="6740" w:type="dxa"/>
            <w:vAlign w:val="bottom"/>
          </w:tcPr>
          <w:p>
            <w:pPr>
              <w:jc w:val="right"/>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10.09</w:t>
            </w:r>
          </w:p>
        </w:tc>
        <w:tc>
          <w:tcPr>
            <w:tcW w:w="3860" w:type="dxa"/>
            <w:vAlign w:val="bottom"/>
          </w:tcPr>
          <w:p>
            <w:pPr>
              <w:ind w:left="240"/>
              <w:spacing w:after="0"/>
              <w:rPr>
                <w:sz w:val="20"/>
                <w:szCs w:val="20"/>
                <w:color w:val="auto"/>
              </w:rPr>
            </w:pPr>
            <w:r>
              <w:rPr>
                <w:rFonts w:ascii="Arial" w:cs="Arial" w:eastAsia="Arial" w:hAnsi="Arial"/>
                <w:sz w:val="13"/>
                <w:szCs w:val="13"/>
                <w:color w:val="auto"/>
              </w:rPr>
              <w:t>Interest Rate Limitation</w:t>
            </w:r>
          </w:p>
        </w:tc>
        <w:tc>
          <w:tcPr>
            <w:tcW w:w="6740" w:type="dxa"/>
            <w:vAlign w:val="bottom"/>
          </w:tcPr>
          <w:p>
            <w:pPr>
              <w:jc w:val="right"/>
              <w:spacing w:after="0"/>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10.10</w:t>
            </w:r>
          </w:p>
        </w:tc>
        <w:tc>
          <w:tcPr>
            <w:tcW w:w="3860" w:type="dxa"/>
            <w:vAlign w:val="bottom"/>
          </w:tcPr>
          <w:p>
            <w:pPr>
              <w:ind w:left="240"/>
              <w:spacing w:after="0"/>
              <w:rPr>
                <w:sz w:val="20"/>
                <w:szCs w:val="20"/>
                <w:color w:val="auto"/>
              </w:rPr>
            </w:pPr>
            <w:r>
              <w:rPr>
                <w:rFonts w:ascii="Arial" w:cs="Arial" w:eastAsia="Arial" w:hAnsi="Arial"/>
                <w:sz w:val="13"/>
                <w:szCs w:val="13"/>
                <w:color w:val="auto"/>
              </w:rPr>
              <w:t>Counterparts; Integration; Effectiveness</w:t>
            </w:r>
          </w:p>
        </w:tc>
        <w:tc>
          <w:tcPr>
            <w:tcW w:w="6740" w:type="dxa"/>
            <w:vAlign w:val="bottom"/>
          </w:tcPr>
          <w:p>
            <w:pPr>
              <w:jc w:val="right"/>
              <w:spacing w:after="0"/>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10.11</w:t>
            </w:r>
          </w:p>
        </w:tc>
        <w:tc>
          <w:tcPr>
            <w:tcW w:w="3860" w:type="dxa"/>
            <w:vAlign w:val="bottom"/>
          </w:tcPr>
          <w:p>
            <w:pPr>
              <w:ind w:left="240"/>
              <w:spacing w:after="0"/>
              <w:rPr>
                <w:sz w:val="20"/>
                <w:szCs w:val="20"/>
                <w:color w:val="auto"/>
              </w:rPr>
            </w:pPr>
            <w:r>
              <w:rPr>
                <w:rFonts w:ascii="Arial" w:cs="Arial" w:eastAsia="Arial" w:hAnsi="Arial"/>
                <w:sz w:val="13"/>
                <w:szCs w:val="13"/>
                <w:color w:val="auto"/>
              </w:rPr>
              <w:t>Survival</w:t>
            </w:r>
          </w:p>
        </w:tc>
        <w:tc>
          <w:tcPr>
            <w:tcW w:w="6740" w:type="dxa"/>
            <w:vAlign w:val="bottom"/>
          </w:tcPr>
          <w:p>
            <w:pPr>
              <w:jc w:val="right"/>
              <w:spacing w:after="0"/>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10.12</w:t>
            </w:r>
          </w:p>
        </w:tc>
        <w:tc>
          <w:tcPr>
            <w:tcW w:w="3860" w:type="dxa"/>
            <w:vAlign w:val="bottom"/>
          </w:tcPr>
          <w:p>
            <w:pPr>
              <w:ind w:left="240"/>
              <w:spacing w:after="0"/>
              <w:rPr>
                <w:sz w:val="20"/>
                <w:szCs w:val="20"/>
                <w:color w:val="auto"/>
              </w:rPr>
            </w:pPr>
            <w:r>
              <w:rPr>
                <w:rFonts w:ascii="Arial" w:cs="Arial" w:eastAsia="Arial" w:hAnsi="Arial"/>
                <w:sz w:val="13"/>
                <w:szCs w:val="13"/>
                <w:color w:val="auto"/>
              </w:rPr>
              <w:t>Severability</w:t>
            </w:r>
          </w:p>
        </w:tc>
        <w:tc>
          <w:tcPr>
            <w:tcW w:w="6740" w:type="dxa"/>
            <w:vAlign w:val="bottom"/>
          </w:tcPr>
          <w:p>
            <w:pPr>
              <w:jc w:val="right"/>
              <w:spacing w:after="0"/>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10.13</w:t>
            </w:r>
          </w:p>
        </w:tc>
        <w:tc>
          <w:tcPr>
            <w:tcW w:w="3860" w:type="dxa"/>
            <w:vAlign w:val="bottom"/>
          </w:tcPr>
          <w:p>
            <w:pPr>
              <w:ind w:left="240"/>
              <w:spacing w:after="0"/>
              <w:rPr>
                <w:sz w:val="20"/>
                <w:szCs w:val="20"/>
                <w:color w:val="auto"/>
              </w:rPr>
            </w:pPr>
            <w:r>
              <w:rPr>
                <w:rFonts w:ascii="Arial" w:cs="Arial" w:eastAsia="Arial" w:hAnsi="Arial"/>
                <w:sz w:val="13"/>
                <w:szCs w:val="13"/>
                <w:color w:val="auto"/>
              </w:rPr>
              <w:t>Replacement of Lenders</w:t>
            </w:r>
          </w:p>
        </w:tc>
        <w:tc>
          <w:tcPr>
            <w:tcW w:w="6740" w:type="dxa"/>
            <w:vAlign w:val="bottom"/>
          </w:tcPr>
          <w:p>
            <w:pPr>
              <w:jc w:val="right"/>
              <w:spacing w:after="0"/>
              <w:rPr>
                <w:sz w:val="20"/>
                <w:szCs w:val="20"/>
                <w:color w:val="auto"/>
              </w:rPr>
            </w:pPr>
            <w:r>
              <w:rPr>
                <w:rFonts w:ascii="Arial" w:cs="Arial" w:eastAsia="Arial" w:hAnsi="Arial"/>
                <w:sz w:val="13"/>
                <w:szCs w:val="13"/>
                <w:color w:val="auto"/>
              </w:rPr>
              <w:t>128</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10.14</w:t>
            </w:r>
          </w:p>
        </w:tc>
        <w:tc>
          <w:tcPr>
            <w:tcW w:w="3860" w:type="dxa"/>
            <w:vAlign w:val="bottom"/>
          </w:tcPr>
          <w:p>
            <w:pPr>
              <w:ind w:left="240"/>
              <w:spacing w:after="0"/>
              <w:rPr>
                <w:sz w:val="20"/>
                <w:szCs w:val="20"/>
                <w:color w:val="auto"/>
              </w:rPr>
            </w:pPr>
            <w:r>
              <w:rPr>
                <w:rFonts w:ascii="Arial" w:cs="Arial" w:eastAsia="Arial" w:hAnsi="Arial"/>
                <w:sz w:val="13"/>
                <w:szCs w:val="13"/>
                <w:color w:val="auto"/>
              </w:rPr>
              <w:t>Governing Law; Jurisdiction; Etc.</w:t>
            </w:r>
          </w:p>
        </w:tc>
        <w:tc>
          <w:tcPr>
            <w:tcW w:w="6740" w:type="dxa"/>
            <w:vAlign w:val="bottom"/>
          </w:tcPr>
          <w:p>
            <w:pPr>
              <w:jc w:val="right"/>
              <w:spacing w:after="0"/>
              <w:rPr>
                <w:sz w:val="20"/>
                <w:szCs w:val="20"/>
                <w:color w:val="auto"/>
              </w:rPr>
            </w:pPr>
            <w:r>
              <w:rPr>
                <w:rFonts w:ascii="Arial" w:cs="Arial" w:eastAsia="Arial" w:hAnsi="Arial"/>
                <w:sz w:val="13"/>
                <w:szCs w:val="13"/>
                <w:color w:val="auto"/>
              </w:rPr>
              <w:t>128</w:t>
            </w:r>
          </w:p>
        </w:tc>
        <w:tc>
          <w:tcPr>
            <w:tcW w:w="0" w:type="dxa"/>
            <w:vAlign w:val="bottom"/>
          </w:tcPr>
          <w:p>
            <w:pPr>
              <w:spacing w:after="0"/>
              <w:rPr>
                <w:sz w:val="1"/>
                <w:szCs w:val="1"/>
                <w:color w:val="auto"/>
              </w:rPr>
            </w:pPr>
          </w:p>
        </w:tc>
      </w:tr>
      <w:tr>
        <w:trPr>
          <w:trHeight w:val="153"/>
        </w:trPr>
        <w:tc>
          <w:tcPr>
            <w:tcW w:w="900" w:type="dxa"/>
            <w:vAlign w:val="bottom"/>
          </w:tcPr>
          <w:p>
            <w:pPr>
              <w:ind w:left="120"/>
              <w:spacing w:after="0"/>
              <w:rPr>
                <w:sz w:val="20"/>
                <w:szCs w:val="20"/>
                <w:color w:val="auto"/>
              </w:rPr>
            </w:pPr>
            <w:r>
              <w:rPr>
                <w:rFonts w:ascii="Arial" w:cs="Arial" w:eastAsia="Arial" w:hAnsi="Arial"/>
                <w:sz w:val="13"/>
                <w:szCs w:val="13"/>
                <w:color w:val="auto"/>
              </w:rPr>
              <w:t>10.15</w:t>
            </w:r>
          </w:p>
        </w:tc>
        <w:tc>
          <w:tcPr>
            <w:tcW w:w="3860" w:type="dxa"/>
            <w:vAlign w:val="bottom"/>
          </w:tcPr>
          <w:p>
            <w:pPr>
              <w:ind w:left="240"/>
              <w:spacing w:after="0"/>
              <w:rPr>
                <w:sz w:val="20"/>
                <w:szCs w:val="20"/>
                <w:color w:val="auto"/>
              </w:rPr>
            </w:pPr>
            <w:r>
              <w:rPr>
                <w:rFonts w:ascii="Arial" w:cs="Arial" w:eastAsia="Arial" w:hAnsi="Arial"/>
                <w:sz w:val="13"/>
                <w:szCs w:val="13"/>
                <w:color w:val="auto"/>
              </w:rPr>
              <w:t>Waiver of Jury Trial</w:t>
            </w:r>
          </w:p>
        </w:tc>
        <w:tc>
          <w:tcPr>
            <w:tcW w:w="6740" w:type="dxa"/>
            <w:vAlign w:val="bottom"/>
          </w:tcPr>
          <w:p>
            <w:pPr>
              <w:jc w:val="right"/>
              <w:spacing w:after="0"/>
              <w:rPr>
                <w:sz w:val="20"/>
                <w:szCs w:val="20"/>
                <w:color w:val="auto"/>
              </w:rPr>
            </w:pPr>
            <w:r>
              <w:rPr>
                <w:rFonts w:ascii="Arial" w:cs="Arial" w:eastAsia="Arial" w:hAnsi="Arial"/>
                <w:sz w:val="13"/>
                <w:szCs w:val="13"/>
                <w:color w:val="auto"/>
              </w:rPr>
              <w:t>129</w:t>
            </w:r>
          </w:p>
        </w:tc>
        <w:tc>
          <w:tcPr>
            <w:tcW w:w="0" w:type="dxa"/>
            <w:vAlign w:val="bottom"/>
          </w:tcPr>
          <w:p>
            <w:pPr>
              <w:spacing w:after="0"/>
              <w:rPr>
                <w:sz w:val="1"/>
                <w:szCs w:val="1"/>
                <w:color w:val="auto"/>
              </w:rPr>
            </w:pPr>
          </w:p>
        </w:tc>
      </w:tr>
      <w:tr>
        <w:trPr>
          <w:trHeight w:val="166"/>
        </w:trPr>
        <w:tc>
          <w:tcPr>
            <w:tcW w:w="900" w:type="dxa"/>
            <w:vAlign w:val="bottom"/>
          </w:tcPr>
          <w:p>
            <w:pPr>
              <w:ind w:left="120"/>
              <w:spacing w:after="0"/>
              <w:rPr>
                <w:sz w:val="20"/>
                <w:szCs w:val="20"/>
                <w:color w:val="auto"/>
              </w:rPr>
            </w:pPr>
            <w:r>
              <w:rPr>
                <w:rFonts w:ascii="Arial" w:cs="Arial" w:eastAsia="Arial" w:hAnsi="Arial"/>
                <w:sz w:val="13"/>
                <w:szCs w:val="13"/>
                <w:color w:val="auto"/>
              </w:rPr>
              <w:t>10.16</w:t>
            </w:r>
          </w:p>
        </w:tc>
        <w:tc>
          <w:tcPr>
            <w:tcW w:w="3860" w:type="dxa"/>
            <w:vAlign w:val="bottom"/>
          </w:tcPr>
          <w:p>
            <w:pPr>
              <w:ind w:left="240"/>
              <w:spacing w:after="0"/>
              <w:rPr>
                <w:sz w:val="20"/>
                <w:szCs w:val="20"/>
                <w:color w:val="auto"/>
              </w:rPr>
            </w:pPr>
            <w:r>
              <w:rPr>
                <w:rFonts w:ascii="Arial" w:cs="Arial" w:eastAsia="Arial" w:hAnsi="Arial"/>
                <w:sz w:val="13"/>
                <w:szCs w:val="13"/>
                <w:color w:val="auto"/>
              </w:rPr>
              <w:t>No Advisory or Fiduciary Responsibility</w:t>
            </w:r>
          </w:p>
        </w:tc>
        <w:tc>
          <w:tcPr>
            <w:tcW w:w="6740" w:type="dxa"/>
            <w:vAlign w:val="bottom"/>
          </w:tcPr>
          <w:p>
            <w:pPr>
              <w:jc w:val="right"/>
              <w:spacing w:after="0"/>
              <w:rPr>
                <w:sz w:val="20"/>
                <w:szCs w:val="20"/>
                <w:color w:val="auto"/>
              </w:rPr>
            </w:pPr>
            <w:r>
              <w:rPr>
                <w:rFonts w:ascii="Arial" w:cs="Arial" w:eastAsia="Arial" w:hAnsi="Arial"/>
                <w:sz w:val="13"/>
                <w:szCs w:val="13"/>
                <w:color w:val="auto"/>
              </w:rPr>
              <w:t>130</w:t>
            </w:r>
          </w:p>
        </w:tc>
        <w:tc>
          <w:tcPr>
            <w:tcW w:w="0" w:type="dxa"/>
            <w:vAlign w:val="bottom"/>
          </w:tcPr>
          <w:p>
            <w:pPr>
              <w:spacing w:after="0"/>
              <w:rPr>
                <w:sz w:val="1"/>
                <w:szCs w:val="1"/>
                <w:color w:val="auto"/>
              </w:rPr>
            </w:pPr>
          </w:p>
        </w:tc>
      </w:tr>
      <w:tr>
        <w:trPr>
          <w:trHeight w:val="251"/>
        </w:trPr>
        <w:tc>
          <w:tcPr>
            <w:tcW w:w="900" w:type="dxa"/>
            <w:vAlign w:val="bottom"/>
          </w:tcPr>
          <w:p>
            <w:pPr>
              <w:spacing w:after="0"/>
              <w:rPr>
                <w:sz w:val="20"/>
                <w:szCs w:val="20"/>
                <w:color w:val="auto"/>
              </w:rPr>
            </w:pPr>
            <w:r>
              <w:rPr>
                <w:rFonts w:ascii="Arial" w:cs="Arial" w:eastAsia="Arial" w:hAnsi="Arial"/>
                <w:sz w:val="10"/>
                <w:szCs w:val="10"/>
                <w:color w:val="auto"/>
              </w:rPr>
              <w:t>DB1/ 97390493.6</w:t>
            </w:r>
          </w:p>
        </w:tc>
        <w:tc>
          <w:tcPr>
            <w:tcW w:w="3860" w:type="dxa"/>
            <w:vAlign w:val="bottom"/>
          </w:tcPr>
          <w:p>
            <w:pPr>
              <w:spacing w:after="0"/>
              <w:rPr>
                <w:sz w:val="21"/>
                <w:szCs w:val="21"/>
                <w:color w:val="auto"/>
              </w:rPr>
            </w:pPr>
          </w:p>
        </w:tc>
        <w:tc>
          <w:tcPr>
            <w:tcW w:w="6740" w:type="dxa"/>
            <w:vAlign w:val="bottom"/>
            <w:vMerge w:val="restart"/>
          </w:tcPr>
          <w:p>
            <w:pPr>
              <w:jc w:val="right"/>
              <w:ind w:right="5594"/>
              <w:spacing w:after="0"/>
              <w:rPr>
                <w:sz w:val="20"/>
                <w:szCs w:val="20"/>
                <w:color w:val="auto"/>
              </w:rPr>
            </w:pPr>
            <w:r>
              <w:rPr>
                <w:rFonts w:ascii="Arial" w:cs="Arial" w:eastAsia="Arial" w:hAnsi="Arial"/>
                <w:sz w:val="13"/>
                <w:szCs w:val="13"/>
                <w:color w:val="auto"/>
              </w:rPr>
              <w:t>(iii)</w:t>
            </w:r>
          </w:p>
        </w:tc>
        <w:tc>
          <w:tcPr>
            <w:tcW w:w="0" w:type="dxa"/>
            <w:vAlign w:val="bottom"/>
          </w:tcPr>
          <w:p>
            <w:pPr>
              <w:spacing w:after="0"/>
              <w:rPr>
                <w:sz w:val="1"/>
                <w:szCs w:val="1"/>
                <w:color w:val="auto"/>
              </w:rPr>
            </w:pPr>
          </w:p>
        </w:tc>
      </w:tr>
      <w:tr>
        <w:trPr>
          <w:trHeight w:val="145"/>
        </w:trPr>
        <w:tc>
          <w:tcPr>
            <w:tcW w:w="9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6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900" w:type="dxa"/>
            <w:vAlign w:val="bottom"/>
            <w:tcBorders>
              <w:bottom w:val="single" w:sz="8" w:color="9A9A9A"/>
            </w:tcBorders>
          </w:tcPr>
          <w:p>
            <w:pPr>
              <w:spacing w:after="0"/>
              <w:rPr>
                <w:sz w:val="6"/>
                <w:szCs w:val="6"/>
                <w:color w:val="auto"/>
              </w:rPr>
            </w:pPr>
          </w:p>
        </w:tc>
        <w:tc>
          <w:tcPr>
            <w:tcW w:w="3860" w:type="dxa"/>
            <w:vAlign w:val="bottom"/>
            <w:tcBorders>
              <w:bottom w:val="single" w:sz="8" w:color="9A9A9A"/>
            </w:tcBorders>
          </w:tcPr>
          <w:p>
            <w:pPr>
              <w:spacing w:after="0"/>
              <w:rPr>
                <w:sz w:val="6"/>
                <w:szCs w:val="6"/>
                <w:color w:val="auto"/>
              </w:rPr>
            </w:pPr>
          </w:p>
        </w:tc>
        <w:tc>
          <w:tcPr>
            <w:tcW w:w="674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28" w:right="17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55"/>
        </w:trPr>
        <w:tc>
          <w:tcPr>
            <w:tcW w:w="960" w:type="dxa"/>
            <w:vAlign w:val="bottom"/>
          </w:tcPr>
          <w:p>
            <w:pPr>
              <w:jc w:val="right"/>
              <w:ind w:right="475"/>
              <w:spacing w:after="0"/>
              <w:rPr>
                <w:sz w:val="20"/>
                <w:szCs w:val="20"/>
                <w:color w:val="auto"/>
              </w:rPr>
            </w:pPr>
            <w:r>
              <w:rPr>
                <w:rFonts w:ascii="Arial" w:cs="Arial" w:eastAsia="Arial" w:hAnsi="Arial"/>
                <w:sz w:val="13"/>
                <w:szCs w:val="13"/>
                <w:color w:val="auto"/>
              </w:rPr>
              <w:t>10.17</w:t>
            </w:r>
          </w:p>
        </w:tc>
        <w:tc>
          <w:tcPr>
            <w:tcW w:w="4360" w:type="dxa"/>
            <w:vAlign w:val="bottom"/>
          </w:tcPr>
          <w:p>
            <w:pPr>
              <w:ind w:left="180"/>
              <w:spacing w:after="0"/>
              <w:rPr>
                <w:sz w:val="20"/>
                <w:szCs w:val="20"/>
                <w:color w:val="auto"/>
              </w:rPr>
            </w:pPr>
            <w:r>
              <w:rPr>
                <w:rFonts w:ascii="Arial" w:cs="Arial" w:eastAsia="Arial" w:hAnsi="Arial"/>
                <w:sz w:val="13"/>
                <w:szCs w:val="13"/>
                <w:color w:val="auto"/>
              </w:rPr>
              <w:t>USA PATRIOT Act Notice</w:t>
            </w:r>
          </w:p>
        </w:tc>
        <w:tc>
          <w:tcPr>
            <w:tcW w:w="6180" w:type="dxa"/>
            <w:vAlign w:val="bottom"/>
          </w:tcPr>
          <w:p>
            <w:pPr>
              <w:jc w:val="right"/>
              <w:spacing w:after="0"/>
              <w:rPr>
                <w:sz w:val="20"/>
                <w:szCs w:val="20"/>
                <w:color w:val="auto"/>
              </w:rPr>
            </w:pPr>
            <w:r>
              <w:rPr>
                <w:rFonts w:ascii="Arial" w:cs="Arial" w:eastAsia="Arial" w:hAnsi="Arial"/>
                <w:sz w:val="13"/>
                <w:szCs w:val="13"/>
                <w:color w:val="auto"/>
              </w:rPr>
              <w:t>130</w:t>
            </w:r>
          </w:p>
        </w:tc>
        <w:tc>
          <w:tcPr>
            <w:tcW w:w="0" w:type="dxa"/>
            <w:vAlign w:val="bottom"/>
          </w:tcPr>
          <w:p>
            <w:pPr>
              <w:spacing w:after="0"/>
              <w:rPr>
                <w:sz w:val="1"/>
                <w:szCs w:val="1"/>
                <w:color w:val="auto"/>
              </w:rPr>
            </w:pPr>
          </w:p>
        </w:tc>
      </w:tr>
      <w:tr>
        <w:trPr>
          <w:trHeight w:val="153"/>
        </w:trPr>
        <w:tc>
          <w:tcPr>
            <w:tcW w:w="960" w:type="dxa"/>
            <w:vAlign w:val="bottom"/>
          </w:tcPr>
          <w:p>
            <w:pPr>
              <w:jc w:val="right"/>
              <w:ind w:right="475"/>
              <w:spacing w:after="0"/>
              <w:rPr>
                <w:sz w:val="20"/>
                <w:szCs w:val="20"/>
                <w:color w:val="auto"/>
              </w:rPr>
            </w:pPr>
            <w:r>
              <w:rPr>
                <w:rFonts w:ascii="Arial" w:cs="Arial" w:eastAsia="Arial" w:hAnsi="Arial"/>
                <w:sz w:val="13"/>
                <w:szCs w:val="13"/>
                <w:color w:val="auto"/>
              </w:rPr>
              <w:t>10.18</w:t>
            </w:r>
          </w:p>
        </w:tc>
        <w:tc>
          <w:tcPr>
            <w:tcW w:w="4360" w:type="dxa"/>
            <w:vAlign w:val="bottom"/>
          </w:tcPr>
          <w:p>
            <w:pPr>
              <w:ind w:left="180"/>
              <w:spacing w:after="0"/>
              <w:rPr>
                <w:sz w:val="20"/>
                <w:szCs w:val="20"/>
                <w:color w:val="auto"/>
              </w:rPr>
            </w:pPr>
            <w:r>
              <w:rPr>
                <w:rFonts w:ascii="Arial" w:cs="Arial" w:eastAsia="Arial" w:hAnsi="Arial"/>
                <w:sz w:val="13"/>
                <w:szCs w:val="13"/>
                <w:color w:val="auto"/>
              </w:rPr>
              <w:t>Foreign Asset Control Regulations</w:t>
            </w:r>
          </w:p>
        </w:tc>
        <w:tc>
          <w:tcPr>
            <w:tcW w:w="6180" w:type="dxa"/>
            <w:vAlign w:val="bottom"/>
          </w:tcPr>
          <w:p>
            <w:pPr>
              <w:jc w:val="right"/>
              <w:spacing w:after="0"/>
              <w:rPr>
                <w:sz w:val="20"/>
                <w:szCs w:val="20"/>
                <w:color w:val="auto"/>
              </w:rPr>
            </w:pPr>
            <w:r>
              <w:rPr>
                <w:rFonts w:ascii="Arial" w:cs="Arial" w:eastAsia="Arial" w:hAnsi="Arial"/>
                <w:sz w:val="13"/>
                <w:szCs w:val="13"/>
                <w:color w:val="auto"/>
              </w:rPr>
              <w:t>130</w:t>
            </w:r>
          </w:p>
        </w:tc>
        <w:tc>
          <w:tcPr>
            <w:tcW w:w="0" w:type="dxa"/>
            <w:vAlign w:val="bottom"/>
          </w:tcPr>
          <w:p>
            <w:pPr>
              <w:spacing w:after="0"/>
              <w:rPr>
                <w:sz w:val="1"/>
                <w:szCs w:val="1"/>
                <w:color w:val="auto"/>
              </w:rPr>
            </w:pPr>
          </w:p>
        </w:tc>
      </w:tr>
      <w:tr>
        <w:trPr>
          <w:trHeight w:val="153"/>
        </w:trPr>
        <w:tc>
          <w:tcPr>
            <w:tcW w:w="960" w:type="dxa"/>
            <w:vAlign w:val="bottom"/>
          </w:tcPr>
          <w:p>
            <w:pPr>
              <w:jc w:val="right"/>
              <w:ind w:right="475"/>
              <w:spacing w:after="0"/>
              <w:rPr>
                <w:sz w:val="20"/>
                <w:szCs w:val="20"/>
                <w:color w:val="auto"/>
              </w:rPr>
            </w:pPr>
            <w:r>
              <w:rPr>
                <w:rFonts w:ascii="Arial" w:cs="Arial" w:eastAsia="Arial" w:hAnsi="Arial"/>
                <w:sz w:val="13"/>
                <w:szCs w:val="13"/>
                <w:color w:val="auto"/>
              </w:rPr>
              <w:t>10.19</w:t>
            </w:r>
          </w:p>
        </w:tc>
        <w:tc>
          <w:tcPr>
            <w:tcW w:w="4360" w:type="dxa"/>
            <w:vAlign w:val="bottom"/>
          </w:tcPr>
          <w:p>
            <w:pPr>
              <w:ind w:left="180"/>
              <w:spacing w:after="0"/>
              <w:rPr>
                <w:sz w:val="20"/>
                <w:szCs w:val="20"/>
                <w:color w:val="auto"/>
              </w:rPr>
            </w:pPr>
            <w:r>
              <w:rPr>
                <w:rFonts w:ascii="Arial" w:cs="Arial" w:eastAsia="Arial" w:hAnsi="Arial"/>
                <w:sz w:val="13"/>
                <w:szCs w:val="13"/>
                <w:color w:val="auto"/>
              </w:rPr>
              <w:t>Time of the Essence</w:t>
            </w:r>
          </w:p>
        </w:tc>
        <w:tc>
          <w:tcPr>
            <w:tcW w:w="6180" w:type="dxa"/>
            <w:vAlign w:val="bottom"/>
          </w:tcPr>
          <w:p>
            <w:pPr>
              <w:jc w:val="right"/>
              <w:spacing w:after="0"/>
              <w:rPr>
                <w:sz w:val="20"/>
                <w:szCs w:val="20"/>
                <w:color w:val="auto"/>
              </w:rPr>
            </w:pPr>
            <w:r>
              <w:rPr>
                <w:rFonts w:ascii="Arial" w:cs="Arial" w:eastAsia="Arial" w:hAnsi="Arial"/>
                <w:sz w:val="13"/>
                <w:szCs w:val="13"/>
                <w:color w:val="auto"/>
              </w:rPr>
              <w:t>131</w:t>
            </w:r>
          </w:p>
        </w:tc>
        <w:tc>
          <w:tcPr>
            <w:tcW w:w="0" w:type="dxa"/>
            <w:vAlign w:val="bottom"/>
          </w:tcPr>
          <w:p>
            <w:pPr>
              <w:spacing w:after="0"/>
              <w:rPr>
                <w:sz w:val="1"/>
                <w:szCs w:val="1"/>
                <w:color w:val="auto"/>
              </w:rPr>
            </w:pPr>
          </w:p>
        </w:tc>
      </w:tr>
      <w:tr>
        <w:trPr>
          <w:trHeight w:val="153"/>
        </w:trPr>
        <w:tc>
          <w:tcPr>
            <w:tcW w:w="960" w:type="dxa"/>
            <w:vAlign w:val="bottom"/>
          </w:tcPr>
          <w:p>
            <w:pPr>
              <w:jc w:val="right"/>
              <w:ind w:right="475"/>
              <w:spacing w:after="0"/>
              <w:rPr>
                <w:sz w:val="20"/>
                <w:szCs w:val="20"/>
                <w:color w:val="auto"/>
              </w:rPr>
            </w:pPr>
            <w:r>
              <w:rPr>
                <w:rFonts w:ascii="Arial" w:cs="Arial" w:eastAsia="Arial" w:hAnsi="Arial"/>
                <w:sz w:val="13"/>
                <w:szCs w:val="13"/>
                <w:color w:val="auto"/>
              </w:rPr>
              <w:t>10.20</w:t>
            </w:r>
          </w:p>
        </w:tc>
        <w:tc>
          <w:tcPr>
            <w:tcW w:w="4360" w:type="dxa"/>
            <w:vAlign w:val="bottom"/>
          </w:tcPr>
          <w:p>
            <w:pPr>
              <w:ind w:left="180"/>
              <w:spacing w:after="0"/>
              <w:rPr>
                <w:sz w:val="20"/>
                <w:szCs w:val="20"/>
                <w:color w:val="auto"/>
              </w:rPr>
            </w:pPr>
            <w:r>
              <w:rPr>
                <w:rFonts w:ascii="Arial" w:cs="Arial" w:eastAsia="Arial" w:hAnsi="Arial"/>
                <w:sz w:val="13"/>
                <w:szCs w:val="13"/>
                <w:color w:val="auto"/>
              </w:rPr>
              <w:t>Press Releases.</w:t>
            </w:r>
          </w:p>
        </w:tc>
        <w:tc>
          <w:tcPr>
            <w:tcW w:w="6180" w:type="dxa"/>
            <w:vAlign w:val="bottom"/>
          </w:tcPr>
          <w:p>
            <w:pPr>
              <w:jc w:val="right"/>
              <w:spacing w:after="0"/>
              <w:rPr>
                <w:sz w:val="20"/>
                <w:szCs w:val="20"/>
                <w:color w:val="auto"/>
              </w:rPr>
            </w:pPr>
            <w:r>
              <w:rPr>
                <w:rFonts w:ascii="Arial" w:cs="Arial" w:eastAsia="Arial" w:hAnsi="Arial"/>
                <w:sz w:val="13"/>
                <w:szCs w:val="13"/>
                <w:color w:val="auto"/>
              </w:rPr>
              <w:t>131</w:t>
            </w:r>
          </w:p>
        </w:tc>
        <w:tc>
          <w:tcPr>
            <w:tcW w:w="0" w:type="dxa"/>
            <w:vAlign w:val="bottom"/>
          </w:tcPr>
          <w:p>
            <w:pPr>
              <w:spacing w:after="0"/>
              <w:rPr>
                <w:sz w:val="1"/>
                <w:szCs w:val="1"/>
                <w:color w:val="auto"/>
              </w:rPr>
            </w:pPr>
          </w:p>
        </w:tc>
      </w:tr>
      <w:tr>
        <w:trPr>
          <w:trHeight w:val="153"/>
        </w:trPr>
        <w:tc>
          <w:tcPr>
            <w:tcW w:w="960" w:type="dxa"/>
            <w:vAlign w:val="bottom"/>
          </w:tcPr>
          <w:p>
            <w:pPr>
              <w:jc w:val="right"/>
              <w:ind w:right="475"/>
              <w:spacing w:after="0"/>
              <w:rPr>
                <w:sz w:val="20"/>
                <w:szCs w:val="20"/>
                <w:color w:val="auto"/>
              </w:rPr>
            </w:pPr>
            <w:r>
              <w:rPr>
                <w:rFonts w:ascii="Arial" w:cs="Arial" w:eastAsia="Arial" w:hAnsi="Arial"/>
                <w:sz w:val="13"/>
                <w:szCs w:val="13"/>
                <w:color w:val="auto"/>
              </w:rPr>
              <w:t>10.21</w:t>
            </w:r>
          </w:p>
        </w:tc>
        <w:tc>
          <w:tcPr>
            <w:tcW w:w="4360" w:type="dxa"/>
            <w:vAlign w:val="bottom"/>
          </w:tcPr>
          <w:p>
            <w:pPr>
              <w:ind w:left="180"/>
              <w:spacing w:after="0"/>
              <w:rPr>
                <w:sz w:val="20"/>
                <w:szCs w:val="20"/>
                <w:color w:val="auto"/>
              </w:rPr>
            </w:pPr>
            <w:r>
              <w:rPr>
                <w:rFonts w:ascii="Arial" w:cs="Arial" w:eastAsia="Arial" w:hAnsi="Arial"/>
                <w:sz w:val="13"/>
                <w:szCs w:val="13"/>
                <w:color w:val="auto"/>
              </w:rPr>
              <w:t>Additional Waivers.</w:t>
            </w:r>
          </w:p>
        </w:tc>
        <w:tc>
          <w:tcPr>
            <w:tcW w:w="6180" w:type="dxa"/>
            <w:vAlign w:val="bottom"/>
          </w:tcPr>
          <w:p>
            <w:pPr>
              <w:jc w:val="right"/>
              <w:spacing w:after="0"/>
              <w:rPr>
                <w:sz w:val="20"/>
                <w:szCs w:val="20"/>
                <w:color w:val="auto"/>
              </w:rPr>
            </w:pPr>
            <w:r>
              <w:rPr>
                <w:rFonts w:ascii="Arial" w:cs="Arial" w:eastAsia="Arial" w:hAnsi="Arial"/>
                <w:sz w:val="13"/>
                <w:szCs w:val="13"/>
                <w:color w:val="auto"/>
              </w:rPr>
              <w:t>131</w:t>
            </w:r>
          </w:p>
        </w:tc>
        <w:tc>
          <w:tcPr>
            <w:tcW w:w="0" w:type="dxa"/>
            <w:vAlign w:val="bottom"/>
          </w:tcPr>
          <w:p>
            <w:pPr>
              <w:spacing w:after="0"/>
              <w:rPr>
                <w:sz w:val="1"/>
                <w:szCs w:val="1"/>
                <w:color w:val="auto"/>
              </w:rPr>
            </w:pPr>
          </w:p>
        </w:tc>
      </w:tr>
      <w:tr>
        <w:trPr>
          <w:trHeight w:val="153"/>
        </w:trPr>
        <w:tc>
          <w:tcPr>
            <w:tcW w:w="960" w:type="dxa"/>
            <w:vAlign w:val="bottom"/>
          </w:tcPr>
          <w:p>
            <w:pPr>
              <w:jc w:val="right"/>
              <w:ind w:right="475"/>
              <w:spacing w:after="0"/>
              <w:rPr>
                <w:sz w:val="20"/>
                <w:szCs w:val="20"/>
                <w:color w:val="auto"/>
              </w:rPr>
            </w:pPr>
            <w:r>
              <w:rPr>
                <w:rFonts w:ascii="Arial" w:cs="Arial" w:eastAsia="Arial" w:hAnsi="Arial"/>
                <w:sz w:val="13"/>
                <w:szCs w:val="13"/>
                <w:color w:val="auto"/>
              </w:rPr>
              <w:t>10.22</w:t>
            </w:r>
          </w:p>
        </w:tc>
        <w:tc>
          <w:tcPr>
            <w:tcW w:w="4360" w:type="dxa"/>
            <w:vAlign w:val="bottom"/>
          </w:tcPr>
          <w:p>
            <w:pPr>
              <w:ind w:left="180"/>
              <w:spacing w:after="0"/>
              <w:rPr>
                <w:sz w:val="20"/>
                <w:szCs w:val="20"/>
                <w:color w:val="auto"/>
              </w:rPr>
            </w:pPr>
            <w:r>
              <w:rPr>
                <w:rFonts w:ascii="Arial" w:cs="Arial" w:eastAsia="Arial" w:hAnsi="Arial"/>
                <w:sz w:val="13"/>
                <w:szCs w:val="13"/>
                <w:color w:val="auto"/>
              </w:rPr>
              <w:t>No Strict Construction.</w:t>
            </w:r>
          </w:p>
        </w:tc>
        <w:tc>
          <w:tcPr>
            <w:tcW w:w="6180" w:type="dxa"/>
            <w:vAlign w:val="bottom"/>
          </w:tcPr>
          <w:p>
            <w:pPr>
              <w:jc w:val="right"/>
              <w:spacing w:after="0"/>
              <w:rPr>
                <w:sz w:val="20"/>
                <w:szCs w:val="20"/>
                <w:color w:val="auto"/>
              </w:rPr>
            </w:pPr>
            <w:r>
              <w:rPr>
                <w:rFonts w:ascii="Arial" w:cs="Arial" w:eastAsia="Arial" w:hAnsi="Arial"/>
                <w:sz w:val="13"/>
                <w:szCs w:val="13"/>
                <w:color w:val="auto"/>
              </w:rPr>
              <w:t>132</w:t>
            </w:r>
          </w:p>
        </w:tc>
        <w:tc>
          <w:tcPr>
            <w:tcW w:w="0" w:type="dxa"/>
            <w:vAlign w:val="bottom"/>
          </w:tcPr>
          <w:p>
            <w:pPr>
              <w:spacing w:after="0"/>
              <w:rPr>
                <w:sz w:val="1"/>
                <w:szCs w:val="1"/>
                <w:color w:val="auto"/>
              </w:rPr>
            </w:pPr>
          </w:p>
        </w:tc>
      </w:tr>
      <w:tr>
        <w:trPr>
          <w:trHeight w:val="153"/>
        </w:trPr>
        <w:tc>
          <w:tcPr>
            <w:tcW w:w="960" w:type="dxa"/>
            <w:vAlign w:val="bottom"/>
          </w:tcPr>
          <w:p>
            <w:pPr>
              <w:jc w:val="right"/>
              <w:ind w:right="475"/>
              <w:spacing w:after="0"/>
              <w:rPr>
                <w:sz w:val="20"/>
                <w:szCs w:val="20"/>
                <w:color w:val="auto"/>
              </w:rPr>
            </w:pPr>
            <w:r>
              <w:rPr>
                <w:rFonts w:ascii="Arial" w:cs="Arial" w:eastAsia="Arial" w:hAnsi="Arial"/>
                <w:sz w:val="13"/>
                <w:szCs w:val="13"/>
                <w:color w:val="auto"/>
              </w:rPr>
              <w:t>10.23</w:t>
            </w:r>
          </w:p>
        </w:tc>
        <w:tc>
          <w:tcPr>
            <w:tcW w:w="4360" w:type="dxa"/>
            <w:vAlign w:val="bottom"/>
          </w:tcPr>
          <w:p>
            <w:pPr>
              <w:ind w:left="180"/>
              <w:spacing w:after="0"/>
              <w:rPr>
                <w:sz w:val="20"/>
                <w:szCs w:val="20"/>
                <w:color w:val="auto"/>
              </w:rPr>
            </w:pPr>
            <w:r>
              <w:rPr>
                <w:rFonts w:ascii="Arial" w:cs="Arial" w:eastAsia="Arial" w:hAnsi="Arial"/>
                <w:sz w:val="13"/>
                <w:szCs w:val="13"/>
                <w:color w:val="auto"/>
              </w:rPr>
              <w:t>Attachments.</w:t>
            </w:r>
          </w:p>
        </w:tc>
        <w:tc>
          <w:tcPr>
            <w:tcW w:w="6180" w:type="dxa"/>
            <w:vAlign w:val="bottom"/>
          </w:tcPr>
          <w:p>
            <w:pPr>
              <w:jc w:val="right"/>
              <w:spacing w:after="0"/>
              <w:rPr>
                <w:sz w:val="20"/>
                <w:szCs w:val="20"/>
                <w:color w:val="auto"/>
              </w:rPr>
            </w:pPr>
            <w:r>
              <w:rPr>
                <w:rFonts w:ascii="Arial" w:cs="Arial" w:eastAsia="Arial" w:hAnsi="Arial"/>
                <w:sz w:val="13"/>
                <w:szCs w:val="13"/>
                <w:color w:val="auto"/>
              </w:rPr>
              <w:t>132</w:t>
            </w:r>
          </w:p>
        </w:tc>
        <w:tc>
          <w:tcPr>
            <w:tcW w:w="0" w:type="dxa"/>
            <w:vAlign w:val="bottom"/>
          </w:tcPr>
          <w:p>
            <w:pPr>
              <w:spacing w:after="0"/>
              <w:rPr>
                <w:sz w:val="1"/>
                <w:szCs w:val="1"/>
                <w:color w:val="auto"/>
              </w:rPr>
            </w:pPr>
          </w:p>
        </w:tc>
      </w:tr>
      <w:tr>
        <w:trPr>
          <w:trHeight w:val="153"/>
        </w:trPr>
        <w:tc>
          <w:tcPr>
            <w:tcW w:w="960" w:type="dxa"/>
            <w:vAlign w:val="bottom"/>
          </w:tcPr>
          <w:p>
            <w:pPr>
              <w:jc w:val="right"/>
              <w:ind w:right="475"/>
              <w:spacing w:after="0"/>
              <w:rPr>
                <w:sz w:val="20"/>
                <w:szCs w:val="20"/>
                <w:color w:val="auto"/>
              </w:rPr>
            </w:pPr>
            <w:r>
              <w:rPr>
                <w:rFonts w:ascii="Arial" w:cs="Arial" w:eastAsia="Arial" w:hAnsi="Arial"/>
                <w:sz w:val="13"/>
                <w:szCs w:val="13"/>
                <w:color w:val="auto"/>
              </w:rPr>
              <w:t>10.24</w:t>
            </w:r>
          </w:p>
        </w:tc>
        <w:tc>
          <w:tcPr>
            <w:tcW w:w="4360" w:type="dxa"/>
            <w:vAlign w:val="bottom"/>
          </w:tcPr>
          <w:p>
            <w:pPr>
              <w:ind w:left="180"/>
              <w:spacing w:after="0"/>
              <w:rPr>
                <w:sz w:val="20"/>
                <w:szCs w:val="20"/>
                <w:color w:val="auto"/>
              </w:rPr>
            </w:pPr>
            <w:r>
              <w:rPr>
                <w:rFonts w:ascii="Arial" w:cs="Arial" w:eastAsia="Arial" w:hAnsi="Arial"/>
                <w:sz w:val="13"/>
                <w:szCs w:val="13"/>
                <w:color w:val="auto"/>
              </w:rPr>
              <w:t>Electronic Execution of Assignments and Certain Other Documents</w:t>
            </w:r>
          </w:p>
        </w:tc>
        <w:tc>
          <w:tcPr>
            <w:tcW w:w="6180" w:type="dxa"/>
            <w:vAlign w:val="bottom"/>
          </w:tcPr>
          <w:p>
            <w:pPr>
              <w:jc w:val="right"/>
              <w:spacing w:after="0"/>
              <w:rPr>
                <w:sz w:val="20"/>
                <w:szCs w:val="20"/>
                <w:color w:val="auto"/>
              </w:rPr>
            </w:pPr>
            <w:r>
              <w:rPr>
                <w:rFonts w:ascii="Arial" w:cs="Arial" w:eastAsia="Arial" w:hAnsi="Arial"/>
                <w:sz w:val="13"/>
                <w:szCs w:val="13"/>
                <w:color w:val="auto"/>
              </w:rPr>
              <w:t>133</w:t>
            </w:r>
          </w:p>
        </w:tc>
        <w:tc>
          <w:tcPr>
            <w:tcW w:w="0" w:type="dxa"/>
            <w:vAlign w:val="bottom"/>
          </w:tcPr>
          <w:p>
            <w:pPr>
              <w:spacing w:after="0"/>
              <w:rPr>
                <w:sz w:val="1"/>
                <w:szCs w:val="1"/>
                <w:color w:val="auto"/>
              </w:rPr>
            </w:pPr>
          </w:p>
        </w:tc>
      </w:tr>
      <w:tr>
        <w:trPr>
          <w:trHeight w:val="153"/>
        </w:trPr>
        <w:tc>
          <w:tcPr>
            <w:tcW w:w="960" w:type="dxa"/>
            <w:vAlign w:val="bottom"/>
          </w:tcPr>
          <w:p>
            <w:pPr>
              <w:jc w:val="right"/>
              <w:ind w:right="475"/>
              <w:spacing w:after="0"/>
              <w:rPr>
                <w:sz w:val="20"/>
                <w:szCs w:val="20"/>
                <w:color w:val="auto"/>
              </w:rPr>
            </w:pPr>
            <w:r>
              <w:rPr>
                <w:rFonts w:ascii="Arial" w:cs="Arial" w:eastAsia="Arial" w:hAnsi="Arial"/>
                <w:sz w:val="13"/>
                <w:szCs w:val="13"/>
                <w:color w:val="auto"/>
              </w:rPr>
              <w:t>10.25</w:t>
            </w:r>
          </w:p>
        </w:tc>
        <w:tc>
          <w:tcPr>
            <w:tcW w:w="4360" w:type="dxa"/>
            <w:vAlign w:val="bottom"/>
          </w:tcPr>
          <w:p>
            <w:pPr>
              <w:ind w:left="180"/>
              <w:spacing w:after="0"/>
              <w:rPr>
                <w:sz w:val="20"/>
                <w:szCs w:val="20"/>
                <w:color w:val="auto"/>
              </w:rPr>
            </w:pPr>
            <w:r>
              <w:rPr>
                <w:rFonts w:ascii="Arial" w:cs="Arial" w:eastAsia="Arial" w:hAnsi="Arial"/>
                <w:sz w:val="13"/>
                <w:szCs w:val="13"/>
                <w:color w:val="auto"/>
              </w:rPr>
              <w:t>Keepwell.</w:t>
            </w:r>
          </w:p>
        </w:tc>
        <w:tc>
          <w:tcPr>
            <w:tcW w:w="6180" w:type="dxa"/>
            <w:vAlign w:val="bottom"/>
          </w:tcPr>
          <w:p>
            <w:pPr>
              <w:jc w:val="right"/>
              <w:spacing w:after="0"/>
              <w:rPr>
                <w:sz w:val="20"/>
                <w:szCs w:val="20"/>
                <w:color w:val="auto"/>
              </w:rPr>
            </w:pPr>
            <w:r>
              <w:rPr>
                <w:rFonts w:ascii="Arial" w:cs="Arial" w:eastAsia="Arial" w:hAnsi="Arial"/>
                <w:sz w:val="13"/>
                <w:szCs w:val="13"/>
                <w:color w:val="auto"/>
              </w:rPr>
              <w:t>133</w:t>
            </w:r>
          </w:p>
        </w:tc>
        <w:tc>
          <w:tcPr>
            <w:tcW w:w="0" w:type="dxa"/>
            <w:vAlign w:val="bottom"/>
          </w:tcPr>
          <w:p>
            <w:pPr>
              <w:spacing w:after="0"/>
              <w:rPr>
                <w:sz w:val="1"/>
                <w:szCs w:val="1"/>
                <w:color w:val="auto"/>
              </w:rPr>
            </w:pPr>
          </w:p>
        </w:tc>
      </w:tr>
      <w:tr>
        <w:trPr>
          <w:trHeight w:val="153"/>
        </w:trPr>
        <w:tc>
          <w:tcPr>
            <w:tcW w:w="960" w:type="dxa"/>
            <w:vAlign w:val="bottom"/>
          </w:tcPr>
          <w:p>
            <w:pPr>
              <w:jc w:val="right"/>
              <w:ind w:right="475"/>
              <w:spacing w:after="0"/>
              <w:rPr>
                <w:sz w:val="20"/>
                <w:szCs w:val="20"/>
                <w:color w:val="auto"/>
              </w:rPr>
            </w:pPr>
            <w:r>
              <w:rPr>
                <w:rFonts w:ascii="Arial" w:cs="Arial" w:eastAsia="Arial" w:hAnsi="Arial"/>
                <w:sz w:val="13"/>
                <w:szCs w:val="13"/>
                <w:color w:val="auto"/>
              </w:rPr>
              <w:t>10.26</w:t>
            </w:r>
          </w:p>
        </w:tc>
        <w:tc>
          <w:tcPr>
            <w:tcW w:w="4360" w:type="dxa"/>
            <w:vAlign w:val="bottom"/>
          </w:tcPr>
          <w:p>
            <w:pPr>
              <w:ind w:left="180"/>
              <w:spacing w:after="0"/>
              <w:rPr>
                <w:sz w:val="20"/>
                <w:szCs w:val="20"/>
                <w:color w:val="auto"/>
              </w:rPr>
            </w:pPr>
            <w:r>
              <w:rPr>
                <w:rFonts w:ascii="Arial" w:cs="Arial" w:eastAsia="Arial" w:hAnsi="Arial"/>
                <w:sz w:val="13"/>
                <w:szCs w:val="13"/>
                <w:color w:val="auto"/>
              </w:rPr>
              <w:t>Acknowledgement and Consent to Bail-In of EEA Financial Institutions.</w:t>
            </w:r>
          </w:p>
        </w:tc>
        <w:tc>
          <w:tcPr>
            <w:tcW w:w="6180" w:type="dxa"/>
            <w:vAlign w:val="bottom"/>
          </w:tcPr>
          <w:p>
            <w:pPr>
              <w:jc w:val="right"/>
              <w:spacing w:after="0"/>
              <w:rPr>
                <w:sz w:val="20"/>
                <w:szCs w:val="20"/>
                <w:color w:val="auto"/>
              </w:rPr>
            </w:pPr>
            <w:r>
              <w:rPr>
                <w:rFonts w:ascii="Arial" w:cs="Arial" w:eastAsia="Arial" w:hAnsi="Arial"/>
                <w:sz w:val="13"/>
                <w:szCs w:val="13"/>
                <w:color w:val="auto"/>
              </w:rPr>
              <w:t>133</w:t>
            </w:r>
          </w:p>
        </w:tc>
        <w:tc>
          <w:tcPr>
            <w:tcW w:w="0" w:type="dxa"/>
            <w:vAlign w:val="bottom"/>
          </w:tcPr>
          <w:p>
            <w:pPr>
              <w:spacing w:after="0"/>
              <w:rPr>
                <w:sz w:val="1"/>
                <w:szCs w:val="1"/>
                <w:color w:val="auto"/>
              </w:rPr>
            </w:pPr>
          </w:p>
        </w:tc>
      </w:tr>
      <w:tr>
        <w:trPr>
          <w:trHeight w:val="166"/>
        </w:trPr>
        <w:tc>
          <w:tcPr>
            <w:tcW w:w="960" w:type="dxa"/>
            <w:vAlign w:val="bottom"/>
          </w:tcPr>
          <w:p>
            <w:pPr>
              <w:jc w:val="right"/>
              <w:ind w:right="475"/>
              <w:spacing w:after="0"/>
              <w:rPr>
                <w:sz w:val="20"/>
                <w:szCs w:val="20"/>
                <w:color w:val="auto"/>
              </w:rPr>
            </w:pPr>
            <w:r>
              <w:rPr>
                <w:rFonts w:ascii="Arial" w:cs="Arial" w:eastAsia="Arial" w:hAnsi="Arial"/>
                <w:sz w:val="13"/>
                <w:szCs w:val="13"/>
                <w:color w:val="auto"/>
              </w:rPr>
              <w:t>10.27</w:t>
            </w:r>
          </w:p>
        </w:tc>
        <w:tc>
          <w:tcPr>
            <w:tcW w:w="4360" w:type="dxa"/>
            <w:vAlign w:val="bottom"/>
          </w:tcPr>
          <w:p>
            <w:pPr>
              <w:ind w:left="180"/>
              <w:spacing w:after="0"/>
              <w:rPr>
                <w:sz w:val="20"/>
                <w:szCs w:val="20"/>
                <w:color w:val="auto"/>
              </w:rPr>
            </w:pPr>
            <w:r>
              <w:rPr>
                <w:rFonts w:ascii="Arial" w:cs="Arial" w:eastAsia="Arial" w:hAnsi="Arial"/>
                <w:sz w:val="13"/>
                <w:szCs w:val="13"/>
                <w:color w:val="auto"/>
              </w:rPr>
              <w:t>Amendment and Restatement.</w:t>
            </w:r>
          </w:p>
        </w:tc>
        <w:tc>
          <w:tcPr>
            <w:tcW w:w="6180" w:type="dxa"/>
            <w:vAlign w:val="bottom"/>
          </w:tcPr>
          <w:p>
            <w:pPr>
              <w:jc w:val="right"/>
              <w:spacing w:after="0"/>
              <w:rPr>
                <w:sz w:val="20"/>
                <w:szCs w:val="20"/>
                <w:color w:val="auto"/>
              </w:rPr>
            </w:pPr>
            <w:r>
              <w:rPr>
                <w:rFonts w:ascii="Arial" w:cs="Arial" w:eastAsia="Arial" w:hAnsi="Arial"/>
                <w:sz w:val="13"/>
                <w:szCs w:val="13"/>
                <w:color w:val="auto"/>
              </w:rPr>
              <w:t>134</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r>
              <w:rPr>
                <w:rFonts w:ascii="Arial" w:cs="Arial" w:eastAsia="Arial" w:hAnsi="Arial"/>
                <w:sz w:val="13"/>
                <w:szCs w:val="13"/>
                <w:color w:val="auto"/>
              </w:rPr>
              <w:t>SIGNATURES</w:t>
            </w:r>
          </w:p>
        </w:tc>
        <w:tc>
          <w:tcPr>
            <w:tcW w:w="4360" w:type="dxa"/>
            <w:vAlign w:val="bottom"/>
          </w:tcPr>
          <w:p>
            <w:pPr>
              <w:spacing w:after="0"/>
              <w:rPr>
                <w:sz w:val="20"/>
                <w:szCs w:val="20"/>
                <w:color w:val="auto"/>
              </w:rPr>
            </w:pPr>
          </w:p>
        </w:tc>
        <w:tc>
          <w:tcPr>
            <w:tcW w:w="6180" w:type="dxa"/>
            <w:vAlign w:val="bottom"/>
          </w:tcPr>
          <w:p>
            <w:pPr>
              <w:jc w:val="right"/>
              <w:spacing w:after="0"/>
              <w:rPr>
                <w:sz w:val="20"/>
                <w:szCs w:val="20"/>
                <w:color w:val="auto"/>
              </w:rPr>
            </w:pPr>
            <w:r>
              <w:rPr>
                <w:rFonts w:ascii="Arial" w:cs="Arial" w:eastAsia="Arial" w:hAnsi="Arial"/>
                <w:sz w:val="13"/>
                <w:szCs w:val="13"/>
                <w:color w:val="auto"/>
              </w:rPr>
              <w:t>S-1, 3, 4</w:t>
            </w:r>
          </w:p>
        </w:tc>
        <w:tc>
          <w:tcPr>
            <w:tcW w:w="0" w:type="dxa"/>
            <w:vAlign w:val="bottom"/>
          </w:tcPr>
          <w:p>
            <w:pPr>
              <w:spacing w:after="0"/>
              <w:rPr>
                <w:sz w:val="1"/>
                <w:szCs w:val="1"/>
                <w:color w:val="auto"/>
              </w:rPr>
            </w:pPr>
          </w:p>
        </w:tc>
      </w:tr>
      <w:tr>
        <w:trPr>
          <w:trHeight w:val="557"/>
        </w:trPr>
        <w:tc>
          <w:tcPr>
            <w:tcW w:w="960" w:type="dxa"/>
            <w:vAlign w:val="bottom"/>
          </w:tcPr>
          <w:p>
            <w:pPr>
              <w:spacing w:after="0"/>
              <w:rPr>
                <w:sz w:val="20"/>
                <w:szCs w:val="20"/>
                <w:color w:val="auto"/>
              </w:rPr>
            </w:pPr>
            <w:r>
              <w:rPr>
                <w:rFonts w:ascii="Arial" w:cs="Arial" w:eastAsia="Arial" w:hAnsi="Arial"/>
                <w:sz w:val="10"/>
                <w:szCs w:val="10"/>
                <w:color w:val="auto"/>
              </w:rPr>
              <w:t>DB1/ 97390493.6</w:t>
            </w:r>
          </w:p>
        </w:tc>
        <w:tc>
          <w:tcPr>
            <w:tcW w:w="4360" w:type="dxa"/>
            <w:vAlign w:val="bottom"/>
          </w:tcPr>
          <w:p>
            <w:pPr>
              <w:spacing w:after="0"/>
              <w:rPr>
                <w:sz w:val="24"/>
                <w:szCs w:val="24"/>
                <w:color w:val="auto"/>
              </w:rPr>
            </w:pPr>
          </w:p>
        </w:tc>
        <w:tc>
          <w:tcPr>
            <w:tcW w:w="6180" w:type="dxa"/>
            <w:vAlign w:val="bottom"/>
            <w:vMerge w:val="restart"/>
          </w:tcPr>
          <w:p>
            <w:pPr>
              <w:jc w:val="right"/>
              <w:ind w:right="5614"/>
              <w:spacing w:after="0"/>
              <w:rPr>
                <w:sz w:val="20"/>
                <w:szCs w:val="20"/>
                <w:color w:val="auto"/>
              </w:rPr>
            </w:pPr>
            <w:r>
              <w:rPr>
                <w:rFonts w:ascii="Arial" w:cs="Arial" w:eastAsia="Arial" w:hAnsi="Arial"/>
                <w:sz w:val="13"/>
                <w:szCs w:val="13"/>
                <w:color w:val="auto"/>
              </w:rPr>
              <w:t>(iv)</w:t>
            </w:r>
          </w:p>
        </w:tc>
        <w:tc>
          <w:tcPr>
            <w:tcW w:w="0" w:type="dxa"/>
            <w:vAlign w:val="bottom"/>
          </w:tcPr>
          <w:p>
            <w:pPr>
              <w:spacing w:after="0"/>
              <w:rPr>
                <w:sz w:val="1"/>
                <w:szCs w:val="1"/>
                <w:color w:val="auto"/>
              </w:rPr>
            </w:pPr>
          </w:p>
        </w:tc>
      </w:tr>
      <w:tr>
        <w:trPr>
          <w:trHeight w:val="145"/>
        </w:trPr>
        <w:tc>
          <w:tcPr>
            <w:tcW w:w="96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6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960" w:type="dxa"/>
            <w:vAlign w:val="bottom"/>
            <w:tcBorders>
              <w:bottom w:val="single" w:sz="8" w:color="9A9A9A"/>
            </w:tcBorders>
          </w:tcPr>
          <w:p>
            <w:pPr>
              <w:spacing w:after="0"/>
              <w:rPr>
                <w:sz w:val="6"/>
                <w:szCs w:val="6"/>
                <w:color w:val="auto"/>
              </w:rPr>
            </w:pPr>
          </w:p>
        </w:tc>
        <w:tc>
          <w:tcPr>
            <w:tcW w:w="4360" w:type="dxa"/>
            <w:vAlign w:val="bottom"/>
            <w:tcBorders>
              <w:bottom w:val="single" w:sz="8" w:color="9A9A9A"/>
            </w:tcBorders>
          </w:tcPr>
          <w:p>
            <w:pPr>
              <w:spacing w:after="0"/>
              <w:rPr>
                <w:sz w:val="6"/>
                <w:szCs w:val="6"/>
                <w:color w:val="auto"/>
              </w:rPr>
            </w:pPr>
          </w:p>
        </w:tc>
        <w:tc>
          <w:tcPr>
            <w:tcW w:w="618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28" w:right="17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0"/>
        </w:trPr>
        <w:tc>
          <w:tcPr>
            <w:tcW w:w="1160" w:type="dxa"/>
            <w:vAlign w:val="bottom"/>
          </w:tcPr>
          <w:p>
            <w:pPr>
              <w:spacing w:after="0"/>
              <w:rPr>
                <w:sz w:val="20"/>
                <w:szCs w:val="20"/>
                <w:color w:val="auto"/>
              </w:rPr>
            </w:pPr>
            <w:r>
              <w:rPr>
                <w:rFonts w:ascii="Arial" w:cs="Arial" w:eastAsia="Arial" w:hAnsi="Arial"/>
                <w:sz w:val="13"/>
                <w:szCs w:val="13"/>
                <w:b w:val="1"/>
                <w:bCs w:val="1"/>
                <w:color w:val="auto"/>
              </w:rPr>
              <w:t>SCHEDULES</w:t>
            </w:r>
          </w:p>
        </w:tc>
        <w:tc>
          <w:tcPr>
            <w:tcW w:w="10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160" w:type="dxa"/>
            <w:vAlign w:val="bottom"/>
          </w:tcPr>
          <w:p>
            <w:pPr>
              <w:ind w:left="200"/>
              <w:spacing w:after="0"/>
              <w:rPr>
                <w:sz w:val="20"/>
                <w:szCs w:val="20"/>
                <w:color w:val="auto"/>
              </w:rPr>
            </w:pPr>
            <w:r>
              <w:rPr>
                <w:rFonts w:ascii="Arial" w:cs="Arial" w:eastAsia="Arial" w:hAnsi="Arial"/>
                <w:sz w:val="13"/>
                <w:szCs w:val="13"/>
                <w:color w:val="auto"/>
              </w:rPr>
              <w:t>1.01</w:t>
            </w:r>
          </w:p>
        </w:tc>
        <w:tc>
          <w:tcPr>
            <w:tcW w:w="10340" w:type="dxa"/>
            <w:vAlign w:val="bottom"/>
          </w:tcPr>
          <w:p>
            <w:pPr>
              <w:ind w:left="820"/>
              <w:spacing w:after="0"/>
              <w:rPr>
                <w:sz w:val="20"/>
                <w:szCs w:val="20"/>
                <w:color w:val="auto"/>
              </w:rPr>
            </w:pPr>
            <w:r>
              <w:rPr>
                <w:rFonts w:ascii="Arial" w:cs="Arial" w:eastAsia="Arial" w:hAnsi="Arial"/>
                <w:sz w:val="13"/>
                <w:szCs w:val="13"/>
                <w:color w:val="auto"/>
              </w:rPr>
              <w:t>Borrowers</w:t>
            </w:r>
          </w:p>
        </w:tc>
        <w:tc>
          <w:tcPr>
            <w:tcW w:w="0" w:type="dxa"/>
            <w:vAlign w:val="bottom"/>
          </w:tcPr>
          <w:p>
            <w:pPr>
              <w:spacing w:after="0"/>
              <w:rPr>
                <w:sz w:val="1"/>
                <w:szCs w:val="1"/>
                <w:color w:val="auto"/>
              </w:rPr>
            </w:pPr>
          </w:p>
        </w:tc>
      </w:tr>
      <w:tr>
        <w:trPr>
          <w:trHeight w:val="144"/>
        </w:trPr>
        <w:tc>
          <w:tcPr>
            <w:tcW w:w="1160" w:type="dxa"/>
            <w:vAlign w:val="bottom"/>
          </w:tcPr>
          <w:p>
            <w:pPr>
              <w:ind w:left="200"/>
              <w:spacing w:after="0" w:line="144" w:lineRule="exact"/>
              <w:rPr>
                <w:sz w:val="20"/>
                <w:szCs w:val="20"/>
                <w:color w:val="auto"/>
              </w:rPr>
            </w:pPr>
            <w:r>
              <w:rPr>
                <w:rFonts w:ascii="Arial" w:cs="Arial" w:eastAsia="Arial" w:hAnsi="Arial"/>
                <w:sz w:val="13"/>
                <w:szCs w:val="13"/>
                <w:color w:val="auto"/>
              </w:rPr>
              <w:t>2.01</w:t>
            </w:r>
          </w:p>
        </w:tc>
        <w:tc>
          <w:tcPr>
            <w:tcW w:w="10340" w:type="dxa"/>
            <w:vAlign w:val="bottom"/>
          </w:tcPr>
          <w:p>
            <w:pPr>
              <w:ind w:left="820"/>
              <w:spacing w:after="0" w:line="144" w:lineRule="exact"/>
              <w:rPr>
                <w:sz w:val="20"/>
                <w:szCs w:val="20"/>
                <w:color w:val="auto"/>
              </w:rPr>
            </w:pPr>
            <w:r>
              <w:rPr>
                <w:rFonts w:ascii="Arial" w:cs="Arial" w:eastAsia="Arial" w:hAnsi="Arial"/>
                <w:sz w:val="13"/>
                <w:szCs w:val="13"/>
                <w:color w:val="auto"/>
              </w:rPr>
              <w:t>Commitments and Applicable Percentages</w:t>
            </w:r>
          </w:p>
        </w:tc>
        <w:tc>
          <w:tcPr>
            <w:tcW w:w="0" w:type="dxa"/>
            <w:vAlign w:val="bottom"/>
          </w:tcPr>
          <w:p>
            <w:pPr>
              <w:spacing w:after="0"/>
              <w:rPr>
                <w:sz w:val="1"/>
                <w:szCs w:val="1"/>
                <w:color w:val="auto"/>
              </w:rPr>
            </w:pPr>
          </w:p>
        </w:tc>
      </w:tr>
      <w:tr>
        <w:trPr>
          <w:trHeight w:val="153"/>
        </w:trPr>
        <w:tc>
          <w:tcPr>
            <w:tcW w:w="1160" w:type="dxa"/>
            <w:vAlign w:val="bottom"/>
          </w:tcPr>
          <w:p>
            <w:pPr>
              <w:ind w:left="200"/>
              <w:spacing w:after="0"/>
              <w:rPr>
                <w:sz w:val="20"/>
                <w:szCs w:val="20"/>
                <w:color w:val="auto"/>
              </w:rPr>
            </w:pPr>
            <w:r>
              <w:rPr>
                <w:rFonts w:ascii="Arial" w:cs="Arial" w:eastAsia="Arial" w:hAnsi="Arial"/>
                <w:sz w:val="13"/>
                <w:szCs w:val="13"/>
                <w:color w:val="auto"/>
              </w:rPr>
              <w:t>2.03</w:t>
            </w:r>
          </w:p>
        </w:tc>
        <w:tc>
          <w:tcPr>
            <w:tcW w:w="10340" w:type="dxa"/>
            <w:vAlign w:val="bottom"/>
          </w:tcPr>
          <w:p>
            <w:pPr>
              <w:ind w:left="820"/>
              <w:spacing w:after="0"/>
              <w:rPr>
                <w:sz w:val="20"/>
                <w:szCs w:val="20"/>
                <w:color w:val="auto"/>
              </w:rPr>
            </w:pPr>
            <w:r>
              <w:rPr>
                <w:rFonts w:ascii="Arial" w:cs="Arial" w:eastAsia="Arial" w:hAnsi="Arial"/>
                <w:sz w:val="13"/>
                <w:szCs w:val="13"/>
                <w:color w:val="auto"/>
              </w:rPr>
              <w:t>Existing Letters of Credit</w:t>
            </w:r>
          </w:p>
        </w:tc>
        <w:tc>
          <w:tcPr>
            <w:tcW w:w="0" w:type="dxa"/>
            <w:vAlign w:val="bottom"/>
          </w:tcPr>
          <w:p>
            <w:pPr>
              <w:spacing w:after="0"/>
              <w:rPr>
                <w:sz w:val="1"/>
                <w:szCs w:val="1"/>
                <w:color w:val="auto"/>
              </w:rPr>
            </w:pPr>
          </w:p>
        </w:tc>
      </w:tr>
      <w:tr>
        <w:trPr>
          <w:trHeight w:val="153"/>
        </w:trPr>
        <w:tc>
          <w:tcPr>
            <w:tcW w:w="1160" w:type="dxa"/>
            <w:vAlign w:val="bottom"/>
          </w:tcPr>
          <w:p>
            <w:pPr>
              <w:ind w:left="200"/>
              <w:spacing w:after="0"/>
              <w:rPr>
                <w:sz w:val="20"/>
                <w:szCs w:val="20"/>
                <w:color w:val="auto"/>
              </w:rPr>
            </w:pPr>
            <w:r>
              <w:rPr>
                <w:rFonts w:ascii="Arial" w:cs="Arial" w:eastAsia="Arial" w:hAnsi="Arial"/>
                <w:sz w:val="13"/>
                <w:szCs w:val="13"/>
                <w:color w:val="auto"/>
              </w:rPr>
              <w:t>5.01</w:t>
            </w:r>
          </w:p>
        </w:tc>
        <w:tc>
          <w:tcPr>
            <w:tcW w:w="10340" w:type="dxa"/>
            <w:vAlign w:val="bottom"/>
          </w:tcPr>
          <w:p>
            <w:pPr>
              <w:ind w:left="820"/>
              <w:spacing w:after="0"/>
              <w:rPr>
                <w:sz w:val="20"/>
                <w:szCs w:val="20"/>
                <w:color w:val="auto"/>
              </w:rPr>
            </w:pPr>
            <w:r>
              <w:rPr>
                <w:rFonts w:ascii="Arial" w:cs="Arial" w:eastAsia="Arial" w:hAnsi="Arial"/>
                <w:sz w:val="13"/>
                <w:szCs w:val="13"/>
                <w:color w:val="auto"/>
              </w:rPr>
              <w:t>Loan Parties Organizational Information</w:t>
            </w:r>
          </w:p>
        </w:tc>
        <w:tc>
          <w:tcPr>
            <w:tcW w:w="0" w:type="dxa"/>
            <w:vAlign w:val="bottom"/>
          </w:tcPr>
          <w:p>
            <w:pPr>
              <w:spacing w:after="0"/>
              <w:rPr>
                <w:sz w:val="1"/>
                <w:szCs w:val="1"/>
                <w:color w:val="auto"/>
              </w:rPr>
            </w:pPr>
          </w:p>
        </w:tc>
      </w:tr>
      <w:tr>
        <w:trPr>
          <w:trHeight w:val="153"/>
        </w:trPr>
        <w:tc>
          <w:tcPr>
            <w:tcW w:w="1160" w:type="dxa"/>
            <w:vAlign w:val="bottom"/>
          </w:tcPr>
          <w:p>
            <w:pPr>
              <w:ind w:left="200"/>
              <w:spacing w:after="0"/>
              <w:rPr>
                <w:sz w:val="20"/>
                <w:szCs w:val="20"/>
                <w:color w:val="auto"/>
              </w:rPr>
            </w:pPr>
            <w:r>
              <w:rPr>
                <w:rFonts w:ascii="Arial" w:cs="Arial" w:eastAsia="Arial" w:hAnsi="Arial"/>
                <w:sz w:val="13"/>
                <w:szCs w:val="13"/>
                <w:color w:val="auto"/>
              </w:rPr>
              <w:t>5.06</w:t>
            </w:r>
          </w:p>
        </w:tc>
        <w:tc>
          <w:tcPr>
            <w:tcW w:w="10340" w:type="dxa"/>
            <w:vAlign w:val="bottom"/>
          </w:tcPr>
          <w:p>
            <w:pPr>
              <w:ind w:left="820"/>
              <w:spacing w:after="0"/>
              <w:rPr>
                <w:sz w:val="20"/>
                <w:szCs w:val="20"/>
                <w:color w:val="auto"/>
              </w:rPr>
            </w:pPr>
            <w:r>
              <w:rPr>
                <w:rFonts w:ascii="Arial" w:cs="Arial" w:eastAsia="Arial" w:hAnsi="Arial"/>
                <w:sz w:val="13"/>
                <w:szCs w:val="13"/>
                <w:color w:val="auto"/>
              </w:rPr>
              <w:t>Litigation</w:t>
            </w:r>
          </w:p>
        </w:tc>
        <w:tc>
          <w:tcPr>
            <w:tcW w:w="0" w:type="dxa"/>
            <w:vAlign w:val="bottom"/>
          </w:tcPr>
          <w:p>
            <w:pPr>
              <w:spacing w:after="0"/>
              <w:rPr>
                <w:sz w:val="1"/>
                <w:szCs w:val="1"/>
                <w:color w:val="auto"/>
              </w:rPr>
            </w:pPr>
          </w:p>
        </w:tc>
      </w:tr>
      <w:tr>
        <w:trPr>
          <w:trHeight w:val="153"/>
        </w:trPr>
        <w:tc>
          <w:tcPr>
            <w:tcW w:w="1160" w:type="dxa"/>
            <w:vAlign w:val="bottom"/>
          </w:tcPr>
          <w:p>
            <w:pPr>
              <w:ind w:left="200"/>
              <w:spacing w:after="0"/>
              <w:rPr>
                <w:sz w:val="20"/>
                <w:szCs w:val="20"/>
                <w:color w:val="auto"/>
              </w:rPr>
            </w:pPr>
            <w:r>
              <w:rPr>
                <w:rFonts w:ascii="Arial" w:cs="Arial" w:eastAsia="Arial" w:hAnsi="Arial"/>
                <w:sz w:val="13"/>
                <w:szCs w:val="13"/>
                <w:color w:val="auto"/>
              </w:rPr>
              <w:t>5.08(b)(1)</w:t>
            </w:r>
          </w:p>
        </w:tc>
        <w:tc>
          <w:tcPr>
            <w:tcW w:w="10340" w:type="dxa"/>
            <w:vAlign w:val="bottom"/>
          </w:tcPr>
          <w:p>
            <w:pPr>
              <w:ind w:left="820"/>
              <w:spacing w:after="0"/>
              <w:rPr>
                <w:sz w:val="20"/>
                <w:szCs w:val="20"/>
                <w:color w:val="auto"/>
              </w:rPr>
            </w:pPr>
            <w:r>
              <w:rPr>
                <w:rFonts w:ascii="Arial" w:cs="Arial" w:eastAsia="Arial" w:hAnsi="Arial"/>
                <w:sz w:val="13"/>
                <w:szCs w:val="13"/>
                <w:color w:val="auto"/>
              </w:rPr>
              <w:t>Owned Real Estate</w:t>
            </w:r>
          </w:p>
        </w:tc>
        <w:tc>
          <w:tcPr>
            <w:tcW w:w="0" w:type="dxa"/>
            <w:vAlign w:val="bottom"/>
          </w:tcPr>
          <w:p>
            <w:pPr>
              <w:spacing w:after="0"/>
              <w:rPr>
                <w:sz w:val="1"/>
                <w:szCs w:val="1"/>
                <w:color w:val="auto"/>
              </w:rPr>
            </w:pPr>
          </w:p>
        </w:tc>
      </w:tr>
      <w:tr>
        <w:trPr>
          <w:trHeight w:val="153"/>
        </w:trPr>
        <w:tc>
          <w:tcPr>
            <w:tcW w:w="1160" w:type="dxa"/>
            <w:vAlign w:val="bottom"/>
          </w:tcPr>
          <w:p>
            <w:pPr>
              <w:ind w:left="200"/>
              <w:spacing w:after="0"/>
              <w:rPr>
                <w:sz w:val="20"/>
                <w:szCs w:val="20"/>
                <w:color w:val="auto"/>
              </w:rPr>
            </w:pPr>
            <w:r>
              <w:rPr>
                <w:rFonts w:ascii="Arial" w:cs="Arial" w:eastAsia="Arial" w:hAnsi="Arial"/>
                <w:sz w:val="13"/>
                <w:szCs w:val="13"/>
                <w:color w:val="auto"/>
              </w:rPr>
              <w:t>5.08(b)(2)</w:t>
            </w:r>
          </w:p>
        </w:tc>
        <w:tc>
          <w:tcPr>
            <w:tcW w:w="10340" w:type="dxa"/>
            <w:vAlign w:val="bottom"/>
          </w:tcPr>
          <w:p>
            <w:pPr>
              <w:ind w:left="820"/>
              <w:spacing w:after="0"/>
              <w:rPr>
                <w:sz w:val="20"/>
                <w:szCs w:val="20"/>
                <w:color w:val="auto"/>
              </w:rPr>
            </w:pPr>
            <w:r>
              <w:rPr>
                <w:rFonts w:ascii="Arial" w:cs="Arial" w:eastAsia="Arial" w:hAnsi="Arial"/>
                <w:sz w:val="13"/>
                <w:szCs w:val="13"/>
                <w:color w:val="auto"/>
              </w:rPr>
              <w:t>Leased Real Estate</w:t>
            </w:r>
          </w:p>
        </w:tc>
        <w:tc>
          <w:tcPr>
            <w:tcW w:w="0" w:type="dxa"/>
            <w:vAlign w:val="bottom"/>
          </w:tcPr>
          <w:p>
            <w:pPr>
              <w:spacing w:after="0"/>
              <w:rPr>
                <w:sz w:val="1"/>
                <w:szCs w:val="1"/>
                <w:color w:val="auto"/>
              </w:rPr>
            </w:pPr>
          </w:p>
        </w:tc>
      </w:tr>
      <w:tr>
        <w:trPr>
          <w:trHeight w:val="153"/>
        </w:trPr>
        <w:tc>
          <w:tcPr>
            <w:tcW w:w="1160" w:type="dxa"/>
            <w:vAlign w:val="bottom"/>
          </w:tcPr>
          <w:p>
            <w:pPr>
              <w:ind w:left="200"/>
              <w:spacing w:after="0"/>
              <w:rPr>
                <w:sz w:val="20"/>
                <w:szCs w:val="20"/>
                <w:color w:val="auto"/>
              </w:rPr>
            </w:pPr>
            <w:r>
              <w:rPr>
                <w:rFonts w:ascii="Arial" w:cs="Arial" w:eastAsia="Arial" w:hAnsi="Arial"/>
                <w:sz w:val="13"/>
                <w:szCs w:val="13"/>
                <w:color w:val="auto"/>
              </w:rPr>
              <w:t>5.10</w:t>
            </w:r>
          </w:p>
        </w:tc>
        <w:tc>
          <w:tcPr>
            <w:tcW w:w="10340" w:type="dxa"/>
            <w:vAlign w:val="bottom"/>
          </w:tcPr>
          <w:p>
            <w:pPr>
              <w:ind w:left="820"/>
              <w:spacing w:after="0"/>
              <w:rPr>
                <w:sz w:val="20"/>
                <w:szCs w:val="20"/>
                <w:color w:val="auto"/>
              </w:rPr>
            </w:pPr>
            <w:r>
              <w:rPr>
                <w:rFonts w:ascii="Arial" w:cs="Arial" w:eastAsia="Arial" w:hAnsi="Arial"/>
                <w:sz w:val="13"/>
                <w:szCs w:val="13"/>
                <w:color w:val="auto"/>
              </w:rPr>
              <w:t>Insurance</w:t>
            </w:r>
          </w:p>
        </w:tc>
        <w:tc>
          <w:tcPr>
            <w:tcW w:w="0" w:type="dxa"/>
            <w:vAlign w:val="bottom"/>
          </w:tcPr>
          <w:p>
            <w:pPr>
              <w:spacing w:after="0"/>
              <w:rPr>
                <w:sz w:val="1"/>
                <w:szCs w:val="1"/>
                <w:color w:val="auto"/>
              </w:rPr>
            </w:pPr>
          </w:p>
        </w:tc>
      </w:tr>
      <w:tr>
        <w:trPr>
          <w:trHeight w:val="153"/>
        </w:trPr>
        <w:tc>
          <w:tcPr>
            <w:tcW w:w="1160" w:type="dxa"/>
            <w:vAlign w:val="bottom"/>
          </w:tcPr>
          <w:p>
            <w:pPr>
              <w:ind w:left="200"/>
              <w:spacing w:after="0"/>
              <w:rPr>
                <w:sz w:val="20"/>
                <w:szCs w:val="20"/>
                <w:color w:val="auto"/>
              </w:rPr>
            </w:pPr>
            <w:r>
              <w:rPr>
                <w:rFonts w:ascii="Arial" w:cs="Arial" w:eastAsia="Arial" w:hAnsi="Arial"/>
                <w:sz w:val="13"/>
                <w:szCs w:val="13"/>
                <w:color w:val="auto"/>
              </w:rPr>
              <w:t>5.13</w:t>
            </w:r>
          </w:p>
        </w:tc>
        <w:tc>
          <w:tcPr>
            <w:tcW w:w="10340" w:type="dxa"/>
            <w:vAlign w:val="bottom"/>
          </w:tcPr>
          <w:p>
            <w:pPr>
              <w:ind w:left="820"/>
              <w:spacing w:after="0"/>
              <w:rPr>
                <w:sz w:val="20"/>
                <w:szCs w:val="20"/>
                <w:color w:val="auto"/>
              </w:rPr>
            </w:pPr>
            <w:r>
              <w:rPr>
                <w:rFonts w:ascii="Arial" w:cs="Arial" w:eastAsia="Arial" w:hAnsi="Arial"/>
                <w:sz w:val="13"/>
                <w:szCs w:val="13"/>
                <w:color w:val="auto"/>
              </w:rPr>
              <w:t>Subsidiaries; Other Equity Investments; Equity Interests in the Borrowers</w:t>
            </w:r>
          </w:p>
        </w:tc>
        <w:tc>
          <w:tcPr>
            <w:tcW w:w="0" w:type="dxa"/>
            <w:vAlign w:val="bottom"/>
          </w:tcPr>
          <w:p>
            <w:pPr>
              <w:spacing w:after="0"/>
              <w:rPr>
                <w:sz w:val="1"/>
                <w:szCs w:val="1"/>
                <w:color w:val="auto"/>
              </w:rPr>
            </w:pPr>
          </w:p>
        </w:tc>
      </w:tr>
      <w:tr>
        <w:trPr>
          <w:trHeight w:val="153"/>
        </w:trPr>
        <w:tc>
          <w:tcPr>
            <w:tcW w:w="1160" w:type="dxa"/>
            <w:vAlign w:val="bottom"/>
          </w:tcPr>
          <w:p>
            <w:pPr>
              <w:ind w:left="200"/>
              <w:spacing w:after="0"/>
              <w:rPr>
                <w:sz w:val="20"/>
                <w:szCs w:val="20"/>
                <w:color w:val="auto"/>
              </w:rPr>
            </w:pPr>
            <w:r>
              <w:rPr>
                <w:rFonts w:ascii="Arial" w:cs="Arial" w:eastAsia="Arial" w:hAnsi="Arial"/>
                <w:sz w:val="13"/>
                <w:szCs w:val="13"/>
                <w:color w:val="auto"/>
              </w:rPr>
              <w:t>5.17</w:t>
            </w:r>
          </w:p>
        </w:tc>
        <w:tc>
          <w:tcPr>
            <w:tcW w:w="10340" w:type="dxa"/>
            <w:vAlign w:val="bottom"/>
          </w:tcPr>
          <w:p>
            <w:pPr>
              <w:ind w:left="820"/>
              <w:spacing w:after="0"/>
              <w:rPr>
                <w:sz w:val="20"/>
                <w:szCs w:val="20"/>
                <w:color w:val="auto"/>
              </w:rPr>
            </w:pPr>
            <w:r>
              <w:rPr>
                <w:rFonts w:ascii="Arial" w:cs="Arial" w:eastAsia="Arial" w:hAnsi="Arial"/>
                <w:sz w:val="13"/>
                <w:szCs w:val="13"/>
                <w:color w:val="auto"/>
              </w:rPr>
              <w:t>Intellectual Property Matters</w:t>
            </w:r>
          </w:p>
        </w:tc>
        <w:tc>
          <w:tcPr>
            <w:tcW w:w="0" w:type="dxa"/>
            <w:vAlign w:val="bottom"/>
          </w:tcPr>
          <w:p>
            <w:pPr>
              <w:spacing w:after="0"/>
              <w:rPr>
                <w:sz w:val="1"/>
                <w:szCs w:val="1"/>
                <w:color w:val="auto"/>
              </w:rPr>
            </w:pPr>
          </w:p>
        </w:tc>
      </w:tr>
      <w:tr>
        <w:trPr>
          <w:trHeight w:val="153"/>
        </w:trPr>
        <w:tc>
          <w:tcPr>
            <w:tcW w:w="1160" w:type="dxa"/>
            <w:vAlign w:val="bottom"/>
          </w:tcPr>
          <w:p>
            <w:pPr>
              <w:ind w:left="200"/>
              <w:spacing w:after="0"/>
              <w:rPr>
                <w:sz w:val="20"/>
                <w:szCs w:val="20"/>
                <w:color w:val="auto"/>
              </w:rPr>
            </w:pPr>
            <w:r>
              <w:rPr>
                <w:rFonts w:ascii="Arial" w:cs="Arial" w:eastAsia="Arial" w:hAnsi="Arial"/>
                <w:sz w:val="13"/>
                <w:szCs w:val="13"/>
                <w:color w:val="auto"/>
              </w:rPr>
              <w:t>5.18</w:t>
            </w:r>
          </w:p>
        </w:tc>
        <w:tc>
          <w:tcPr>
            <w:tcW w:w="10340" w:type="dxa"/>
            <w:vAlign w:val="bottom"/>
          </w:tcPr>
          <w:p>
            <w:pPr>
              <w:ind w:left="820"/>
              <w:spacing w:after="0"/>
              <w:rPr>
                <w:sz w:val="20"/>
                <w:szCs w:val="20"/>
                <w:color w:val="auto"/>
              </w:rPr>
            </w:pPr>
            <w:r>
              <w:rPr>
                <w:rFonts w:ascii="Arial" w:cs="Arial" w:eastAsia="Arial" w:hAnsi="Arial"/>
                <w:sz w:val="13"/>
                <w:szCs w:val="13"/>
                <w:color w:val="auto"/>
              </w:rPr>
              <w:t>Collective Bargaining Agreements</w:t>
            </w:r>
          </w:p>
        </w:tc>
        <w:tc>
          <w:tcPr>
            <w:tcW w:w="0" w:type="dxa"/>
            <w:vAlign w:val="bottom"/>
          </w:tcPr>
          <w:p>
            <w:pPr>
              <w:spacing w:after="0"/>
              <w:rPr>
                <w:sz w:val="1"/>
                <w:szCs w:val="1"/>
                <w:color w:val="auto"/>
              </w:rPr>
            </w:pPr>
          </w:p>
        </w:tc>
      </w:tr>
      <w:tr>
        <w:trPr>
          <w:trHeight w:val="153"/>
        </w:trPr>
        <w:tc>
          <w:tcPr>
            <w:tcW w:w="1160" w:type="dxa"/>
            <w:vAlign w:val="bottom"/>
          </w:tcPr>
          <w:p>
            <w:pPr>
              <w:ind w:left="200"/>
              <w:spacing w:after="0"/>
              <w:rPr>
                <w:sz w:val="20"/>
                <w:szCs w:val="20"/>
                <w:color w:val="auto"/>
              </w:rPr>
            </w:pPr>
            <w:r>
              <w:rPr>
                <w:rFonts w:ascii="Arial" w:cs="Arial" w:eastAsia="Arial" w:hAnsi="Arial"/>
                <w:sz w:val="13"/>
                <w:szCs w:val="13"/>
                <w:color w:val="auto"/>
              </w:rPr>
              <w:t>5.21(a)</w:t>
            </w:r>
          </w:p>
        </w:tc>
        <w:tc>
          <w:tcPr>
            <w:tcW w:w="10340" w:type="dxa"/>
            <w:vAlign w:val="bottom"/>
          </w:tcPr>
          <w:p>
            <w:pPr>
              <w:ind w:left="820"/>
              <w:spacing w:after="0"/>
              <w:rPr>
                <w:sz w:val="20"/>
                <w:szCs w:val="20"/>
                <w:color w:val="auto"/>
              </w:rPr>
            </w:pPr>
            <w:r>
              <w:rPr>
                <w:rFonts w:ascii="Arial" w:cs="Arial" w:eastAsia="Arial" w:hAnsi="Arial"/>
                <w:sz w:val="13"/>
                <w:szCs w:val="13"/>
                <w:color w:val="auto"/>
              </w:rPr>
              <w:t>DDAs</w:t>
            </w:r>
          </w:p>
        </w:tc>
        <w:tc>
          <w:tcPr>
            <w:tcW w:w="0" w:type="dxa"/>
            <w:vAlign w:val="bottom"/>
          </w:tcPr>
          <w:p>
            <w:pPr>
              <w:spacing w:after="0"/>
              <w:rPr>
                <w:sz w:val="1"/>
                <w:szCs w:val="1"/>
                <w:color w:val="auto"/>
              </w:rPr>
            </w:pPr>
          </w:p>
        </w:tc>
      </w:tr>
      <w:tr>
        <w:trPr>
          <w:trHeight w:val="153"/>
        </w:trPr>
        <w:tc>
          <w:tcPr>
            <w:tcW w:w="1160" w:type="dxa"/>
            <w:vAlign w:val="bottom"/>
          </w:tcPr>
          <w:p>
            <w:pPr>
              <w:ind w:left="200"/>
              <w:spacing w:after="0"/>
              <w:rPr>
                <w:sz w:val="20"/>
                <w:szCs w:val="20"/>
                <w:color w:val="auto"/>
              </w:rPr>
            </w:pPr>
            <w:r>
              <w:rPr>
                <w:rFonts w:ascii="Arial" w:cs="Arial" w:eastAsia="Arial" w:hAnsi="Arial"/>
                <w:sz w:val="13"/>
                <w:szCs w:val="13"/>
                <w:color w:val="auto"/>
              </w:rPr>
              <w:t>5.21(b)</w:t>
            </w:r>
          </w:p>
        </w:tc>
        <w:tc>
          <w:tcPr>
            <w:tcW w:w="10340" w:type="dxa"/>
            <w:vAlign w:val="bottom"/>
          </w:tcPr>
          <w:p>
            <w:pPr>
              <w:ind w:left="820"/>
              <w:spacing w:after="0"/>
              <w:rPr>
                <w:sz w:val="20"/>
                <w:szCs w:val="20"/>
                <w:color w:val="auto"/>
              </w:rPr>
            </w:pPr>
            <w:r>
              <w:rPr>
                <w:rFonts w:ascii="Arial" w:cs="Arial" w:eastAsia="Arial" w:hAnsi="Arial"/>
                <w:sz w:val="13"/>
                <w:szCs w:val="13"/>
                <w:color w:val="auto"/>
              </w:rPr>
              <w:t>Credit Card Arrangements</w:t>
            </w:r>
          </w:p>
        </w:tc>
        <w:tc>
          <w:tcPr>
            <w:tcW w:w="0" w:type="dxa"/>
            <w:vAlign w:val="bottom"/>
          </w:tcPr>
          <w:p>
            <w:pPr>
              <w:spacing w:after="0"/>
              <w:rPr>
                <w:sz w:val="1"/>
                <w:szCs w:val="1"/>
                <w:color w:val="auto"/>
              </w:rPr>
            </w:pPr>
          </w:p>
        </w:tc>
      </w:tr>
      <w:tr>
        <w:trPr>
          <w:trHeight w:val="153"/>
        </w:trPr>
        <w:tc>
          <w:tcPr>
            <w:tcW w:w="1160" w:type="dxa"/>
            <w:vAlign w:val="bottom"/>
          </w:tcPr>
          <w:p>
            <w:pPr>
              <w:ind w:left="200"/>
              <w:spacing w:after="0"/>
              <w:rPr>
                <w:sz w:val="20"/>
                <w:szCs w:val="20"/>
                <w:color w:val="auto"/>
              </w:rPr>
            </w:pPr>
            <w:r>
              <w:rPr>
                <w:rFonts w:ascii="Arial" w:cs="Arial" w:eastAsia="Arial" w:hAnsi="Arial"/>
                <w:sz w:val="13"/>
                <w:szCs w:val="13"/>
                <w:color w:val="auto"/>
              </w:rPr>
              <w:t>5.24</w:t>
            </w:r>
          </w:p>
        </w:tc>
        <w:tc>
          <w:tcPr>
            <w:tcW w:w="10340" w:type="dxa"/>
            <w:vAlign w:val="bottom"/>
          </w:tcPr>
          <w:p>
            <w:pPr>
              <w:ind w:left="820"/>
              <w:spacing w:after="0"/>
              <w:rPr>
                <w:sz w:val="20"/>
                <w:szCs w:val="20"/>
                <w:color w:val="auto"/>
              </w:rPr>
            </w:pPr>
            <w:r>
              <w:rPr>
                <w:rFonts w:ascii="Arial" w:cs="Arial" w:eastAsia="Arial" w:hAnsi="Arial"/>
                <w:sz w:val="13"/>
                <w:szCs w:val="13"/>
                <w:color w:val="auto"/>
              </w:rPr>
              <w:t>Material Contracts</w:t>
            </w:r>
          </w:p>
        </w:tc>
        <w:tc>
          <w:tcPr>
            <w:tcW w:w="0" w:type="dxa"/>
            <w:vAlign w:val="bottom"/>
          </w:tcPr>
          <w:p>
            <w:pPr>
              <w:spacing w:after="0"/>
              <w:rPr>
                <w:sz w:val="1"/>
                <w:szCs w:val="1"/>
                <w:color w:val="auto"/>
              </w:rPr>
            </w:pPr>
          </w:p>
        </w:tc>
      </w:tr>
      <w:tr>
        <w:trPr>
          <w:trHeight w:val="153"/>
        </w:trPr>
        <w:tc>
          <w:tcPr>
            <w:tcW w:w="1160" w:type="dxa"/>
            <w:vAlign w:val="bottom"/>
          </w:tcPr>
          <w:p>
            <w:pPr>
              <w:ind w:left="200"/>
              <w:spacing w:after="0"/>
              <w:rPr>
                <w:sz w:val="20"/>
                <w:szCs w:val="20"/>
                <w:color w:val="auto"/>
              </w:rPr>
            </w:pPr>
            <w:r>
              <w:rPr>
                <w:rFonts w:ascii="Arial" w:cs="Arial" w:eastAsia="Arial" w:hAnsi="Arial"/>
                <w:sz w:val="13"/>
                <w:szCs w:val="13"/>
                <w:color w:val="auto"/>
              </w:rPr>
              <w:t>6.02</w:t>
            </w:r>
          </w:p>
        </w:tc>
        <w:tc>
          <w:tcPr>
            <w:tcW w:w="10340" w:type="dxa"/>
            <w:vAlign w:val="bottom"/>
          </w:tcPr>
          <w:p>
            <w:pPr>
              <w:ind w:left="820"/>
              <w:spacing w:after="0"/>
              <w:rPr>
                <w:sz w:val="20"/>
                <w:szCs w:val="20"/>
                <w:color w:val="auto"/>
              </w:rPr>
            </w:pPr>
            <w:r>
              <w:rPr>
                <w:rFonts w:ascii="Arial" w:cs="Arial" w:eastAsia="Arial" w:hAnsi="Arial"/>
                <w:sz w:val="13"/>
                <w:szCs w:val="13"/>
                <w:color w:val="auto"/>
              </w:rPr>
              <w:t>Financial and Collateral Reporting</w:t>
            </w:r>
          </w:p>
        </w:tc>
        <w:tc>
          <w:tcPr>
            <w:tcW w:w="0" w:type="dxa"/>
            <w:vAlign w:val="bottom"/>
          </w:tcPr>
          <w:p>
            <w:pPr>
              <w:spacing w:after="0"/>
              <w:rPr>
                <w:sz w:val="1"/>
                <w:szCs w:val="1"/>
                <w:color w:val="auto"/>
              </w:rPr>
            </w:pPr>
          </w:p>
        </w:tc>
      </w:tr>
      <w:tr>
        <w:trPr>
          <w:trHeight w:val="153"/>
        </w:trPr>
        <w:tc>
          <w:tcPr>
            <w:tcW w:w="1160" w:type="dxa"/>
            <w:vAlign w:val="bottom"/>
          </w:tcPr>
          <w:p>
            <w:pPr>
              <w:ind w:left="200"/>
              <w:spacing w:after="0"/>
              <w:rPr>
                <w:sz w:val="20"/>
                <w:szCs w:val="20"/>
                <w:color w:val="auto"/>
              </w:rPr>
            </w:pPr>
            <w:r>
              <w:rPr>
                <w:rFonts w:ascii="Arial" w:cs="Arial" w:eastAsia="Arial" w:hAnsi="Arial"/>
                <w:sz w:val="13"/>
                <w:szCs w:val="13"/>
                <w:color w:val="auto"/>
              </w:rPr>
              <w:t>7.01</w:t>
            </w:r>
          </w:p>
        </w:tc>
        <w:tc>
          <w:tcPr>
            <w:tcW w:w="10340" w:type="dxa"/>
            <w:vAlign w:val="bottom"/>
          </w:tcPr>
          <w:p>
            <w:pPr>
              <w:ind w:left="820"/>
              <w:spacing w:after="0"/>
              <w:rPr>
                <w:sz w:val="20"/>
                <w:szCs w:val="20"/>
                <w:color w:val="auto"/>
              </w:rPr>
            </w:pPr>
            <w:r>
              <w:rPr>
                <w:rFonts w:ascii="Arial" w:cs="Arial" w:eastAsia="Arial" w:hAnsi="Arial"/>
                <w:sz w:val="13"/>
                <w:szCs w:val="13"/>
                <w:color w:val="auto"/>
              </w:rPr>
              <w:t>Existing Liens</w:t>
            </w:r>
          </w:p>
        </w:tc>
        <w:tc>
          <w:tcPr>
            <w:tcW w:w="0" w:type="dxa"/>
            <w:vAlign w:val="bottom"/>
          </w:tcPr>
          <w:p>
            <w:pPr>
              <w:spacing w:after="0"/>
              <w:rPr>
                <w:sz w:val="1"/>
                <w:szCs w:val="1"/>
                <w:color w:val="auto"/>
              </w:rPr>
            </w:pPr>
          </w:p>
        </w:tc>
      </w:tr>
      <w:tr>
        <w:trPr>
          <w:trHeight w:val="153"/>
        </w:trPr>
        <w:tc>
          <w:tcPr>
            <w:tcW w:w="1160" w:type="dxa"/>
            <w:vAlign w:val="bottom"/>
          </w:tcPr>
          <w:p>
            <w:pPr>
              <w:ind w:left="200"/>
              <w:spacing w:after="0"/>
              <w:rPr>
                <w:sz w:val="20"/>
                <w:szCs w:val="20"/>
                <w:color w:val="auto"/>
              </w:rPr>
            </w:pPr>
            <w:r>
              <w:rPr>
                <w:rFonts w:ascii="Arial" w:cs="Arial" w:eastAsia="Arial" w:hAnsi="Arial"/>
                <w:sz w:val="13"/>
                <w:szCs w:val="13"/>
                <w:color w:val="auto"/>
              </w:rPr>
              <w:t>7.02</w:t>
            </w:r>
          </w:p>
        </w:tc>
        <w:tc>
          <w:tcPr>
            <w:tcW w:w="10340" w:type="dxa"/>
            <w:vAlign w:val="bottom"/>
          </w:tcPr>
          <w:p>
            <w:pPr>
              <w:ind w:left="820"/>
              <w:spacing w:after="0"/>
              <w:rPr>
                <w:sz w:val="20"/>
                <w:szCs w:val="20"/>
                <w:color w:val="auto"/>
              </w:rPr>
            </w:pPr>
            <w:r>
              <w:rPr>
                <w:rFonts w:ascii="Arial" w:cs="Arial" w:eastAsia="Arial" w:hAnsi="Arial"/>
                <w:sz w:val="13"/>
                <w:szCs w:val="13"/>
                <w:color w:val="auto"/>
              </w:rPr>
              <w:t>Existing Investments</w:t>
            </w:r>
          </w:p>
        </w:tc>
        <w:tc>
          <w:tcPr>
            <w:tcW w:w="0" w:type="dxa"/>
            <w:vAlign w:val="bottom"/>
          </w:tcPr>
          <w:p>
            <w:pPr>
              <w:spacing w:after="0"/>
              <w:rPr>
                <w:sz w:val="1"/>
                <w:szCs w:val="1"/>
                <w:color w:val="auto"/>
              </w:rPr>
            </w:pPr>
          </w:p>
        </w:tc>
      </w:tr>
      <w:tr>
        <w:trPr>
          <w:trHeight w:val="153"/>
        </w:trPr>
        <w:tc>
          <w:tcPr>
            <w:tcW w:w="1160" w:type="dxa"/>
            <w:vAlign w:val="bottom"/>
          </w:tcPr>
          <w:p>
            <w:pPr>
              <w:ind w:left="200"/>
              <w:spacing w:after="0"/>
              <w:rPr>
                <w:sz w:val="20"/>
                <w:szCs w:val="20"/>
                <w:color w:val="auto"/>
              </w:rPr>
            </w:pPr>
            <w:r>
              <w:rPr>
                <w:rFonts w:ascii="Arial" w:cs="Arial" w:eastAsia="Arial" w:hAnsi="Arial"/>
                <w:sz w:val="13"/>
                <w:szCs w:val="13"/>
                <w:color w:val="auto"/>
              </w:rPr>
              <w:t>7.03</w:t>
            </w:r>
          </w:p>
        </w:tc>
        <w:tc>
          <w:tcPr>
            <w:tcW w:w="10340" w:type="dxa"/>
            <w:vAlign w:val="bottom"/>
          </w:tcPr>
          <w:p>
            <w:pPr>
              <w:ind w:left="820"/>
              <w:spacing w:after="0"/>
              <w:rPr>
                <w:sz w:val="20"/>
                <w:szCs w:val="20"/>
                <w:color w:val="auto"/>
              </w:rPr>
            </w:pPr>
            <w:r>
              <w:rPr>
                <w:rFonts w:ascii="Arial" w:cs="Arial" w:eastAsia="Arial" w:hAnsi="Arial"/>
                <w:sz w:val="13"/>
                <w:szCs w:val="13"/>
                <w:color w:val="auto"/>
              </w:rPr>
              <w:t>Existing Indebtedness</w:t>
            </w:r>
          </w:p>
        </w:tc>
        <w:tc>
          <w:tcPr>
            <w:tcW w:w="0" w:type="dxa"/>
            <w:vAlign w:val="bottom"/>
          </w:tcPr>
          <w:p>
            <w:pPr>
              <w:spacing w:after="0"/>
              <w:rPr>
                <w:sz w:val="1"/>
                <w:szCs w:val="1"/>
                <w:color w:val="auto"/>
              </w:rPr>
            </w:pPr>
          </w:p>
        </w:tc>
      </w:tr>
      <w:tr>
        <w:trPr>
          <w:trHeight w:val="153"/>
        </w:trPr>
        <w:tc>
          <w:tcPr>
            <w:tcW w:w="1160" w:type="dxa"/>
            <w:vAlign w:val="bottom"/>
          </w:tcPr>
          <w:p>
            <w:pPr>
              <w:ind w:left="200"/>
              <w:spacing w:after="0"/>
              <w:rPr>
                <w:sz w:val="20"/>
                <w:szCs w:val="20"/>
                <w:color w:val="auto"/>
              </w:rPr>
            </w:pPr>
            <w:r>
              <w:rPr>
                <w:rFonts w:ascii="Arial" w:cs="Arial" w:eastAsia="Arial" w:hAnsi="Arial"/>
                <w:sz w:val="13"/>
                <w:szCs w:val="13"/>
                <w:color w:val="auto"/>
              </w:rPr>
              <w:t>7.09</w:t>
            </w:r>
          </w:p>
        </w:tc>
        <w:tc>
          <w:tcPr>
            <w:tcW w:w="10340" w:type="dxa"/>
            <w:vAlign w:val="bottom"/>
          </w:tcPr>
          <w:p>
            <w:pPr>
              <w:ind w:left="820"/>
              <w:spacing w:after="0"/>
              <w:rPr>
                <w:sz w:val="20"/>
                <w:szCs w:val="20"/>
                <w:color w:val="auto"/>
              </w:rPr>
            </w:pPr>
            <w:r>
              <w:rPr>
                <w:rFonts w:ascii="Arial" w:cs="Arial" w:eastAsia="Arial" w:hAnsi="Arial"/>
                <w:sz w:val="13"/>
                <w:szCs w:val="13"/>
                <w:color w:val="auto"/>
              </w:rPr>
              <w:t>Affiliate Transactions</w:t>
            </w:r>
          </w:p>
        </w:tc>
        <w:tc>
          <w:tcPr>
            <w:tcW w:w="0" w:type="dxa"/>
            <w:vAlign w:val="bottom"/>
          </w:tcPr>
          <w:p>
            <w:pPr>
              <w:spacing w:after="0"/>
              <w:rPr>
                <w:sz w:val="1"/>
                <w:szCs w:val="1"/>
                <w:color w:val="auto"/>
              </w:rPr>
            </w:pPr>
          </w:p>
        </w:tc>
      </w:tr>
      <w:tr>
        <w:trPr>
          <w:trHeight w:val="166"/>
        </w:trPr>
        <w:tc>
          <w:tcPr>
            <w:tcW w:w="1160" w:type="dxa"/>
            <w:vAlign w:val="bottom"/>
          </w:tcPr>
          <w:p>
            <w:pPr>
              <w:ind w:left="200"/>
              <w:spacing w:after="0"/>
              <w:rPr>
                <w:sz w:val="20"/>
                <w:szCs w:val="20"/>
                <w:color w:val="auto"/>
              </w:rPr>
            </w:pPr>
            <w:r>
              <w:rPr>
                <w:rFonts w:ascii="Arial" w:cs="Arial" w:eastAsia="Arial" w:hAnsi="Arial"/>
                <w:sz w:val="13"/>
                <w:szCs w:val="13"/>
                <w:color w:val="auto"/>
              </w:rPr>
              <w:t>10.02</w:t>
            </w:r>
          </w:p>
        </w:tc>
        <w:tc>
          <w:tcPr>
            <w:tcW w:w="10340" w:type="dxa"/>
            <w:vAlign w:val="bottom"/>
          </w:tcPr>
          <w:p>
            <w:pPr>
              <w:ind w:left="820"/>
              <w:spacing w:after="0"/>
              <w:rPr>
                <w:sz w:val="20"/>
                <w:szCs w:val="20"/>
                <w:color w:val="auto"/>
              </w:rPr>
            </w:pPr>
            <w:r>
              <w:rPr>
                <w:rFonts w:ascii="Arial" w:cs="Arial" w:eastAsia="Arial" w:hAnsi="Arial"/>
                <w:sz w:val="13"/>
                <w:szCs w:val="13"/>
                <w:color w:val="auto"/>
              </w:rPr>
              <w:t>Agent’s Office; Certain Addresses for Notices</w:t>
            </w:r>
          </w:p>
        </w:tc>
        <w:tc>
          <w:tcPr>
            <w:tcW w:w="0" w:type="dxa"/>
            <w:vAlign w:val="bottom"/>
          </w:tcPr>
          <w:p>
            <w:pPr>
              <w:spacing w:after="0"/>
              <w:rPr>
                <w:sz w:val="1"/>
                <w:szCs w:val="1"/>
                <w:color w:val="auto"/>
              </w:rPr>
            </w:pPr>
          </w:p>
        </w:tc>
      </w:tr>
      <w:tr>
        <w:trPr>
          <w:trHeight w:val="306"/>
        </w:trPr>
        <w:tc>
          <w:tcPr>
            <w:tcW w:w="1160" w:type="dxa"/>
            <w:vAlign w:val="bottom"/>
          </w:tcPr>
          <w:p>
            <w:pPr>
              <w:spacing w:after="0"/>
              <w:rPr>
                <w:sz w:val="20"/>
                <w:szCs w:val="20"/>
                <w:color w:val="auto"/>
              </w:rPr>
            </w:pPr>
            <w:r>
              <w:rPr>
                <w:rFonts w:ascii="Arial" w:cs="Arial" w:eastAsia="Arial" w:hAnsi="Arial"/>
                <w:sz w:val="13"/>
                <w:szCs w:val="13"/>
                <w:b w:val="1"/>
                <w:bCs w:val="1"/>
                <w:color w:val="auto"/>
              </w:rPr>
              <w:t>EXHIBITS</w:t>
            </w:r>
          </w:p>
        </w:tc>
        <w:tc>
          <w:tcPr>
            <w:tcW w:w="10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160" w:type="dxa"/>
            <w:vAlign w:val="bottom"/>
          </w:tcPr>
          <w:p>
            <w:pPr>
              <w:spacing w:after="0"/>
              <w:rPr>
                <w:sz w:val="24"/>
                <w:szCs w:val="24"/>
                <w:color w:val="auto"/>
              </w:rPr>
            </w:pPr>
          </w:p>
        </w:tc>
        <w:tc>
          <w:tcPr>
            <w:tcW w:w="10340" w:type="dxa"/>
            <w:vAlign w:val="bottom"/>
          </w:tcPr>
          <w:p>
            <w:pPr>
              <w:ind w:left="360"/>
              <w:spacing w:after="0"/>
              <w:rPr>
                <w:sz w:val="20"/>
                <w:szCs w:val="20"/>
                <w:color w:val="auto"/>
              </w:rPr>
            </w:pPr>
            <w:r>
              <w:rPr>
                <w:rFonts w:ascii="Arial" w:cs="Arial" w:eastAsia="Arial" w:hAnsi="Arial"/>
                <w:sz w:val="13"/>
                <w:szCs w:val="13"/>
                <w:b w:val="1"/>
                <w:bCs w:val="1"/>
                <w:i w:val="1"/>
                <w:iCs w:val="1"/>
                <w:color w:val="auto"/>
              </w:rPr>
              <w:t>Form of</w:t>
            </w:r>
          </w:p>
        </w:tc>
        <w:tc>
          <w:tcPr>
            <w:tcW w:w="0" w:type="dxa"/>
            <w:vAlign w:val="bottom"/>
          </w:tcPr>
          <w:p>
            <w:pPr>
              <w:spacing w:after="0"/>
              <w:rPr>
                <w:sz w:val="1"/>
                <w:szCs w:val="1"/>
                <w:color w:val="auto"/>
              </w:rPr>
            </w:pPr>
          </w:p>
        </w:tc>
      </w:tr>
      <w:tr>
        <w:trPr>
          <w:trHeight w:val="294"/>
        </w:trPr>
        <w:tc>
          <w:tcPr>
            <w:tcW w:w="1160" w:type="dxa"/>
            <w:vAlign w:val="bottom"/>
          </w:tcPr>
          <w:p>
            <w:pPr>
              <w:ind w:left="200"/>
              <w:spacing w:after="0"/>
              <w:rPr>
                <w:sz w:val="20"/>
                <w:szCs w:val="20"/>
                <w:color w:val="auto"/>
              </w:rPr>
            </w:pPr>
            <w:r>
              <w:rPr>
                <w:rFonts w:ascii="Arial" w:cs="Arial" w:eastAsia="Arial" w:hAnsi="Arial"/>
                <w:sz w:val="13"/>
                <w:szCs w:val="13"/>
                <w:color w:val="auto"/>
              </w:rPr>
              <w:t>A</w:t>
            </w:r>
          </w:p>
        </w:tc>
        <w:tc>
          <w:tcPr>
            <w:tcW w:w="10340" w:type="dxa"/>
            <w:vAlign w:val="bottom"/>
          </w:tcPr>
          <w:p>
            <w:pPr>
              <w:ind w:left="820"/>
              <w:spacing w:after="0"/>
              <w:rPr>
                <w:sz w:val="20"/>
                <w:szCs w:val="20"/>
                <w:color w:val="auto"/>
              </w:rPr>
            </w:pPr>
            <w:r>
              <w:rPr>
                <w:rFonts w:ascii="Arial" w:cs="Arial" w:eastAsia="Arial" w:hAnsi="Arial"/>
                <w:sz w:val="13"/>
                <w:szCs w:val="13"/>
                <w:color w:val="auto"/>
              </w:rPr>
              <w:t>Committed Loan Notice</w:t>
            </w:r>
          </w:p>
        </w:tc>
        <w:tc>
          <w:tcPr>
            <w:tcW w:w="0" w:type="dxa"/>
            <w:vAlign w:val="bottom"/>
          </w:tcPr>
          <w:p>
            <w:pPr>
              <w:spacing w:after="0"/>
              <w:rPr>
                <w:sz w:val="1"/>
                <w:szCs w:val="1"/>
                <w:color w:val="auto"/>
              </w:rPr>
            </w:pPr>
          </w:p>
        </w:tc>
      </w:tr>
      <w:tr>
        <w:trPr>
          <w:trHeight w:val="153"/>
        </w:trPr>
        <w:tc>
          <w:tcPr>
            <w:tcW w:w="1160" w:type="dxa"/>
            <w:vAlign w:val="bottom"/>
          </w:tcPr>
          <w:p>
            <w:pPr>
              <w:ind w:left="200"/>
              <w:spacing w:after="0"/>
              <w:rPr>
                <w:sz w:val="20"/>
                <w:szCs w:val="20"/>
                <w:color w:val="auto"/>
              </w:rPr>
            </w:pPr>
            <w:r>
              <w:rPr>
                <w:rFonts w:ascii="Arial" w:cs="Arial" w:eastAsia="Arial" w:hAnsi="Arial"/>
                <w:sz w:val="13"/>
                <w:szCs w:val="13"/>
                <w:color w:val="auto"/>
              </w:rPr>
              <w:t>B</w:t>
            </w:r>
          </w:p>
        </w:tc>
        <w:tc>
          <w:tcPr>
            <w:tcW w:w="10340" w:type="dxa"/>
            <w:vAlign w:val="bottom"/>
          </w:tcPr>
          <w:p>
            <w:pPr>
              <w:ind w:left="820"/>
              <w:spacing w:after="0"/>
              <w:rPr>
                <w:sz w:val="20"/>
                <w:szCs w:val="20"/>
                <w:color w:val="auto"/>
              </w:rPr>
            </w:pPr>
            <w:r>
              <w:rPr>
                <w:rFonts w:ascii="Arial" w:cs="Arial" w:eastAsia="Arial" w:hAnsi="Arial"/>
                <w:sz w:val="13"/>
                <w:szCs w:val="13"/>
                <w:color w:val="auto"/>
              </w:rPr>
              <w:t>Swing Line Loan Notice</w:t>
            </w:r>
          </w:p>
        </w:tc>
        <w:tc>
          <w:tcPr>
            <w:tcW w:w="0" w:type="dxa"/>
            <w:vAlign w:val="bottom"/>
          </w:tcPr>
          <w:p>
            <w:pPr>
              <w:spacing w:after="0"/>
              <w:rPr>
                <w:sz w:val="1"/>
                <w:szCs w:val="1"/>
                <w:color w:val="auto"/>
              </w:rPr>
            </w:pPr>
          </w:p>
        </w:tc>
      </w:tr>
      <w:tr>
        <w:trPr>
          <w:trHeight w:val="153"/>
        </w:trPr>
        <w:tc>
          <w:tcPr>
            <w:tcW w:w="1160" w:type="dxa"/>
            <w:vAlign w:val="bottom"/>
          </w:tcPr>
          <w:p>
            <w:pPr>
              <w:ind w:left="200"/>
              <w:spacing w:after="0"/>
              <w:rPr>
                <w:sz w:val="20"/>
                <w:szCs w:val="20"/>
                <w:color w:val="auto"/>
              </w:rPr>
            </w:pPr>
            <w:r>
              <w:rPr>
                <w:rFonts w:ascii="Arial" w:cs="Arial" w:eastAsia="Arial" w:hAnsi="Arial"/>
                <w:sz w:val="13"/>
                <w:szCs w:val="13"/>
                <w:color w:val="auto"/>
              </w:rPr>
              <w:t>C-1</w:t>
            </w:r>
          </w:p>
        </w:tc>
        <w:tc>
          <w:tcPr>
            <w:tcW w:w="10340" w:type="dxa"/>
            <w:vAlign w:val="bottom"/>
          </w:tcPr>
          <w:p>
            <w:pPr>
              <w:ind w:left="820"/>
              <w:spacing w:after="0"/>
              <w:rPr>
                <w:sz w:val="20"/>
                <w:szCs w:val="20"/>
                <w:color w:val="auto"/>
              </w:rPr>
            </w:pPr>
            <w:r>
              <w:rPr>
                <w:rFonts w:ascii="Arial" w:cs="Arial" w:eastAsia="Arial" w:hAnsi="Arial"/>
                <w:sz w:val="13"/>
                <w:szCs w:val="13"/>
                <w:color w:val="auto"/>
              </w:rPr>
              <w:t>Revolving Note</w:t>
            </w:r>
          </w:p>
        </w:tc>
        <w:tc>
          <w:tcPr>
            <w:tcW w:w="0" w:type="dxa"/>
            <w:vAlign w:val="bottom"/>
          </w:tcPr>
          <w:p>
            <w:pPr>
              <w:spacing w:after="0"/>
              <w:rPr>
                <w:sz w:val="1"/>
                <w:szCs w:val="1"/>
                <w:color w:val="auto"/>
              </w:rPr>
            </w:pPr>
          </w:p>
        </w:tc>
      </w:tr>
      <w:tr>
        <w:trPr>
          <w:trHeight w:val="153"/>
        </w:trPr>
        <w:tc>
          <w:tcPr>
            <w:tcW w:w="1160" w:type="dxa"/>
            <w:vAlign w:val="bottom"/>
          </w:tcPr>
          <w:p>
            <w:pPr>
              <w:ind w:left="200"/>
              <w:spacing w:after="0"/>
              <w:rPr>
                <w:sz w:val="20"/>
                <w:szCs w:val="20"/>
                <w:color w:val="auto"/>
              </w:rPr>
            </w:pPr>
            <w:r>
              <w:rPr>
                <w:rFonts w:ascii="Arial" w:cs="Arial" w:eastAsia="Arial" w:hAnsi="Arial"/>
                <w:sz w:val="13"/>
                <w:szCs w:val="13"/>
                <w:color w:val="auto"/>
              </w:rPr>
              <w:t>C-2</w:t>
            </w:r>
          </w:p>
        </w:tc>
        <w:tc>
          <w:tcPr>
            <w:tcW w:w="10340" w:type="dxa"/>
            <w:vAlign w:val="bottom"/>
          </w:tcPr>
          <w:p>
            <w:pPr>
              <w:ind w:left="820"/>
              <w:spacing w:after="0"/>
              <w:rPr>
                <w:sz w:val="20"/>
                <w:szCs w:val="20"/>
                <w:color w:val="auto"/>
              </w:rPr>
            </w:pPr>
            <w:r>
              <w:rPr>
                <w:rFonts w:ascii="Arial" w:cs="Arial" w:eastAsia="Arial" w:hAnsi="Arial"/>
                <w:sz w:val="13"/>
                <w:szCs w:val="13"/>
                <w:color w:val="auto"/>
              </w:rPr>
              <w:t>Swing Line Note</w:t>
            </w:r>
          </w:p>
        </w:tc>
        <w:tc>
          <w:tcPr>
            <w:tcW w:w="0" w:type="dxa"/>
            <w:vAlign w:val="bottom"/>
          </w:tcPr>
          <w:p>
            <w:pPr>
              <w:spacing w:after="0"/>
              <w:rPr>
                <w:sz w:val="1"/>
                <w:szCs w:val="1"/>
                <w:color w:val="auto"/>
              </w:rPr>
            </w:pPr>
          </w:p>
        </w:tc>
      </w:tr>
      <w:tr>
        <w:trPr>
          <w:trHeight w:val="153"/>
        </w:trPr>
        <w:tc>
          <w:tcPr>
            <w:tcW w:w="1160" w:type="dxa"/>
            <w:vAlign w:val="bottom"/>
          </w:tcPr>
          <w:p>
            <w:pPr>
              <w:ind w:left="200"/>
              <w:spacing w:after="0"/>
              <w:rPr>
                <w:sz w:val="20"/>
                <w:szCs w:val="20"/>
                <w:color w:val="auto"/>
              </w:rPr>
            </w:pPr>
            <w:r>
              <w:rPr>
                <w:rFonts w:ascii="Arial" w:cs="Arial" w:eastAsia="Arial" w:hAnsi="Arial"/>
                <w:sz w:val="13"/>
                <w:szCs w:val="13"/>
                <w:color w:val="auto"/>
              </w:rPr>
              <w:t>C-3</w:t>
            </w:r>
          </w:p>
        </w:tc>
        <w:tc>
          <w:tcPr>
            <w:tcW w:w="10340" w:type="dxa"/>
            <w:vAlign w:val="bottom"/>
          </w:tcPr>
          <w:p>
            <w:pPr>
              <w:ind w:left="820"/>
              <w:spacing w:after="0"/>
              <w:rPr>
                <w:sz w:val="20"/>
                <w:szCs w:val="20"/>
                <w:color w:val="auto"/>
              </w:rPr>
            </w:pPr>
            <w:r>
              <w:rPr>
                <w:rFonts w:ascii="Arial" w:cs="Arial" w:eastAsia="Arial" w:hAnsi="Arial"/>
                <w:sz w:val="13"/>
                <w:szCs w:val="13"/>
                <w:color w:val="auto"/>
              </w:rPr>
              <w:t>FILO Loan Note</w:t>
            </w:r>
          </w:p>
        </w:tc>
        <w:tc>
          <w:tcPr>
            <w:tcW w:w="0" w:type="dxa"/>
            <w:vAlign w:val="bottom"/>
          </w:tcPr>
          <w:p>
            <w:pPr>
              <w:spacing w:after="0"/>
              <w:rPr>
                <w:sz w:val="1"/>
                <w:szCs w:val="1"/>
                <w:color w:val="auto"/>
              </w:rPr>
            </w:pPr>
          </w:p>
        </w:tc>
      </w:tr>
      <w:tr>
        <w:trPr>
          <w:trHeight w:val="153"/>
        </w:trPr>
        <w:tc>
          <w:tcPr>
            <w:tcW w:w="1160" w:type="dxa"/>
            <w:vAlign w:val="bottom"/>
          </w:tcPr>
          <w:p>
            <w:pPr>
              <w:ind w:left="200"/>
              <w:spacing w:after="0"/>
              <w:rPr>
                <w:sz w:val="20"/>
                <w:szCs w:val="20"/>
                <w:color w:val="auto"/>
              </w:rPr>
            </w:pPr>
            <w:r>
              <w:rPr>
                <w:rFonts w:ascii="Arial" w:cs="Arial" w:eastAsia="Arial" w:hAnsi="Arial"/>
                <w:sz w:val="13"/>
                <w:szCs w:val="13"/>
                <w:color w:val="auto"/>
              </w:rPr>
              <w:t>D</w:t>
            </w:r>
          </w:p>
        </w:tc>
        <w:tc>
          <w:tcPr>
            <w:tcW w:w="10340" w:type="dxa"/>
            <w:vAlign w:val="bottom"/>
          </w:tcPr>
          <w:p>
            <w:pPr>
              <w:ind w:left="820"/>
              <w:spacing w:after="0"/>
              <w:rPr>
                <w:sz w:val="20"/>
                <w:szCs w:val="20"/>
                <w:color w:val="auto"/>
              </w:rPr>
            </w:pPr>
            <w:r>
              <w:rPr>
                <w:rFonts w:ascii="Arial" w:cs="Arial" w:eastAsia="Arial" w:hAnsi="Arial"/>
                <w:sz w:val="13"/>
                <w:szCs w:val="13"/>
                <w:color w:val="auto"/>
              </w:rPr>
              <w:t>Compliance Certificate</w:t>
            </w:r>
          </w:p>
        </w:tc>
        <w:tc>
          <w:tcPr>
            <w:tcW w:w="0" w:type="dxa"/>
            <w:vAlign w:val="bottom"/>
          </w:tcPr>
          <w:p>
            <w:pPr>
              <w:spacing w:after="0"/>
              <w:rPr>
                <w:sz w:val="1"/>
                <w:szCs w:val="1"/>
                <w:color w:val="auto"/>
              </w:rPr>
            </w:pPr>
          </w:p>
        </w:tc>
      </w:tr>
      <w:tr>
        <w:trPr>
          <w:trHeight w:val="153"/>
        </w:trPr>
        <w:tc>
          <w:tcPr>
            <w:tcW w:w="1160" w:type="dxa"/>
            <w:vAlign w:val="bottom"/>
          </w:tcPr>
          <w:p>
            <w:pPr>
              <w:ind w:left="200"/>
              <w:spacing w:after="0"/>
              <w:rPr>
                <w:sz w:val="20"/>
                <w:szCs w:val="20"/>
                <w:color w:val="auto"/>
              </w:rPr>
            </w:pPr>
            <w:r>
              <w:rPr>
                <w:rFonts w:ascii="Arial" w:cs="Arial" w:eastAsia="Arial" w:hAnsi="Arial"/>
                <w:sz w:val="13"/>
                <w:szCs w:val="13"/>
                <w:color w:val="auto"/>
              </w:rPr>
              <w:t>E</w:t>
            </w:r>
          </w:p>
        </w:tc>
        <w:tc>
          <w:tcPr>
            <w:tcW w:w="10340" w:type="dxa"/>
            <w:vAlign w:val="bottom"/>
          </w:tcPr>
          <w:p>
            <w:pPr>
              <w:ind w:left="820"/>
              <w:spacing w:after="0"/>
              <w:rPr>
                <w:sz w:val="20"/>
                <w:szCs w:val="20"/>
                <w:color w:val="auto"/>
              </w:rPr>
            </w:pPr>
            <w:r>
              <w:rPr>
                <w:rFonts w:ascii="Arial" w:cs="Arial" w:eastAsia="Arial" w:hAnsi="Arial"/>
                <w:sz w:val="13"/>
                <w:szCs w:val="13"/>
                <w:color w:val="auto"/>
              </w:rPr>
              <w:t>Assignment and Assumption</w:t>
            </w:r>
          </w:p>
        </w:tc>
        <w:tc>
          <w:tcPr>
            <w:tcW w:w="0" w:type="dxa"/>
            <w:vAlign w:val="bottom"/>
          </w:tcPr>
          <w:p>
            <w:pPr>
              <w:spacing w:after="0"/>
              <w:rPr>
                <w:sz w:val="1"/>
                <w:szCs w:val="1"/>
                <w:color w:val="auto"/>
              </w:rPr>
            </w:pPr>
          </w:p>
        </w:tc>
      </w:tr>
      <w:tr>
        <w:trPr>
          <w:trHeight w:val="153"/>
        </w:trPr>
        <w:tc>
          <w:tcPr>
            <w:tcW w:w="1160" w:type="dxa"/>
            <w:vAlign w:val="bottom"/>
          </w:tcPr>
          <w:p>
            <w:pPr>
              <w:ind w:left="200"/>
              <w:spacing w:after="0"/>
              <w:rPr>
                <w:sz w:val="20"/>
                <w:szCs w:val="20"/>
                <w:color w:val="auto"/>
              </w:rPr>
            </w:pPr>
            <w:r>
              <w:rPr>
                <w:rFonts w:ascii="Arial" w:cs="Arial" w:eastAsia="Arial" w:hAnsi="Arial"/>
                <w:sz w:val="13"/>
                <w:szCs w:val="13"/>
                <w:color w:val="auto"/>
              </w:rPr>
              <w:t>F</w:t>
            </w:r>
          </w:p>
        </w:tc>
        <w:tc>
          <w:tcPr>
            <w:tcW w:w="10340" w:type="dxa"/>
            <w:vAlign w:val="bottom"/>
          </w:tcPr>
          <w:p>
            <w:pPr>
              <w:ind w:left="820"/>
              <w:spacing w:after="0"/>
              <w:rPr>
                <w:sz w:val="20"/>
                <w:szCs w:val="20"/>
                <w:color w:val="auto"/>
              </w:rPr>
            </w:pPr>
            <w:r>
              <w:rPr>
                <w:rFonts w:ascii="Arial" w:cs="Arial" w:eastAsia="Arial" w:hAnsi="Arial"/>
                <w:sz w:val="13"/>
                <w:szCs w:val="13"/>
                <w:color w:val="auto"/>
              </w:rPr>
              <w:t>Borrowing Base Certificate</w:t>
            </w:r>
          </w:p>
        </w:tc>
        <w:tc>
          <w:tcPr>
            <w:tcW w:w="0" w:type="dxa"/>
            <w:vAlign w:val="bottom"/>
          </w:tcPr>
          <w:p>
            <w:pPr>
              <w:spacing w:after="0"/>
              <w:rPr>
                <w:sz w:val="1"/>
                <w:szCs w:val="1"/>
                <w:color w:val="auto"/>
              </w:rPr>
            </w:pPr>
          </w:p>
        </w:tc>
      </w:tr>
      <w:tr>
        <w:trPr>
          <w:trHeight w:val="166"/>
        </w:trPr>
        <w:tc>
          <w:tcPr>
            <w:tcW w:w="1160" w:type="dxa"/>
            <w:vAlign w:val="bottom"/>
          </w:tcPr>
          <w:p>
            <w:pPr>
              <w:ind w:left="200"/>
              <w:spacing w:after="0"/>
              <w:rPr>
                <w:sz w:val="20"/>
                <w:szCs w:val="20"/>
                <w:color w:val="auto"/>
              </w:rPr>
            </w:pPr>
            <w:r>
              <w:rPr>
                <w:rFonts w:ascii="Arial" w:cs="Arial" w:eastAsia="Arial" w:hAnsi="Arial"/>
                <w:sz w:val="13"/>
                <w:szCs w:val="13"/>
                <w:color w:val="auto"/>
              </w:rPr>
              <w:t>G-1 – G-4</w:t>
            </w:r>
          </w:p>
        </w:tc>
        <w:tc>
          <w:tcPr>
            <w:tcW w:w="10340" w:type="dxa"/>
            <w:vAlign w:val="bottom"/>
          </w:tcPr>
          <w:p>
            <w:pPr>
              <w:ind w:left="820"/>
              <w:spacing w:after="0"/>
              <w:rPr>
                <w:sz w:val="20"/>
                <w:szCs w:val="20"/>
                <w:color w:val="auto"/>
              </w:rPr>
            </w:pPr>
            <w:r>
              <w:rPr>
                <w:rFonts w:ascii="Arial" w:cs="Arial" w:eastAsia="Arial" w:hAnsi="Arial"/>
                <w:sz w:val="13"/>
                <w:szCs w:val="13"/>
                <w:color w:val="auto"/>
              </w:rPr>
              <w:t>Tax Compliance Certificates</w:t>
            </w:r>
          </w:p>
        </w:tc>
        <w:tc>
          <w:tcPr>
            <w:tcW w:w="0" w:type="dxa"/>
            <w:vAlign w:val="bottom"/>
          </w:tcPr>
          <w:p>
            <w:pPr>
              <w:spacing w:after="0"/>
              <w:rPr>
                <w:sz w:val="1"/>
                <w:szCs w:val="1"/>
                <w:color w:val="auto"/>
              </w:rPr>
            </w:pPr>
          </w:p>
        </w:tc>
      </w:tr>
      <w:tr>
        <w:trPr>
          <w:trHeight w:val="557"/>
        </w:trPr>
        <w:tc>
          <w:tcPr>
            <w:tcW w:w="1160" w:type="dxa"/>
            <w:vAlign w:val="bottom"/>
          </w:tcPr>
          <w:p>
            <w:pPr>
              <w:spacing w:after="0"/>
              <w:rPr>
                <w:sz w:val="20"/>
                <w:szCs w:val="20"/>
                <w:color w:val="auto"/>
              </w:rPr>
            </w:pPr>
            <w:r>
              <w:rPr>
                <w:rFonts w:ascii="Arial" w:cs="Arial" w:eastAsia="Arial" w:hAnsi="Arial"/>
                <w:sz w:val="10"/>
                <w:szCs w:val="10"/>
                <w:color w:val="auto"/>
              </w:rPr>
              <w:t>DB1/ 97390493.6</w:t>
            </w:r>
          </w:p>
        </w:tc>
        <w:tc>
          <w:tcPr>
            <w:tcW w:w="10340" w:type="dxa"/>
            <w:vAlign w:val="bottom"/>
            <w:vMerge w:val="restart"/>
          </w:tcPr>
          <w:p>
            <w:pPr>
              <w:ind w:left="4500"/>
              <w:spacing w:after="0"/>
              <w:rPr>
                <w:sz w:val="20"/>
                <w:szCs w:val="20"/>
                <w:color w:val="auto"/>
              </w:rPr>
            </w:pPr>
            <w:r>
              <w:rPr>
                <w:rFonts w:ascii="Arial" w:cs="Arial" w:eastAsia="Arial" w:hAnsi="Arial"/>
                <w:sz w:val="13"/>
                <w:szCs w:val="13"/>
                <w:color w:val="auto"/>
              </w:rPr>
              <w:t>(v)</w:t>
            </w:r>
          </w:p>
        </w:tc>
        <w:tc>
          <w:tcPr>
            <w:tcW w:w="0" w:type="dxa"/>
            <w:vAlign w:val="bottom"/>
          </w:tcPr>
          <w:p>
            <w:pPr>
              <w:spacing w:after="0"/>
              <w:rPr>
                <w:sz w:val="1"/>
                <w:szCs w:val="1"/>
                <w:color w:val="auto"/>
              </w:rPr>
            </w:pPr>
          </w:p>
        </w:tc>
      </w:tr>
      <w:tr>
        <w:trPr>
          <w:trHeight w:val="145"/>
        </w:trPr>
        <w:tc>
          <w:tcPr>
            <w:tcW w:w="1160" w:type="dxa"/>
            <w:vAlign w:val="bottom"/>
          </w:tcPr>
          <w:p>
            <w:pPr>
              <w:spacing w:after="0"/>
              <w:rPr>
                <w:sz w:val="12"/>
                <w:szCs w:val="12"/>
                <w:color w:val="auto"/>
              </w:rPr>
            </w:pPr>
          </w:p>
        </w:tc>
        <w:tc>
          <w:tcPr>
            <w:tcW w:w="10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1160" w:type="dxa"/>
            <w:vAlign w:val="bottom"/>
            <w:tcBorders>
              <w:bottom w:val="single" w:sz="8" w:color="9A9A9A"/>
            </w:tcBorders>
          </w:tcPr>
          <w:p>
            <w:pPr>
              <w:spacing w:after="0"/>
              <w:rPr>
                <w:sz w:val="6"/>
                <w:szCs w:val="6"/>
                <w:color w:val="auto"/>
              </w:rPr>
            </w:pPr>
          </w:p>
        </w:tc>
        <w:tc>
          <w:tcPr>
            <w:tcW w:w="1034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467" w:right="179" w:bottom="1440" w:gutter="0" w:footer="0" w:header="0"/>
        </w:sectPr>
      </w:pPr>
    </w:p>
    <w:bookmarkStart w:id="10" w:name="page11"/>
    <w:bookmarkEnd w:id="10"/>
    <w:p>
      <w:pPr>
        <w:ind w:left="3900"/>
        <w:spacing w:after="0"/>
        <w:rPr>
          <w:sz w:val="20"/>
          <w:szCs w:val="20"/>
          <w:color w:val="auto"/>
        </w:rPr>
      </w:pPr>
      <w:r>
        <w:rPr>
          <w:rFonts w:ascii="Arial" w:cs="Arial" w:eastAsia="Arial" w:hAnsi="Arial"/>
          <w:sz w:val="13"/>
          <w:szCs w:val="13"/>
          <w:color w:val="auto"/>
        </w:rPr>
        <w:t>SEVENTH AMENDED AND RESTATED CREDIT AGREEMENT</w:t>
      </w:r>
    </w:p>
    <w:p>
      <w:pPr>
        <w:spacing w:after="0" w:line="121" w:lineRule="exact"/>
        <w:rPr>
          <w:sz w:val="20"/>
          <w:szCs w:val="20"/>
          <w:color w:val="auto"/>
        </w:rPr>
      </w:pPr>
    </w:p>
    <w:p>
      <w:pPr>
        <w:ind w:left="1060"/>
        <w:spacing w:after="0"/>
        <w:rPr>
          <w:sz w:val="20"/>
          <w:szCs w:val="20"/>
          <w:color w:val="auto"/>
        </w:rPr>
      </w:pPr>
      <w:r>
        <w:rPr>
          <w:rFonts w:ascii="Arial" w:cs="Arial" w:eastAsia="Arial" w:hAnsi="Arial"/>
          <w:sz w:val="13"/>
          <w:szCs w:val="13"/>
          <w:color w:val="auto"/>
        </w:rPr>
        <w:t>This SEVENTH AMENDED AND RESTATED CREDIT AGREEMENT (“Agreement”) is entered into as of May 24, 2018, among</w:t>
      </w:r>
    </w:p>
    <w:p>
      <w:pPr>
        <w:spacing w:after="0" w:line="130"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DESTINATION XL GROUP, INC., a Delaware corporation (the “Lead Borrower”),</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 xml:space="preserve">the Persons named on </w:t>
      </w:r>
      <w:r>
        <w:rPr>
          <w:rFonts w:ascii="Arial" w:cs="Arial" w:eastAsia="Arial" w:hAnsi="Arial"/>
          <w:sz w:val="13"/>
          <w:szCs w:val="13"/>
          <w:u w:val="single" w:color="auto"/>
          <w:color w:val="auto"/>
        </w:rPr>
        <w:t>Schedule 1.01</w:t>
      </w:r>
      <w:r>
        <w:rPr>
          <w:rFonts w:ascii="Arial" w:cs="Arial" w:eastAsia="Arial" w:hAnsi="Arial"/>
          <w:sz w:val="13"/>
          <w:szCs w:val="13"/>
          <w:color w:val="auto"/>
        </w:rPr>
        <w:t xml:space="preserve"> hereto (collectively, the “Borrowers”),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the Guarantors,</w:t>
      </w:r>
    </w:p>
    <w:p>
      <w:pPr>
        <w:spacing w:after="0" w:line="130" w:lineRule="exact"/>
        <w:rPr>
          <w:sz w:val="20"/>
          <w:szCs w:val="20"/>
          <w:color w:val="auto"/>
        </w:rPr>
      </w:pPr>
    </w:p>
    <w:p>
      <w:pPr>
        <w:ind w:left="1060"/>
        <w:spacing w:after="0"/>
        <w:rPr>
          <w:sz w:val="20"/>
          <w:szCs w:val="20"/>
          <w:color w:val="auto"/>
        </w:rPr>
      </w:pPr>
      <w:r>
        <w:rPr>
          <w:rFonts w:ascii="Arial" w:cs="Arial" w:eastAsia="Arial" w:hAnsi="Arial"/>
          <w:sz w:val="13"/>
          <w:szCs w:val="13"/>
          <w:color w:val="auto"/>
        </w:rPr>
        <w:t>each Revolving Lender and each FILO Lender from time to time party hereto (collectively, the “Lenders” and individually, a “Lender”),</w:t>
      </w:r>
    </w:p>
    <w:p>
      <w:pPr>
        <w:spacing w:after="0" w:line="121" w:lineRule="exact"/>
        <w:rPr>
          <w:sz w:val="20"/>
          <w:szCs w:val="20"/>
          <w:color w:val="auto"/>
        </w:rPr>
      </w:pPr>
    </w:p>
    <w:p>
      <w:pPr>
        <w:ind w:left="1060"/>
        <w:spacing w:after="0"/>
        <w:rPr>
          <w:sz w:val="20"/>
          <w:szCs w:val="20"/>
          <w:color w:val="auto"/>
        </w:rPr>
      </w:pPr>
      <w:r>
        <w:rPr>
          <w:rFonts w:ascii="Arial" w:cs="Arial" w:eastAsia="Arial" w:hAnsi="Arial"/>
          <w:sz w:val="13"/>
          <w:szCs w:val="13"/>
          <w:color w:val="auto"/>
        </w:rPr>
        <w:t>BANK OF AMERICA, N.A., a national banking association with offices at 100 Federal Street, Boston, Massachusetts 02110, as Administrative Agent and Collateral Agent, and</w:t>
      </w:r>
    </w:p>
    <w:p>
      <w:pPr>
        <w:spacing w:after="0" w:line="121" w:lineRule="exact"/>
        <w:rPr>
          <w:sz w:val="20"/>
          <w:szCs w:val="20"/>
          <w:color w:val="auto"/>
        </w:rPr>
      </w:pPr>
    </w:p>
    <w:p>
      <w:pPr>
        <w:ind w:left="1060"/>
        <w:spacing w:after="0"/>
        <w:rPr>
          <w:sz w:val="20"/>
          <w:szCs w:val="20"/>
          <w:color w:val="auto"/>
        </w:rPr>
      </w:pPr>
      <w:r>
        <w:rPr>
          <w:rFonts w:ascii="Arial" w:cs="Arial" w:eastAsia="Arial" w:hAnsi="Arial"/>
          <w:sz w:val="13"/>
          <w:szCs w:val="13"/>
          <w:color w:val="auto"/>
        </w:rPr>
        <w:t>WELLS FARGO BANK, NATIONAL ASSOCIATION, as Syndication Agent.</w:t>
      </w:r>
    </w:p>
    <w:p>
      <w:pPr>
        <w:spacing w:after="0" w:line="200" w:lineRule="exact"/>
        <w:rPr>
          <w:sz w:val="20"/>
          <w:szCs w:val="20"/>
          <w:color w:val="auto"/>
        </w:rPr>
      </w:pPr>
    </w:p>
    <w:p>
      <w:pPr>
        <w:spacing w:after="0" w:line="236" w:lineRule="exact"/>
        <w:rPr>
          <w:sz w:val="20"/>
          <w:szCs w:val="20"/>
          <w:color w:val="auto"/>
        </w:rPr>
      </w:pPr>
    </w:p>
    <w:p>
      <w:pPr>
        <w:jc w:val="center"/>
        <w:ind w:right="-219"/>
        <w:spacing w:after="0"/>
        <w:rPr>
          <w:sz w:val="20"/>
          <w:szCs w:val="20"/>
          <w:color w:val="auto"/>
        </w:rPr>
      </w:pPr>
      <w:r>
        <w:rPr>
          <w:rFonts w:ascii="Arial" w:cs="Arial" w:eastAsia="Arial" w:hAnsi="Arial"/>
          <w:sz w:val="13"/>
          <w:szCs w:val="13"/>
          <w:u w:val="single" w:color="auto"/>
          <w:color w:val="auto"/>
        </w:rPr>
        <w:t>W I T N E S S E T H</w:t>
      </w:r>
      <w:r>
        <w:rPr>
          <w:rFonts w:ascii="Arial" w:cs="Arial" w:eastAsia="Arial" w:hAnsi="Arial"/>
          <w:sz w:val="13"/>
          <w:szCs w:val="13"/>
          <w:color w:val="auto"/>
        </w:rPr>
        <w:t>:</w:t>
      </w:r>
    </w:p>
    <w:p>
      <w:pPr>
        <w:spacing w:after="0" w:line="130" w:lineRule="exact"/>
        <w:rPr>
          <w:sz w:val="20"/>
          <w:szCs w:val="20"/>
          <w:color w:val="auto"/>
        </w:rPr>
      </w:pPr>
    </w:p>
    <w:p>
      <w:pPr>
        <w:jc w:val="both"/>
        <w:ind w:left="240" w:firstLine="808"/>
        <w:spacing w:after="0" w:line="258" w:lineRule="auto"/>
        <w:rPr>
          <w:sz w:val="20"/>
          <w:szCs w:val="20"/>
          <w:color w:val="auto"/>
        </w:rPr>
      </w:pPr>
      <w:r>
        <w:rPr>
          <w:rFonts w:ascii="Arial" w:cs="Arial" w:eastAsia="Arial" w:hAnsi="Arial"/>
          <w:sz w:val="13"/>
          <w:szCs w:val="13"/>
          <w:color w:val="auto"/>
        </w:rPr>
        <w:t>WHEREAS, the Borrowers have requested that (x) the Revolving Lenders provide a revolving credit facility, and the Revolving Lenders have indicated their willingness to lend and the L/C Issuer has indicated its willingness to issue Letters of Credit, in each case on the terms and conditions set forth herein, and (y) the FILO Lenders provide a first in, last out term loan facility, and the FILO Lenders have indicated their willingness to lend on the terms and conditions set forth herein;</w:t>
      </w:r>
    </w:p>
    <w:p>
      <w:pPr>
        <w:spacing w:after="0" w:line="94" w:lineRule="exact"/>
        <w:rPr>
          <w:sz w:val="20"/>
          <w:szCs w:val="20"/>
          <w:color w:val="auto"/>
        </w:rPr>
      </w:pPr>
    </w:p>
    <w:p>
      <w:pPr>
        <w:jc w:val="both"/>
        <w:ind w:left="240" w:firstLine="808"/>
        <w:spacing w:after="0" w:line="271" w:lineRule="auto"/>
        <w:rPr>
          <w:sz w:val="20"/>
          <w:szCs w:val="20"/>
          <w:color w:val="auto"/>
        </w:rPr>
      </w:pPr>
      <w:r>
        <w:rPr>
          <w:rFonts w:ascii="Arial" w:cs="Arial" w:eastAsia="Arial" w:hAnsi="Arial"/>
          <w:sz w:val="13"/>
          <w:szCs w:val="13"/>
          <w:color w:val="auto"/>
        </w:rPr>
        <w:t>WHEREAS, the Borrowers have entered into a Sixth Amended and Restated Loan and Security Agreement, dated as of November 10, 2010 (as amended and in effect, the “Existing Credit Agreement”), among such Borrowers, the “Lenders” as defined therein, and Bank of America, N.A. as “Administrative Agent” and “Collateral Agent”; and</w:t>
      </w:r>
    </w:p>
    <w:p>
      <w:pPr>
        <w:spacing w:after="0" w:line="86" w:lineRule="exact"/>
        <w:rPr>
          <w:sz w:val="20"/>
          <w:szCs w:val="20"/>
          <w:color w:val="auto"/>
        </w:rPr>
      </w:pPr>
    </w:p>
    <w:p>
      <w:pPr>
        <w:jc w:val="both"/>
        <w:ind w:left="240" w:firstLine="808"/>
        <w:spacing w:after="0" w:line="271" w:lineRule="auto"/>
        <w:rPr>
          <w:sz w:val="20"/>
          <w:szCs w:val="20"/>
          <w:color w:val="auto"/>
        </w:rPr>
      </w:pPr>
      <w:r>
        <w:rPr>
          <w:rFonts w:ascii="Arial" w:cs="Arial" w:eastAsia="Arial" w:hAnsi="Arial"/>
          <w:sz w:val="13"/>
          <w:szCs w:val="13"/>
          <w:color w:val="auto"/>
        </w:rPr>
        <w:t>WHEREAS, in accordance with ARTICLE 15.1 of the Existing Credit Agreement, the Borrowers, the Lenders and the Agent desire to amend and restate the Existing Credit Agreement as provided herein and in the Security Agreement.</w:t>
      </w:r>
    </w:p>
    <w:p>
      <w:pPr>
        <w:spacing w:after="0" w:line="95" w:lineRule="exact"/>
        <w:rPr>
          <w:sz w:val="20"/>
          <w:szCs w:val="20"/>
          <w:color w:val="auto"/>
        </w:rPr>
      </w:pPr>
    </w:p>
    <w:p>
      <w:pPr>
        <w:jc w:val="both"/>
        <w:ind w:left="240" w:firstLine="808"/>
        <w:spacing w:after="0" w:line="314" w:lineRule="auto"/>
        <w:rPr>
          <w:sz w:val="20"/>
          <w:szCs w:val="20"/>
          <w:color w:val="auto"/>
        </w:rPr>
      </w:pPr>
      <w:r>
        <w:rPr>
          <w:rFonts w:ascii="Arial" w:cs="Arial" w:eastAsia="Arial" w:hAnsi="Arial"/>
          <w:sz w:val="12"/>
          <w:szCs w:val="12"/>
          <w:color w:val="auto"/>
        </w:rPr>
        <w:t>NOW, THEREFORE, in consideration of the mutual conditions and agreements set forth in this Agreement, and for good and valuable consideration, the receipt of which is hereby acknowledged, the undersigned hereby agree that the Existing Credit Agreement shall be amended and restated as set forth herein and in the Security Agreement in its entirety to read as follows:</w:t>
      </w:r>
    </w:p>
    <w:p>
      <w:pPr>
        <w:spacing w:after="0" w:line="85" w:lineRule="exact"/>
        <w:rPr>
          <w:sz w:val="20"/>
          <w:szCs w:val="20"/>
          <w:color w:val="auto"/>
        </w:rPr>
      </w:pPr>
    </w:p>
    <w:p>
      <w:pPr>
        <w:jc w:val="center"/>
        <w:ind w:right="-219"/>
        <w:spacing w:after="0"/>
        <w:rPr>
          <w:sz w:val="20"/>
          <w:szCs w:val="20"/>
          <w:color w:val="auto"/>
        </w:rPr>
      </w:pPr>
      <w:r>
        <w:rPr>
          <w:rFonts w:ascii="Arial" w:cs="Arial" w:eastAsia="Arial" w:hAnsi="Arial"/>
          <w:sz w:val="13"/>
          <w:szCs w:val="13"/>
          <w:b w:val="1"/>
          <w:bCs w:val="1"/>
          <w:color w:val="auto"/>
        </w:rPr>
        <w:t>ARTICLE I</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3"/>
          <w:szCs w:val="13"/>
          <w:b w:val="1"/>
          <w:bCs w:val="1"/>
          <w:color w:val="auto"/>
        </w:rPr>
        <w:t>DEFINITIONS AND ACCOUNTING TERMS</w:t>
      </w:r>
    </w:p>
    <w:p>
      <w:pPr>
        <w:spacing w:after="0" w:line="134" w:lineRule="exact"/>
        <w:rPr>
          <w:sz w:val="20"/>
          <w:szCs w:val="20"/>
          <w:color w:val="auto"/>
        </w:rPr>
      </w:pPr>
    </w:p>
    <w:p>
      <w:pPr>
        <w:ind w:left="1060"/>
        <w:spacing w:after="0"/>
        <w:tabs>
          <w:tab w:leader="none" w:pos="1700" w:val="left"/>
        </w:tabs>
        <w:rPr>
          <w:sz w:val="20"/>
          <w:szCs w:val="20"/>
          <w:color w:val="auto"/>
        </w:rPr>
      </w:pPr>
      <w:r>
        <w:rPr>
          <w:rFonts w:ascii="Arial" w:cs="Arial" w:eastAsia="Arial" w:hAnsi="Arial"/>
          <w:sz w:val="13"/>
          <w:szCs w:val="13"/>
          <w:b w:val="1"/>
          <w:bCs w:val="1"/>
          <w:color w:val="auto"/>
        </w:rPr>
        <w:t>1.01</w:t>
      </w:r>
      <w:r>
        <w:rPr>
          <w:sz w:val="20"/>
          <w:szCs w:val="20"/>
          <w:color w:val="auto"/>
        </w:rPr>
        <w:tab/>
      </w:r>
      <w:r>
        <w:rPr>
          <w:rFonts w:ascii="Arial" w:cs="Arial" w:eastAsia="Arial" w:hAnsi="Arial"/>
          <w:sz w:val="12"/>
          <w:szCs w:val="12"/>
          <w:b w:val="1"/>
          <w:bCs w:val="1"/>
          <w:color w:val="auto"/>
        </w:rPr>
        <w:t>Defined Terms</w:t>
      </w:r>
      <w:r>
        <w:rPr>
          <w:rFonts w:ascii="Arial" w:cs="Arial" w:eastAsia="Arial" w:hAnsi="Arial"/>
          <w:sz w:val="12"/>
          <w:szCs w:val="12"/>
          <w:color w:val="auto"/>
        </w:rPr>
        <w:t>. As used in this Agreement, the following terms shall have the meanings set forth below:</w:t>
      </w:r>
    </w:p>
    <w:p>
      <w:pPr>
        <w:spacing w:after="0" w:line="152" w:lineRule="exact"/>
        <w:rPr>
          <w:sz w:val="20"/>
          <w:szCs w:val="20"/>
          <w:color w:val="auto"/>
        </w:rPr>
      </w:pPr>
    </w:p>
    <w:p>
      <w:pPr>
        <w:jc w:val="both"/>
        <w:ind w:left="240" w:firstLine="808"/>
        <w:spacing w:after="0" w:line="271" w:lineRule="auto"/>
        <w:rPr>
          <w:sz w:val="20"/>
          <w:szCs w:val="20"/>
          <w:color w:val="auto"/>
        </w:rPr>
      </w:pPr>
      <w:r>
        <w:rPr>
          <w:rFonts w:ascii="Arial" w:cs="Arial" w:eastAsia="Arial" w:hAnsi="Arial"/>
          <w:sz w:val="13"/>
          <w:szCs w:val="13"/>
          <w:color w:val="auto"/>
        </w:rPr>
        <w:t>“Accelerated Borrowing Base Delivery Event” means either (i) the occurrence and continuance of any Event of Default, or (ii) the failure of the Borrowers to maintain Availability at least equal to twelve and one-half percent (12.5%) of the Revolving Loan Cap (calculated without giving effect to the FILO</w:t>
      </w:r>
    </w:p>
    <w:p>
      <w:pPr>
        <w:spacing w:after="0" w:line="264"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31115</wp:posOffset>
            </wp:positionV>
            <wp:extent cx="732917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40"/>
          </w:cols>
          <w:pgMar w:left="220" w:top="165" w:right="439" w:bottom="1440" w:gutter="0" w:footer="0" w:header="0"/>
        </w:sectPr>
      </w:pPr>
    </w:p>
    <w:bookmarkStart w:id="11" w:name="page12"/>
    <w:bookmarkEnd w:id="11"/>
    <w:p>
      <w:pPr>
        <w:jc w:val="both"/>
        <w:ind w:left="220"/>
        <w:spacing w:after="0" w:line="278" w:lineRule="auto"/>
        <w:rPr>
          <w:sz w:val="20"/>
          <w:szCs w:val="20"/>
          <w:color w:val="auto"/>
        </w:rPr>
      </w:pPr>
      <w:r>
        <w:rPr>
          <w:rFonts w:ascii="Arial" w:cs="Arial" w:eastAsia="Arial" w:hAnsi="Arial"/>
          <w:sz w:val="12"/>
          <w:szCs w:val="12"/>
          <w:color w:val="auto"/>
        </w:rPr>
        <w:t>Push Down Reserve). For purposes of this Agreement, the occurrence of an Accelerated Borrowing Base Delivery Event shall be deemed continuing at the Agent’s option (i) so long as such Event of Default has not been waived or is no longer continuing, and/or (ii) if the Accelerated Borrowing Base Delivery Event arises as a result of the Borrowers’ failure to achieve Availability as required hereunder, until Availability has exceeded twelve and one-half percent (12.5%) of the Revolving Loan Cap (calculated without giving effect to the FILO Push Down Reserve) for sixty (60) consecutive calendar days, in which case an Accelerated Borrowing Base Delivery Event shall no longer be deemed to be continuing for purposes of this Agreement. The termination of an Accelerated Borrowing Base Delivery Event as provided herein shall in no way limit, waive or delay the occurrence of a subsequent Accelerated Borrowing Base Delivery Event in the event that the conditions set forth in this definition again arise.</w:t>
      </w:r>
    </w:p>
    <w:p>
      <w:pPr>
        <w:spacing w:after="0" w:line="85" w:lineRule="exact"/>
        <w:rPr>
          <w:sz w:val="20"/>
          <w:szCs w:val="20"/>
          <w:color w:val="auto"/>
        </w:rPr>
      </w:pPr>
    </w:p>
    <w:p>
      <w:pPr>
        <w:jc w:val="both"/>
        <w:ind w:left="220" w:firstLine="808"/>
        <w:spacing w:after="0" w:line="254" w:lineRule="auto"/>
        <w:rPr>
          <w:sz w:val="20"/>
          <w:szCs w:val="20"/>
          <w:color w:val="auto"/>
        </w:rPr>
      </w:pPr>
      <w:r>
        <w:rPr>
          <w:rFonts w:ascii="Arial" w:cs="Arial" w:eastAsia="Arial" w:hAnsi="Arial"/>
          <w:sz w:val="13"/>
          <w:szCs w:val="13"/>
          <w:color w:val="auto"/>
        </w:rPr>
        <w:t>“Acceptable Document of Title” means, with respect to any Inventory, a tangible, negotiable bill of lading or other Document (as defined in the UCC) that (a) is issued by a common carrier which is not an Affiliate of the Approved Foreign Vendor or any Loan Party which is in actual possession of such Inventory, (b) is issued to the order of a Loan Party or, if so requested by the Agent, to the order of the Agent, (c) names the Agent as a notify party and bears a conspicuous notation on its face of the Agent’s security interest therein, (d) is not subject to any Lien (other than in favor of the Agent), and (e) is on terms otherwise reasonably acceptable to the Agent.</w:t>
      </w:r>
    </w:p>
    <w:p>
      <w:pPr>
        <w:spacing w:after="0" w:line="106"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“ACH” means automated clearing house transfers.</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 xml:space="preserve">“Accommodation Payment” as defined in </w:t>
      </w:r>
      <w:r>
        <w:rPr>
          <w:rFonts w:ascii="Arial" w:cs="Arial" w:eastAsia="Arial" w:hAnsi="Arial"/>
          <w:sz w:val="13"/>
          <w:szCs w:val="13"/>
          <w:u w:val="single" w:color="auto"/>
          <w:color w:val="auto"/>
        </w:rPr>
        <w:t>Section 10.21(c)</w:t>
      </w:r>
      <w:r>
        <w:rPr>
          <w:rFonts w:ascii="Arial" w:cs="Arial" w:eastAsia="Arial" w:hAnsi="Arial"/>
          <w:sz w:val="13"/>
          <w:szCs w:val="13"/>
          <w:color w:val="auto"/>
        </w:rPr>
        <w:t>.</w:t>
      </w:r>
    </w:p>
    <w:p>
      <w:pPr>
        <w:spacing w:after="0" w:line="121"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“Account” means “accounts” as defined in the UCC, and also means a right to payment of a monetary obligation, whether or not earned by performance, (a) for property that has been or is to be sold, leased, licensed, assigned, or otherwise disposed of, or (b) for services rendered or to be rendered.</w:t>
      </w:r>
    </w:p>
    <w:p>
      <w:pPr>
        <w:spacing w:after="0" w:line="95"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“Account Control Agreement” has the meaning specified in the Security Agreement.</w:t>
      </w:r>
    </w:p>
    <w:p>
      <w:pPr>
        <w:spacing w:after="0" w:line="121" w:lineRule="exact"/>
        <w:rPr>
          <w:sz w:val="20"/>
          <w:szCs w:val="20"/>
          <w:color w:val="auto"/>
        </w:rPr>
      </w:pPr>
    </w:p>
    <w:p>
      <w:pPr>
        <w:jc w:val="both"/>
        <w:ind w:left="220" w:firstLine="808"/>
        <w:spacing w:after="0" w:line="254" w:lineRule="auto"/>
        <w:rPr>
          <w:sz w:val="20"/>
          <w:szCs w:val="20"/>
          <w:color w:val="auto"/>
        </w:rPr>
      </w:pPr>
      <w:r>
        <w:rPr>
          <w:rFonts w:ascii="Arial" w:cs="Arial" w:eastAsia="Arial" w:hAnsi="Arial"/>
          <w:sz w:val="13"/>
          <w:szCs w:val="13"/>
          <w:color w:val="auto"/>
        </w:rPr>
        <w:t>“Acquisition” means, with respect to any Person (a) a purchase of a Controlling interest in, the Equity Interests of any other Person, (b) a purchase or other acquisition of all or substantially all of the assets or properties of, another Person or of any business unit of another Person, (c) any merger or consolidation of such Person with any other Person or other transaction or series of transactions resulting in the acquisition of all or substantially all of the assets, or a Controlling interest in the Equity Interests, of any Person, or (d) any acquisition of any Store locations of any Person, in each case in any transaction or group of transactions which are part of a common plan, with an aggregate purchase price of $5,000,000.</w:t>
      </w:r>
    </w:p>
    <w:p>
      <w:pPr>
        <w:spacing w:after="0" w:line="97"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 xml:space="preserve">“Act” shall have the meaning provided in </w:t>
      </w:r>
      <w:r>
        <w:rPr>
          <w:rFonts w:ascii="Arial" w:cs="Arial" w:eastAsia="Arial" w:hAnsi="Arial"/>
          <w:sz w:val="13"/>
          <w:szCs w:val="13"/>
          <w:u w:val="single" w:color="auto"/>
          <w:color w:val="auto"/>
        </w:rPr>
        <w:t>Section 10.17</w:t>
      </w:r>
      <w:r>
        <w:rPr>
          <w:rFonts w:ascii="Arial" w:cs="Arial" w:eastAsia="Arial" w:hAnsi="Arial"/>
          <w:sz w:val="13"/>
          <w:szCs w:val="13"/>
          <w:color w:val="auto"/>
        </w:rPr>
        <w:t>.</w:t>
      </w:r>
    </w:p>
    <w:p>
      <w:pPr>
        <w:spacing w:after="0" w:line="130"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 xml:space="preserve">“Additional Commitment Lender” shall have the meaning provided in </w:t>
      </w:r>
      <w:r>
        <w:rPr>
          <w:rFonts w:ascii="Arial" w:cs="Arial" w:eastAsia="Arial" w:hAnsi="Arial"/>
          <w:sz w:val="13"/>
          <w:szCs w:val="13"/>
          <w:u w:val="single" w:color="auto"/>
          <w:color w:val="auto"/>
        </w:rPr>
        <w:t>Section 2.15(c)</w:t>
      </w:r>
      <w:r>
        <w:rPr>
          <w:rFonts w:ascii="Arial" w:cs="Arial" w:eastAsia="Arial" w:hAnsi="Arial"/>
          <w:sz w:val="13"/>
          <w:szCs w:val="13"/>
          <w:color w:val="auto"/>
        </w:rPr>
        <w:t>.</w:t>
      </w:r>
    </w:p>
    <w:p>
      <w:pPr>
        <w:spacing w:after="0" w:line="121" w:lineRule="exact"/>
        <w:rPr>
          <w:sz w:val="20"/>
          <w:szCs w:val="20"/>
          <w:color w:val="auto"/>
        </w:rPr>
      </w:pPr>
    </w:p>
    <w:p>
      <w:pPr>
        <w:jc w:val="both"/>
        <w:ind w:left="220" w:firstLine="808"/>
        <w:spacing w:after="0" w:line="258" w:lineRule="auto"/>
        <w:rPr>
          <w:sz w:val="20"/>
          <w:szCs w:val="20"/>
          <w:color w:val="auto"/>
        </w:rPr>
      </w:pPr>
      <w:r>
        <w:rPr>
          <w:rFonts w:ascii="Arial" w:cs="Arial" w:eastAsia="Arial" w:hAnsi="Arial"/>
          <w:sz w:val="13"/>
          <w:szCs w:val="13"/>
          <w:color w:val="auto"/>
        </w:rPr>
        <w:t>“Adjusted LIBOR Rate” means, with respect to any LIBOR Borrowing for any Interest Period, an interest rate per annum (rounded upwards, if necessary, to the next 1/16 of one percent (1%)) equal to the LIBOR Rate for such Interest Period multiplied by the Statutory Reserve Rate. The Adjusted LIBOR Rate will be adjusted automatically as to all LIBOR Borrowings then outstanding as of the effective date of any change in the Statutory Reserve Rate.</w:t>
      </w:r>
    </w:p>
    <w:p>
      <w:pPr>
        <w:spacing w:after="0" w:line="94"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“Adjustment Date” means the first day of each Fiscal Quarter, commencing with November 5,</w:t>
      </w:r>
    </w:p>
    <w:p>
      <w:pPr>
        <w:spacing w:after="0" w:line="14" w:lineRule="exact"/>
        <w:rPr>
          <w:sz w:val="20"/>
          <w:szCs w:val="20"/>
          <w:color w:val="auto"/>
        </w:rPr>
      </w:pPr>
    </w:p>
    <w:p>
      <w:pPr>
        <w:ind w:left="220"/>
        <w:spacing w:after="0"/>
        <w:rPr>
          <w:sz w:val="20"/>
          <w:szCs w:val="20"/>
          <w:color w:val="auto"/>
        </w:rPr>
      </w:pPr>
      <w:r>
        <w:rPr>
          <w:rFonts w:ascii="Arial" w:cs="Arial" w:eastAsia="Arial" w:hAnsi="Arial"/>
          <w:sz w:val="13"/>
          <w:szCs w:val="13"/>
          <w:color w:val="auto"/>
        </w:rPr>
        <w:t>2018.</w:t>
      </w:r>
    </w:p>
    <w:p>
      <w:pPr>
        <w:spacing w:after="0" w:line="132"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12" w:name="page13"/>
    <w:bookmarkEnd w:id="12"/>
    <w:p>
      <w:pPr>
        <w:ind w:left="1040"/>
        <w:spacing w:after="0"/>
        <w:rPr>
          <w:sz w:val="20"/>
          <w:szCs w:val="20"/>
          <w:color w:val="auto"/>
        </w:rPr>
      </w:pPr>
      <w:r>
        <w:rPr>
          <w:rFonts w:ascii="Arial" w:cs="Arial" w:eastAsia="Arial" w:hAnsi="Arial"/>
          <w:sz w:val="13"/>
          <w:szCs w:val="13"/>
          <w:color w:val="auto"/>
        </w:rPr>
        <w:t>“Administrative Questionnaire” means an Administrative Questionnaire in a form supplied by the Agent.</w:t>
      </w:r>
    </w:p>
    <w:p>
      <w:pPr>
        <w:spacing w:after="0" w:line="130" w:lineRule="exact"/>
        <w:rPr>
          <w:sz w:val="20"/>
          <w:szCs w:val="20"/>
          <w:color w:val="auto"/>
        </w:rPr>
      </w:pPr>
    </w:p>
    <w:p>
      <w:pPr>
        <w:jc w:val="both"/>
        <w:ind w:left="220" w:firstLine="808"/>
        <w:spacing w:after="0" w:line="258" w:lineRule="auto"/>
        <w:rPr>
          <w:sz w:val="20"/>
          <w:szCs w:val="20"/>
          <w:color w:val="auto"/>
        </w:rPr>
      </w:pPr>
      <w:r>
        <w:rPr>
          <w:rFonts w:ascii="Arial" w:cs="Arial" w:eastAsia="Arial" w:hAnsi="Arial"/>
          <w:sz w:val="13"/>
          <w:szCs w:val="13"/>
          <w:color w:val="auto"/>
        </w:rPr>
        <w:t>“Affiliate” means, with respect to any Person, (i) another Person that directly, or indirectly through one or more intermediaries, Controls or is Controlled by or is under common Control with the Person specified, (ii) any director, officer, managing member, partner, trustee or beneficiary of that Person, (iii) any other Person directly or indirectly holding 25% or more of any class of the Equity Interests of that Person, and (iv) any other Person 25% or more of any class of whose Equity Interests is held directly or indirectly by that Person.</w:t>
      </w:r>
    </w:p>
    <w:p>
      <w:pPr>
        <w:spacing w:after="0" w:line="94"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“Agent” means Bank of America in its capacity as administrative agent and collateral agent under any of the Loan Documents, or any successor thereto.</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 xml:space="preserve">“Agent Parties” shall have the meaning specified in </w:t>
      </w:r>
      <w:r>
        <w:rPr>
          <w:rFonts w:ascii="Arial" w:cs="Arial" w:eastAsia="Arial" w:hAnsi="Arial"/>
          <w:sz w:val="13"/>
          <w:szCs w:val="13"/>
          <w:u w:val="single" w:color="auto"/>
          <w:color w:val="auto"/>
        </w:rPr>
        <w:t>Section 10.02(c)</w:t>
      </w:r>
      <w:r>
        <w:rPr>
          <w:rFonts w:ascii="Arial" w:cs="Arial" w:eastAsia="Arial" w:hAnsi="Arial"/>
          <w:sz w:val="13"/>
          <w:szCs w:val="13"/>
          <w:color w:val="auto"/>
        </w:rPr>
        <w:t>.</w:t>
      </w:r>
    </w:p>
    <w:p>
      <w:pPr>
        <w:spacing w:after="0" w:line="130"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 xml:space="preserve">“Agent’s Office” means the Agent’s address set forth on </w:t>
      </w:r>
      <w:r>
        <w:rPr>
          <w:rFonts w:ascii="Arial" w:cs="Arial" w:eastAsia="Arial" w:hAnsi="Arial"/>
          <w:sz w:val="13"/>
          <w:szCs w:val="13"/>
          <w:u w:val="single" w:color="auto"/>
          <w:color w:val="auto"/>
        </w:rPr>
        <w:t>Schedule 10.02</w:t>
      </w:r>
      <w:r>
        <w:rPr>
          <w:rFonts w:ascii="Arial" w:cs="Arial" w:eastAsia="Arial" w:hAnsi="Arial"/>
          <w:sz w:val="13"/>
          <w:szCs w:val="13"/>
          <w:color w:val="auto"/>
        </w:rPr>
        <w:t>, or such other address as the Agent may from time to time notify the Lead Borrower and the Lenders.</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2"/>
          <w:szCs w:val="12"/>
          <w:color w:val="auto"/>
        </w:rPr>
        <w:t>“Aggregate Commitments” means the sum of the Aggregate Revolving Commitments and the FILO Commitment. As of the Closing Date, the Aggregate Commitments are $140,000,000.</w:t>
      </w:r>
    </w:p>
    <w:p>
      <w:pPr>
        <w:spacing w:after="0" w:line="132" w:lineRule="exact"/>
        <w:rPr>
          <w:sz w:val="20"/>
          <w:szCs w:val="20"/>
          <w:color w:val="auto"/>
        </w:rPr>
      </w:pPr>
    </w:p>
    <w:p>
      <w:pPr>
        <w:ind w:left="1040"/>
        <w:spacing w:after="0"/>
        <w:rPr>
          <w:sz w:val="20"/>
          <w:szCs w:val="20"/>
          <w:color w:val="auto"/>
        </w:rPr>
      </w:pPr>
      <w:r>
        <w:rPr>
          <w:rFonts w:ascii="Arial" w:cs="Arial" w:eastAsia="Arial" w:hAnsi="Arial"/>
          <w:sz w:val="12"/>
          <w:szCs w:val="12"/>
          <w:color w:val="auto"/>
        </w:rPr>
        <w:t>“Aggregate Revolving Commitments” means the sum of the Revolving Commitments of all the Revolving Lenders. As of the Closing Date, the Aggregate Revolving Commitments are</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3"/>
          <w:szCs w:val="13"/>
          <w:color w:val="auto"/>
        </w:rPr>
        <w:t>$125,000,000.</w:t>
      </w:r>
    </w:p>
    <w:p>
      <w:pPr>
        <w:spacing w:after="0" w:line="120"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“Agreement” means this Credit Agreement.</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 xml:space="preserve">“Allocable Amount” has the meaning specified in </w:t>
      </w:r>
      <w:r>
        <w:rPr>
          <w:rFonts w:ascii="Arial" w:cs="Arial" w:eastAsia="Arial" w:hAnsi="Arial"/>
          <w:sz w:val="13"/>
          <w:szCs w:val="13"/>
          <w:u w:val="single" w:color="auto"/>
          <w:color w:val="auto"/>
        </w:rPr>
        <w:t>Section 10.21(c)</w:t>
      </w:r>
      <w:r>
        <w:rPr>
          <w:rFonts w:ascii="Arial" w:cs="Arial" w:eastAsia="Arial" w:hAnsi="Arial"/>
          <w:sz w:val="13"/>
          <w:szCs w:val="13"/>
          <w:color w:val="auto"/>
        </w:rPr>
        <w:t>.</w:t>
      </w:r>
    </w:p>
    <w:p>
      <w:pPr>
        <w:spacing w:after="0" w:line="121"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“Anti-Corruption Laws” means the FCPA, the U.K. Bribery Act of 2010, as amended, and all other applicable laws and regulations or ordinances concerning or relating to bribery, money laundering or corruption in any jurisdiction in which any Loan Party or any of its Subsidiaries or Affiliates is located or is doing business.</w:t>
      </w:r>
    </w:p>
    <w:p>
      <w:pPr>
        <w:spacing w:after="0" w:line="95"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“Anti-Money Laundering Laws” means the applicable laws or regulations in any jurisdiction in which any Loan Party or any of its Subsidiaries or Affiliates is located or is doing business that relates to money laundering, any predicate crime to money laundering, or any financial record keeping and reporting requirements related thereto.</w:t>
      </w:r>
    </w:p>
    <w:p>
      <w:pPr>
        <w:spacing w:after="0" w:line="86"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“Applicable Lenders” means the Required Lenders, the Required Supermajority Lenders, all affected Lenders, or all Lenders, as the context may require.</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“Applicable Margin” means:</w:t>
      </w:r>
    </w:p>
    <w:p>
      <w:pPr>
        <w:spacing w:after="0" w:line="148" w:lineRule="exact"/>
        <w:rPr>
          <w:sz w:val="20"/>
          <w:szCs w:val="20"/>
          <w:color w:val="auto"/>
        </w:rPr>
      </w:pPr>
    </w:p>
    <w:p>
      <w:pPr>
        <w:ind w:left="2640" w:hanging="572"/>
        <w:spacing w:after="0"/>
        <w:tabs>
          <w:tab w:leader="none" w:pos="2640" w:val="left"/>
        </w:tabs>
        <w:numPr>
          <w:ilvl w:val="0"/>
          <w:numId w:val="2"/>
        </w:numPr>
        <w:rPr>
          <w:rFonts w:ascii="Arial" w:cs="Arial" w:eastAsia="Arial" w:hAnsi="Arial"/>
          <w:sz w:val="13"/>
          <w:szCs w:val="13"/>
          <w:color w:val="auto"/>
        </w:rPr>
      </w:pPr>
      <w:r>
        <w:rPr>
          <w:rFonts w:ascii="Arial" w:cs="Arial" w:eastAsia="Arial" w:hAnsi="Arial"/>
          <w:sz w:val="13"/>
          <w:szCs w:val="13"/>
          <w:color w:val="auto"/>
        </w:rPr>
        <w:t>From and after the Closing Date until the first Adjustment Date, the percentages set forth in Level I of the pricing grid below; and</w:t>
      </w:r>
    </w:p>
    <w:p>
      <w:pPr>
        <w:spacing w:after="0" w:line="147" w:lineRule="exact"/>
        <w:rPr>
          <w:rFonts w:ascii="Arial" w:cs="Arial" w:eastAsia="Arial" w:hAnsi="Arial"/>
          <w:sz w:val="13"/>
          <w:szCs w:val="13"/>
          <w:color w:val="auto"/>
        </w:rPr>
      </w:pPr>
    </w:p>
    <w:p>
      <w:pPr>
        <w:ind w:left="1080" w:firstLine="988"/>
        <w:spacing w:after="0" w:line="258" w:lineRule="auto"/>
        <w:tabs>
          <w:tab w:leader="none" w:pos="265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From and after the first Adjustment Date and on each Adjustment Date thereafter, the Applicable Margin shall be determined from the following pricing grid based upon the Average Revolving Availability as of the Fiscal Quarter ended immediately preceding such Adjustment Date; </w:t>
      </w:r>
      <w:r>
        <w:rPr>
          <w:rFonts w:ascii="Arial" w:cs="Arial" w:eastAsia="Arial" w:hAnsi="Arial"/>
          <w:sz w:val="13"/>
          <w:szCs w:val="13"/>
          <w:u w:val="single" w:color="auto"/>
          <w:color w:val="auto"/>
        </w:rPr>
        <w:t>provided</w:t>
      </w:r>
      <w:r>
        <w:rPr>
          <w:rFonts w:ascii="Arial" w:cs="Arial" w:eastAsia="Arial" w:hAnsi="Arial"/>
          <w:sz w:val="13"/>
          <w:szCs w:val="13"/>
          <w:color w:val="auto"/>
        </w:rPr>
        <w:t>, however, if any Borrowing Base Certificates are at any time restated or otherwise revised (including as a result of an audit) or if the information set forth in any</w:t>
      </w:r>
    </w:p>
    <w:p>
      <w:pPr>
        <w:spacing w:after="0" w:line="269"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246" w:right="439" w:bottom="1440" w:gutter="0" w:footer="0" w:header="0"/>
        </w:sectPr>
      </w:pPr>
    </w:p>
    <w:bookmarkStart w:id="13" w:name="page14"/>
    <w:bookmarkEnd w:id="13"/>
    <w:p>
      <w:pPr>
        <w:jc w:val="both"/>
        <w:ind w:left="1080" w:right="100"/>
        <w:spacing w:after="0" w:line="258" w:lineRule="auto"/>
        <w:rPr>
          <w:sz w:val="20"/>
          <w:szCs w:val="20"/>
          <w:color w:val="auto"/>
        </w:rPr>
      </w:pPr>
      <w:r>
        <w:rPr>
          <w:rFonts w:ascii="Arial" w:cs="Arial" w:eastAsia="Arial" w:hAnsi="Arial"/>
          <w:sz w:val="13"/>
          <w:szCs w:val="13"/>
          <w:color w:val="auto"/>
        </w:rPr>
        <w:t>Borrowing Base Certificates otherwise proves to be false or incorrect such that the Applicable Margin would have been higher than was otherwise in effect during any period, without constituting a waiver of any Default or Event of Default arising as a result thereof, interest due under this Agreement shall be immediately recalculated at such higher rate for any applicable periods and shall be due and payable on demand.</w:t>
      </w:r>
    </w:p>
    <w:p>
      <w:pPr>
        <w:spacing w:after="0" w:line="112" w:lineRule="exact"/>
        <w:rPr>
          <w:sz w:val="20"/>
          <w:szCs w:val="20"/>
          <w:color w:val="auto"/>
        </w:rPr>
      </w:pPr>
    </w:p>
    <w:tbl>
      <w:tblPr>
        <w:tblLayout w:type="fixed"/>
        <w:tblInd w:w="130" w:type="dxa"/>
        <w:tblCellMar>
          <w:top w:w="0" w:type="dxa"/>
          <w:left w:w="0" w:type="dxa"/>
          <w:bottom w:w="0" w:type="dxa"/>
          <w:right w:w="0" w:type="dxa"/>
        </w:tblCellMar>
      </w:tblPr>
      <w:tr>
        <w:trPr>
          <w:trHeight w:val="148"/>
        </w:trPr>
        <w:tc>
          <w:tcPr>
            <w:tcW w:w="2820" w:type="dxa"/>
            <w:vAlign w:val="bottom"/>
            <w:tcBorders>
              <w:top w:val="single" w:sz="8" w:color="auto"/>
              <w:left w:val="single" w:sz="8" w:color="auto"/>
              <w:right w:val="single" w:sz="8" w:color="auto"/>
            </w:tcBorders>
          </w:tcPr>
          <w:p>
            <w:pPr>
              <w:spacing w:after="0"/>
              <w:rPr>
                <w:sz w:val="12"/>
                <w:szCs w:val="12"/>
                <w:color w:val="auto"/>
              </w:rPr>
            </w:pPr>
          </w:p>
        </w:tc>
        <w:tc>
          <w:tcPr>
            <w:tcW w:w="1680" w:type="dxa"/>
            <w:vAlign w:val="bottom"/>
            <w:tcBorders>
              <w:top w:val="single" w:sz="8" w:color="auto"/>
              <w:right w:val="single" w:sz="8" w:color="auto"/>
            </w:tcBorders>
          </w:tcPr>
          <w:p>
            <w:pPr>
              <w:jc w:val="center"/>
              <w:ind w:left="74"/>
              <w:spacing w:after="0" w:line="148" w:lineRule="exact"/>
              <w:rPr>
                <w:sz w:val="20"/>
                <w:szCs w:val="20"/>
                <w:color w:val="auto"/>
              </w:rPr>
            </w:pPr>
            <w:r>
              <w:rPr>
                <w:rFonts w:ascii="Arial" w:cs="Arial" w:eastAsia="Arial" w:hAnsi="Arial"/>
                <w:sz w:val="13"/>
                <w:szCs w:val="13"/>
                <w:b w:val="1"/>
                <w:bCs w:val="1"/>
                <w:color w:val="auto"/>
                <w:w w:val="90"/>
              </w:rPr>
              <w:t>Average Revolving</w:t>
            </w:r>
          </w:p>
        </w:tc>
        <w:tc>
          <w:tcPr>
            <w:tcW w:w="1680" w:type="dxa"/>
            <w:vAlign w:val="bottom"/>
            <w:tcBorders>
              <w:top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96"/>
              </w:rPr>
              <w:t>Applicable Margin for</w:t>
            </w:r>
          </w:p>
        </w:tc>
        <w:tc>
          <w:tcPr>
            <w:tcW w:w="1680" w:type="dxa"/>
            <w:vAlign w:val="bottom"/>
            <w:tcBorders>
              <w:top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94"/>
              </w:rPr>
              <w:t>Applicable Margin for</w:t>
            </w:r>
          </w:p>
        </w:tc>
        <w:tc>
          <w:tcPr>
            <w:tcW w:w="1680" w:type="dxa"/>
            <w:vAlign w:val="bottom"/>
            <w:tcBorders>
              <w:top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94"/>
              </w:rPr>
              <w:t>Applicable Margin for</w:t>
            </w:r>
          </w:p>
        </w:tc>
        <w:tc>
          <w:tcPr>
            <w:tcW w:w="1680" w:type="dxa"/>
            <w:vAlign w:val="bottom"/>
            <w:tcBorders>
              <w:top w:val="single" w:sz="8" w:color="auto"/>
              <w:right w:val="single" w:sz="8" w:color="auto"/>
            </w:tcBorders>
          </w:tcPr>
          <w:p>
            <w:pPr>
              <w:jc w:val="right"/>
              <w:ind w:right="14"/>
              <w:spacing w:after="0" w:line="148" w:lineRule="exact"/>
              <w:rPr>
                <w:sz w:val="20"/>
                <w:szCs w:val="20"/>
                <w:color w:val="auto"/>
              </w:rPr>
            </w:pPr>
            <w:r>
              <w:rPr>
                <w:rFonts w:ascii="Arial" w:cs="Arial" w:eastAsia="Arial" w:hAnsi="Arial"/>
                <w:sz w:val="13"/>
                <w:szCs w:val="13"/>
                <w:b w:val="1"/>
                <w:bCs w:val="1"/>
                <w:color w:val="auto"/>
              </w:rPr>
              <w:t>Applicable  Margin  for</w:t>
            </w:r>
          </w:p>
        </w:tc>
        <w:tc>
          <w:tcPr>
            <w:tcW w:w="0" w:type="dxa"/>
            <w:vAlign w:val="bottom"/>
          </w:tcPr>
          <w:p>
            <w:pPr>
              <w:spacing w:after="0"/>
              <w:rPr>
                <w:sz w:val="1"/>
                <w:szCs w:val="1"/>
                <w:color w:val="auto"/>
              </w:rPr>
            </w:pPr>
          </w:p>
        </w:tc>
      </w:tr>
      <w:tr>
        <w:trPr>
          <w:trHeight w:val="153"/>
        </w:trPr>
        <w:tc>
          <w:tcPr>
            <w:tcW w:w="2820" w:type="dxa"/>
            <w:vAlign w:val="bottom"/>
            <w:tcBorders>
              <w:left w:val="single" w:sz="8" w:color="auto"/>
              <w:right w:val="single" w:sz="8" w:color="auto"/>
            </w:tcBorders>
          </w:tcPr>
          <w:p>
            <w:pPr>
              <w:spacing w:after="0"/>
              <w:rPr>
                <w:sz w:val="13"/>
                <w:szCs w:val="13"/>
                <w:color w:val="auto"/>
              </w:rPr>
            </w:pPr>
          </w:p>
        </w:tc>
        <w:tc>
          <w:tcPr>
            <w:tcW w:w="1680" w:type="dxa"/>
            <w:vAlign w:val="bottom"/>
            <w:tcBorders>
              <w:right w:val="single" w:sz="8" w:color="auto"/>
            </w:tcBorders>
          </w:tcPr>
          <w:p>
            <w:pPr>
              <w:jc w:val="center"/>
              <w:ind w:left="74"/>
              <w:spacing w:after="0"/>
              <w:rPr>
                <w:sz w:val="20"/>
                <w:szCs w:val="20"/>
                <w:color w:val="auto"/>
              </w:rPr>
            </w:pPr>
            <w:r>
              <w:rPr>
                <w:rFonts w:ascii="Arial" w:cs="Arial" w:eastAsia="Arial" w:hAnsi="Arial"/>
                <w:sz w:val="13"/>
                <w:szCs w:val="13"/>
                <w:b w:val="1"/>
                <w:bCs w:val="1"/>
                <w:color w:val="auto"/>
                <w:w w:val="96"/>
              </w:rPr>
              <w:t>Availability</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Revolving Loans that are</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Revolving Loans that are</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FILO Loans that are</w:t>
            </w:r>
          </w:p>
        </w:tc>
        <w:tc>
          <w:tcPr>
            <w:tcW w:w="1680" w:type="dxa"/>
            <w:vAlign w:val="bottom"/>
            <w:tcBorders>
              <w:right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FILO Loans that are Base</w:t>
            </w:r>
          </w:p>
        </w:tc>
        <w:tc>
          <w:tcPr>
            <w:tcW w:w="0" w:type="dxa"/>
            <w:vAlign w:val="bottom"/>
          </w:tcPr>
          <w:p>
            <w:pPr>
              <w:spacing w:after="0"/>
              <w:rPr>
                <w:sz w:val="1"/>
                <w:szCs w:val="1"/>
                <w:color w:val="auto"/>
              </w:rPr>
            </w:pPr>
          </w:p>
        </w:tc>
      </w:tr>
      <w:tr>
        <w:trPr>
          <w:trHeight w:val="153"/>
        </w:trPr>
        <w:tc>
          <w:tcPr>
            <w:tcW w:w="2820" w:type="dxa"/>
            <w:vAlign w:val="bottom"/>
            <w:tcBorders>
              <w:left w:val="single" w:sz="8" w:color="auto"/>
              <w:right w:val="single" w:sz="8" w:color="auto"/>
            </w:tcBorders>
          </w:tcPr>
          <w:p>
            <w:pPr>
              <w:spacing w:after="0"/>
              <w:rPr>
                <w:sz w:val="13"/>
                <w:szCs w:val="13"/>
                <w:color w:val="auto"/>
              </w:rPr>
            </w:pPr>
          </w:p>
        </w:tc>
        <w:tc>
          <w:tcPr>
            <w:tcW w:w="1680" w:type="dxa"/>
            <w:vAlign w:val="bottom"/>
            <w:tcBorders>
              <w:right w:val="single" w:sz="8" w:color="auto"/>
            </w:tcBorders>
          </w:tcPr>
          <w:p>
            <w:pPr>
              <w:spacing w:after="0"/>
              <w:rPr>
                <w:sz w:val="13"/>
                <w:szCs w:val="13"/>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LIBOR Rate Loans</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Base Rate Loans</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LIBOR</w:t>
            </w:r>
          </w:p>
        </w:tc>
        <w:tc>
          <w:tcPr>
            <w:tcW w:w="1680" w:type="dxa"/>
            <w:vAlign w:val="bottom"/>
            <w:tcBorders>
              <w:right w:val="single" w:sz="8" w:color="auto"/>
            </w:tcBorders>
          </w:tcPr>
          <w:p>
            <w:pPr>
              <w:jc w:val="right"/>
              <w:ind w:right="854"/>
              <w:spacing w:after="0"/>
              <w:rPr>
                <w:sz w:val="20"/>
                <w:szCs w:val="20"/>
                <w:color w:val="auto"/>
              </w:rPr>
            </w:pPr>
            <w:r>
              <w:rPr>
                <w:rFonts w:ascii="Arial" w:cs="Arial" w:eastAsia="Arial" w:hAnsi="Arial"/>
                <w:sz w:val="13"/>
                <w:szCs w:val="13"/>
                <w:b w:val="1"/>
                <w:bCs w:val="1"/>
                <w:color w:val="auto"/>
              </w:rPr>
              <w:t>Rate Loans</w:t>
            </w:r>
          </w:p>
        </w:tc>
        <w:tc>
          <w:tcPr>
            <w:tcW w:w="0" w:type="dxa"/>
            <w:vAlign w:val="bottom"/>
          </w:tcPr>
          <w:p>
            <w:pPr>
              <w:spacing w:after="0"/>
              <w:rPr>
                <w:sz w:val="1"/>
                <w:szCs w:val="1"/>
                <w:color w:val="auto"/>
              </w:rPr>
            </w:pPr>
          </w:p>
        </w:tc>
      </w:tr>
      <w:tr>
        <w:trPr>
          <w:trHeight w:val="170"/>
        </w:trPr>
        <w:tc>
          <w:tcPr>
            <w:tcW w:w="2820" w:type="dxa"/>
            <w:vAlign w:val="bottom"/>
            <w:tcBorders>
              <w:left w:val="single" w:sz="8" w:color="auto"/>
              <w:right w:val="single" w:sz="8" w:color="auto"/>
            </w:tcBorders>
            <w:vMerge w:val="restart"/>
          </w:tcPr>
          <w:p>
            <w:pPr>
              <w:jc w:val="center"/>
              <w:ind w:left="14"/>
              <w:spacing w:after="0"/>
              <w:rPr>
                <w:sz w:val="20"/>
                <w:szCs w:val="20"/>
                <w:color w:val="auto"/>
              </w:rPr>
            </w:pPr>
            <w:r>
              <w:rPr>
                <w:rFonts w:ascii="Arial" w:cs="Arial" w:eastAsia="Arial" w:hAnsi="Arial"/>
                <w:sz w:val="13"/>
                <w:szCs w:val="13"/>
                <w:b w:val="1"/>
                <w:bCs w:val="1"/>
                <w:color w:val="auto"/>
                <w:w w:val="90"/>
              </w:rPr>
              <w:t>Level</w:t>
            </w:r>
          </w:p>
        </w:tc>
        <w:tc>
          <w:tcPr>
            <w:tcW w:w="1680" w:type="dxa"/>
            <w:vAlign w:val="bottom"/>
            <w:tcBorders>
              <w:right w:val="single" w:sz="8" w:color="auto"/>
            </w:tcBorders>
          </w:tcPr>
          <w:p>
            <w:pPr>
              <w:spacing w:after="0"/>
              <w:rPr>
                <w:sz w:val="14"/>
                <w:szCs w:val="14"/>
                <w:color w:val="auto"/>
              </w:rPr>
            </w:pPr>
          </w:p>
        </w:tc>
        <w:tc>
          <w:tcPr>
            <w:tcW w:w="1680" w:type="dxa"/>
            <w:vAlign w:val="bottom"/>
            <w:tcBorders>
              <w:right w:val="single" w:sz="8" w:color="auto"/>
            </w:tcBorders>
          </w:tcPr>
          <w:p>
            <w:pPr>
              <w:spacing w:after="0"/>
              <w:rPr>
                <w:sz w:val="14"/>
                <w:szCs w:val="14"/>
                <w:color w:val="auto"/>
              </w:rPr>
            </w:pPr>
          </w:p>
        </w:tc>
        <w:tc>
          <w:tcPr>
            <w:tcW w:w="1680" w:type="dxa"/>
            <w:vAlign w:val="bottom"/>
            <w:tcBorders>
              <w:right w:val="single" w:sz="8" w:color="auto"/>
            </w:tcBorders>
          </w:tcPr>
          <w:p>
            <w:pPr>
              <w:spacing w:after="0"/>
              <w:rPr>
                <w:sz w:val="14"/>
                <w:szCs w:val="14"/>
                <w:color w:val="auto"/>
              </w:rPr>
            </w:pPr>
          </w:p>
        </w:tc>
        <w:tc>
          <w:tcPr>
            <w:tcW w:w="1680" w:type="dxa"/>
            <w:vAlign w:val="bottom"/>
            <w:tcBorders>
              <w:right w:val="single" w:sz="8" w:color="auto"/>
            </w:tcBorders>
          </w:tcPr>
          <w:p>
            <w:pPr>
              <w:jc w:val="center"/>
              <w:ind w:left="14"/>
              <w:spacing w:after="0"/>
              <w:rPr>
                <w:sz w:val="20"/>
                <w:szCs w:val="20"/>
                <w:color w:val="auto"/>
              </w:rPr>
            </w:pPr>
            <w:r>
              <w:rPr>
                <w:rFonts w:ascii="Arial" w:cs="Arial" w:eastAsia="Arial" w:hAnsi="Arial"/>
                <w:sz w:val="13"/>
                <w:szCs w:val="13"/>
                <w:b w:val="1"/>
                <w:bCs w:val="1"/>
                <w:color w:val="auto"/>
                <w:w w:val="91"/>
              </w:rPr>
              <w:t>Rate Loans</w:t>
            </w:r>
          </w:p>
        </w:tc>
        <w:tc>
          <w:tcPr>
            <w:tcW w:w="16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820" w:type="dxa"/>
            <w:vAlign w:val="bottom"/>
            <w:tcBorders>
              <w:left w:val="single" w:sz="8" w:color="auto"/>
              <w:right w:val="single" w:sz="8" w:color="auto"/>
            </w:tcBorders>
            <w:vMerge w:val="continue"/>
          </w:tcPr>
          <w:p>
            <w:pPr>
              <w:spacing w:after="0"/>
              <w:rPr>
                <w:sz w:val="9"/>
                <w:szCs w:val="9"/>
                <w:color w:val="auto"/>
              </w:rPr>
            </w:pPr>
          </w:p>
        </w:tc>
        <w:tc>
          <w:tcPr>
            <w:tcW w:w="1680" w:type="dxa"/>
            <w:vAlign w:val="bottom"/>
            <w:tcBorders>
              <w:right w:val="single" w:sz="8" w:color="auto"/>
            </w:tcBorders>
          </w:tcPr>
          <w:p>
            <w:pPr>
              <w:spacing w:after="0"/>
              <w:rPr>
                <w:sz w:val="9"/>
                <w:szCs w:val="9"/>
                <w:color w:val="auto"/>
              </w:rPr>
            </w:pPr>
          </w:p>
        </w:tc>
        <w:tc>
          <w:tcPr>
            <w:tcW w:w="1680" w:type="dxa"/>
            <w:vAlign w:val="bottom"/>
            <w:tcBorders>
              <w:right w:val="single" w:sz="8" w:color="auto"/>
            </w:tcBorders>
          </w:tcPr>
          <w:p>
            <w:pPr>
              <w:spacing w:after="0"/>
              <w:rPr>
                <w:sz w:val="9"/>
                <w:szCs w:val="9"/>
                <w:color w:val="auto"/>
              </w:rPr>
            </w:pPr>
          </w:p>
        </w:tc>
        <w:tc>
          <w:tcPr>
            <w:tcW w:w="1680" w:type="dxa"/>
            <w:vAlign w:val="bottom"/>
            <w:tcBorders>
              <w:right w:val="single" w:sz="8" w:color="auto"/>
            </w:tcBorders>
          </w:tcPr>
          <w:p>
            <w:pPr>
              <w:spacing w:after="0"/>
              <w:rPr>
                <w:sz w:val="9"/>
                <w:szCs w:val="9"/>
                <w:color w:val="auto"/>
              </w:rPr>
            </w:pPr>
          </w:p>
        </w:tc>
        <w:tc>
          <w:tcPr>
            <w:tcW w:w="1680" w:type="dxa"/>
            <w:vAlign w:val="bottom"/>
            <w:tcBorders>
              <w:right w:val="single" w:sz="8" w:color="auto"/>
            </w:tcBorders>
          </w:tcPr>
          <w:p>
            <w:pPr>
              <w:spacing w:after="0"/>
              <w:rPr>
                <w:sz w:val="9"/>
                <w:szCs w:val="9"/>
                <w:color w:val="auto"/>
              </w:rPr>
            </w:pPr>
          </w:p>
        </w:tc>
        <w:tc>
          <w:tcPr>
            <w:tcW w:w="16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22"/>
        </w:trPr>
        <w:tc>
          <w:tcPr>
            <w:tcW w:w="2820" w:type="dxa"/>
            <w:vAlign w:val="bottom"/>
            <w:tcBorders>
              <w:left w:val="single" w:sz="8" w:color="auto"/>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820" w:type="dxa"/>
            <w:vAlign w:val="bottom"/>
            <w:tcBorders>
              <w:left w:val="single" w:sz="8" w:color="auto"/>
              <w:right w:val="single" w:sz="8" w:color="auto"/>
            </w:tcBorders>
          </w:tcPr>
          <w:p>
            <w:pPr>
              <w:ind w:left="1380"/>
              <w:spacing w:after="0" w:line="132" w:lineRule="exact"/>
              <w:rPr>
                <w:sz w:val="20"/>
                <w:szCs w:val="20"/>
                <w:color w:val="auto"/>
              </w:rPr>
            </w:pPr>
            <w:r>
              <w:rPr>
                <w:rFonts w:ascii="Arial" w:cs="Arial" w:eastAsia="Arial" w:hAnsi="Arial"/>
                <w:sz w:val="13"/>
                <w:szCs w:val="13"/>
                <w:color w:val="auto"/>
              </w:rPr>
              <w:t>I</w:t>
            </w:r>
          </w:p>
        </w:tc>
        <w:tc>
          <w:tcPr>
            <w:tcW w:w="168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3"/>
                <w:szCs w:val="13"/>
                <w:color w:val="auto"/>
                <w:w w:val="90"/>
              </w:rPr>
              <w:t>Greater than 35% of the</w:t>
            </w:r>
          </w:p>
        </w:tc>
        <w:tc>
          <w:tcPr>
            <w:tcW w:w="1680" w:type="dxa"/>
            <w:vAlign w:val="bottom"/>
            <w:tcBorders>
              <w:right w:val="single" w:sz="8" w:color="auto"/>
            </w:tcBorders>
          </w:tcPr>
          <w:p>
            <w:pPr>
              <w:jc w:val="right"/>
              <w:ind w:right="54"/>
              <w:spacing w:after="0" w:line="132" w:lineRule="exact"/>
              <w:rPr>
                <w:sz w:val="20"/>
                <w:szCs w:val="20"/>
                <w:color w:val="auto"/>
              </w:rPr>
            </w:pPr>
            <w:r>
              <w:rPr>
                <w:rFonts w:ascii="Arial" w:cs="Arial" w:eastAsia="Arial" w:hAnsi="Arial"/>
                <w:sz w:val="13"/>
                <w:szCs w:val="13"/>
                <w:color w:val="auto"/>
              </w:rPr>
              <w:t>1.25%</w:t>
            </w:r>
          </w:p>
        </w:tc>
        <w:tc>
          <w:tcPr>
            <w:tcW w:w="168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3"/>
                <w:szCs w:val="13"/>
                <w:color w:val="auto"/>
                <w:w w:val="92"/>
              </w:rPr>
              <w:t>0.25%</w:t>
            </w:r>
          </w:p>
        </w:tc>
        <w:tc>
          <w:tcPr>
            <w:tcW w:w="168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3"/>
                <w:szCs w:val="13"/>
                <w:color w:val="auto"/>
                <w:w w:val="92"/>
              </w:rPr>
              <w:t>2.75%</w:t>
            </w:r>
          </w:p>
        </w:tc>
        <w:tc>
          <w:tcPr>
            <w:tcW w:w="1680" w:type="dxa"/>
            <w:vAlign w:val="bottom"/>
            <w:tcBorders>
              <w:right w:val="single" w:sz="8" w:color="auto"/>
            </w:tcBorders>
          </w:tcPr>
          <w:p>
            <w:pPr>
              <w:jc w:val="right"/>
              <w:ind w:right="514"/>
              <w:spacing w:after="0" w:line="132" w:lineRule="exact"/>
              <w:rPr>
                <w:sz w:val="20"/>
                <w:szCs w:val="20"/>
                <w:color w:val="auto"/>
              </w:rPr>
            </w:pPr>
            <w:r>
              <w:rPr>
                <w:rFonts w:ascii="Arial" w:cs="Arial" w:eastAsia="Arial" w:hAnsi="Arial"/>
                <w:sz w:val="13"/>
                <w:szCs w:val="13"/>
                <w:color w:val="auto"/>
              </w:rPr>
              <w:t>1.75%</w:t>
            </w:r>
          </w:p>
        </w:tc>
        <w:tc>
          <w:tcPr>
            <w:tcW w:w="0" w:type="dxa"/>
            <w:vAlign w:val="bottom"/>
          </w:tcPr>
          <w:p>
            <w:pPr>
              <w:spacing w:after="0"/>
              <w:rPr>
                <w:sz w:val="1"/>
                <w:szCs w:val="1"/>
                <w:color w:val="auto"/>
              </w:rPr>
            </w:pPr>
          </w:p>
        </w:tc>
      </w:tr>
      <w:tr>
        <w:trPr>
          <w:trHeight w:val="166"/>
        </w:trPr>
        <w:tc>
          <w:tcPr>
            <w:tcW w:w="2820" w:type="dxa"/>
            <w:vAlign w:val="bottom"/>
            <w:tcBorders>
              <w:left w:val="single" w:sz="8" w:color="auto"/>
              <w:right w:val="single" w:sz="8" w:color="auto"/>
            </w:tcBorders>
          </w:tcPr>
          <w:p>
            <w:pPr>
              <w:spacing w:after="0"/>
              <w:rPr>
                <w:sz w:val="14"/>
                <w:szCs w:val="1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3"/>
              </w:rPr>
              <w:t>Borrowing Base</w:t>
            </w:r>
          </w:p>
        </w:tc>
        <w:tc>
          <w:tcPr>
            <w:tcW w:w="1680" w:type="dxa"/>
            <w:vAlign w:val="bottom"/>
            <w:tcBorders>
              <w:right w:val="single" w:sz="8" w:color="auto"/>
            </w:tcBorders>
          </w:tcPr>
          <w:p>
            <w:pPr>
              <w:spacing w:after="0"/>
              <w:rPr>
                <w:sz w:val="14"/>
                <w:szCs w:val="14"/>
                <w:color w:val="auto"/>
              </w:rPr>
            </w:pPr>
          </w:p>
        </w:tc>
        <w:tc>
          <w:tcPr>
            <w:tcW w:w="1680" w:type="dxa"/>
            <w:vAlign w:val="bottom"/>
            <w:tcBorders>
              <w:right w:val="single" w:sz="8" w:color="auto"/>
            </w:tcBorders>
          </w:tcPr>
          <w:p>
            <w:pPr>
              <w:spacing w:after="0"/>
              <w:rPr>
                <w:sz w:val="14"/>
                <w:szCs w:val="14"/>
                <w:color w:val="auto"/>
              </w:rPr>
            </w:pPr>
          </w:p>
        </w:tc>
        <w:tc>
          <w:tcPr>
            <w:tcW w:w="1680" w:type="dxa"/>
            <w:vAlign w:val="bottom"/>
            <w:tcBorders>
              <w:right w:val="single" w:sz="8" w:color="auto"/>
            </w:tcBorders>
          </w:tcPr>
          <w:p>
            <w:pPr>
              <w:spacing w:after="0"/>
              <w:rPr>
                <w:sz w:val="14"/>
                <w:szCs w:val="14"/>
                <w:color w:val="auto"/>
              </w:rPr>
            </w:pPr>
          </w:p>
        </w:tc>
        <w:tc>
          <w:tcPr>
            <w:tcW w:w="16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2820" w:type="dxa"/>
            <w:vAlign w:val="bottom"/>
            <w:tcBorders>
              <w:left w:val="single" w:sz="8" w:color="auto"/>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820" w:type="dxa"/>
            <w:vAlign w:val="bottom"/>
            <w:tcBorders>
              <w:left w:val="single" w:sz="8" w:color="auto"/>
              <w:right w:val="single" w:sz="8" w:color="auto"/>
            </w:tcBorders>
          </w:tcPr>
          <w:p>
            <w:pPr>
              <w:jc w:val="center"/>
              <w:spacing w:after="0" w:line="132" w:lineRule="exact"/>
              <w:rPr>
                <w:sz w:val="20"/>
                <w:szCs w:val="20"/>
                <w:color w:val="auto"/>
              </w:rPr>
            </w:pPr>
            <w:r>
              <w:rPr>
                <w:rFonts w:ascii="Arial" w:cs="Arial" w:eastAsia="Arial" w:hAnsi="Arial"/>
                <w:sz w:val="13"/>
                <w:szCs w:val="13"/>
                <w:color w:val="auto"/>
              </w:rPr>
              <w:t>II</w:t>
            </w:r>
          </w:p>
        </w:tc>
        <w:tc>
          <w:tcPr>
            <w:tcW w:w="168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3"/>
                <w:szCs w:val="13"/>
                <w:color w:val="auto"/>
                <w:w w:val="91"/>
              </w:rPr>
              <w:t>Less than or equal to 35% of</w:t>
            </w:r>
          </w:p>
        </w:tc>
        <w:tc>
          <w:tcPr>
            <w:tcW w:w="1680" w:type="dxa"/>
            <w:vAlign w:val="bottom"/>
            <w:tcBorders>
              <w:right w:val="single" w:sz="8" w:color="auto"/>
            </w:tcBorders>
          </w:tcPr>
          <w:p>
            <w:pPr>
              <w:jc w:val="right"/>
              <w:ind w:right="54"/>
              <w:spacing w:after="0" w:line="132" w:lineRule="exact"/>
              <w:rPr>
                <w:sz w:val="20"/>
                <w:szCs w:val="20"/>
                <w:color w:val="auto"/>
              </w:rPr>
            </w:pPr>
            <w:r>
              <w:rPr>
                <w:rFonts w:ascii="Arial" w:cs="Arial" w:eastAsia="Arial" w:hAnsi="Arial"/>
                <w:sz w:val="13"/>
                <w:szCs w:val="13"/>
                <w:color w:val="auto"/>
              </w:rPr>
              <w:t>1.50%</w:t>
            </w:r>
          </w:p>
        </w:tc>
        <w:tc>
          <w:tcPr>
            <w:tcW w:w="168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3"/>
                <w:szCs w:val="13"/>
                <w:color w:val="auto"/>
                <w:w w:val="92"/>
              </w:rPr>
              <w:t>0.50%</w:t>
            </w:r>
          </w:p>
        </w:tc>
        <w:tc>
          <w:tcPr>
            <w:tcW w:w="168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3"/>
                <w:szCs w:val="13"/>
                <w:color w:val="auto"/>
                <w:w w:val="92"/>
              </w:rPr>
              <w:t>3.00%</w:t>
            </w:r>
          </w:p>
        </w:tc>
        <w:tc>
          <w:tcPr>
            <w:tcW w:w="1680" w:type="dxa"/>
            <w:vAlign w:val="bottom"/>
            <w:tcBorders>
              <w:right w:val="single" w:sz="8" w:color="auto"/>
            </w:tcBorders>
          </w:tcPr>
          <w:p>
            <w:pPr>
              <w:jc w:val="right"/>
              <w:ind w:right="514"/>
              <w:spacing w:after="0" w:line="132" w:lineRule="exact"/>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166"/>
        </w:trPr>
        <w:tc>
          <w:tcPr>
            <w:tcW w:w="2820" w:type="dxa"/>
            <w:vAlign w:val="bottom"/>
            <w:tcBorders>
              <w:left w:val="single" w:sz="8" w:color="auto"/>
              <w:right w:val="single" w:sz="8" w:color="auto"/>
            </w:tcBorders>
          </w:tcPr>
          <w:p>
            <w:pPr>
              <w:spacing w:after="0"/>
              <w:rPr>
                <w:sz w:val="14"/>
                <w:szCs w:val="1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3"/>
              </w:rPr>
              <w:t>the Borrowing Base</w:t>
            </w:r>
          </w:p>
        </w:tc>
        <w:tc>
          <w:tcPr>
            <w:tcW w:w="1680" w:type="dxa"/>
            <w:vAlign w:val="bottom"/>
            <w:tcBorders>
              <w:right w:val="single" w:sz="8" w:color="auto"/>
            </w:tcBorders>
          </w:tcPr>
          <w:p>
            <w:pPr>
              <w:spacing w:after="0"/>
              <w:rPr>
                <w:sz w:val="14"/>
                <w:szCs w:val="14"/>
                <w:color w:val="auto"/>
              </w:rPr>
            </w:pPr>
          </w:p>
        </w:tc>
        <w:tc>
          <w:tcPr>
            <w:tcW w:w="1680" w:type="dxa"/>
            <w:vAlign w:val="bottom"/>
            <w:tcBorders>
              <w:right w:val="single" w:sz="8" w:color="auto"/>
            </w:tcBorders>
          </w:tcPr>
          <w:p>
            <w:pPr>
              <w:spacing w:after="0"/>
              <w:rPr>
                <w:sz w:val="14"/>
                <w:szCs w:val="14"/>
                <w:color w:val="auto"/>
              </w:rPr>
            </w:pPr>
          </w:p>
        </w:tc>
        <w:tc>
          <w:tcPr>
            <w:tcW w:w="1680" w:type="dxa"/>
            <w:vAlign w:val="bottom"/>
            <w:tcBorders>
              <w:right w:val="single" w:sz="8" w:color="auto"/>
            </w:tcBorders>
          </w:tcPr>
          <w:p>
            <w:pPr>
              <w:spacing w:after="0"/>
              <w:rPr>
                <w:sz w:val="14"/>
                <w:szCs w:val="14"/>
                <w:color w:val="auto"/>
              </w:rPr>
            </w:pPr>
          </w:p>
        </w:tc>
        <w:tc>
          <w:tcPr>
            <w:tcW w:w="16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2820" w:type="dxa"/>
            <w:vAlign w:val="bottom"/>
            <w:tcBorders>
              <w:left w:val="single" w:sz="8" w:color="auto"/>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left="220" w:right="100" w:firstLine="808"/>
        <w:spacing w:after="0" w:line="273" w:lineRule="auto"/>
        <w:rPr>
          <w:sz w:val="20"/>
          <w:szCs w:val="20"/>
          <w:color w:val="auto"/>
        </w:rPr>
      </w:pPr>
      <w:r>
        <w:rPr>
          <w:rFonts w:ascii="Arial" w:cs="Arial" w:eastAsia="Arial" w:hAnsi="Arial"/>
          <w:sz w:val="12"/>
          <w:szCs w:val="12"/>
          <w:color w:val="auto"/>
        </w:rPr>
        <w:t xml:space="preserve">“Applicable Percentage” means (a) with respect to any Revolving Lender at any time, the percentage (carried out to the ninth decimal place) of the Aggregate Revolving Commitments represented by such Revolving Lender’s Revolving Commitment at such time, (b) with respect to any FILO Lender at any time, the percentage (carried out to the ninth decimal place) of the outstanding principal balance of the FILO Loan represented by such FILO Lender’s outstanding FILO Loan at such time, and (c) any Lender at any time, the percentage (carried out to the ninth decimal place) of the sum of the Revolving Commitments plus the outstanding portion of the FILO Loan, in each case represented by the sum of such Lender’s Aggregate Revolving Commitment plus the portion of the FILO Loan held by such Lender at such time, subject to adjustment provided in </w:t>
      </w:r>
      <w:r>
        <w:rPr>
          <w:rFonts w:ascii="Arial" w:cs="Arial" w:eastAsia="Arial" w:hAnsi="Arial"/>
          <w:sz w:val="12"/>
          <w:szCs w:val="12"/>
          <w:u w:val="single" w:color="auto"/>
          <w:color w:val="auto"/>
        </w:rPr>
        <w:t>Section 2.16</w:t>
      </w:r>
      <w:r>
        <w:rPr>
          <w:rFonts w:ascii="Arial" w:cs="Arial" w:eastAsia="Arial" w:hAnsi="Arial"/>
          <w:sz w:val="12"/>
          <w:szCs w:val="12"/>
          <w:color w:val="auto"/>
        </w:rPr>
        <w:t xml:space="preserve">. If the commitment of each Lender to make Loans and the obligation of the L/C Issuer to make L/C Credit Extensions have been terminated pursuant to </w:t>
      </w:r>
      <w:r>
        <w:rPr>
          <w:rFonts w:ascii="Arial" w:cs="Arial" w:eastAsia="Arial" w:hAnsi="Arial"/>
          <w:sz w:val="12"/>
          <w:szCs w:val="12"/>
          <w:u w:val="single" w:color="auto"/>
          <w:color w:val="auto"/>
        </w:rPr>
        <w:t>Section 2.06</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8.02</w:t>
      </w:r>
      <w:r>
        <w:rPr>
          <w:rFonts w:ascii="Arial" w:cs="Arial" w:eastAsia="Arial" w:hAnsi="Arial"/>
          <w:sz w:val="12"/>
          <w:szCs w:val="12"/>
          <w:color w:val="auto"/>
        </w:rPr>
        <w:t xml:space="preserve"> or if the Aggregate Revolving Commitments have expired, then the Applicable Percentage of each Lender shall be determined based on the Applicable Percentage of such Lender most recently in effect, giving effect to any subsequent assignments. The initial Applicable Percentage of each Lender is set forth opposite the name of such Lender on </w:t>
      </w:r>
      <w:r>
        <w:rPr>
          <w:rFonts w:ascii="Arial" w:cs="Arial" w:eastAsia="Arial" w:hAnsi="Arial"/>
          <w:sz w:val="12"/>
          <w:szCs w:val="12"/>
          <w:u w:val="single" w:color="auto"/>
          <w:color w:val="auto"/>
        </w:rPr>
        <w:t>Schedule 2.01</w:t>
      </w:r>
      <w:r>
        <w:rPr>
          <w:rFonts w:ascii="Arial" w:cs="Arial" w:eastAsia="Arial" w:hAnsi="Arial"/>
          <w:sz w:val="12"/>
          <w:szCs w:val="12"/>
          <w:color w:val="auto"/>
        </w:rPr>
        <w:t xml:space="preserve"> or in the Assignment and Assumption pursuant to which such Lender becomes a party hereto, as applicable.</w:t>
      </w:r>
    </w:p>
    <w:p>
      <w:pPr>
        <w:spacing w:after="0" w:line="113" w:lineRule="exact"/>
        <w:rPr>
          <w:sz w:val="20"/>
          <w:szCs w:val="20"/>
          <w:color w:val="auto"/>
        </w:rPr>
      </w:pPr>
    </w:p>
    <w:p>
      <w:pPr>
        <w:jc w:val="both"/>
        <w:ind w:left="220" w:right="100" w:firstLine="808"/>
        <w:spacing w:after="0" w:line="271" w:lineRule="auto"/>
        <w:rPr>
          <w:sz w:val="20"/>
          <w:szCs w:val="20"/>
          <w:color w:val="auto"/>
        </w:rPr>
      </w:pPr>
      <w:r>
        <w:rPr>
          <w:rFonts w:ascii="Arial" w:cs="Arial" w:eastAsia="Arial" w:hAnsi="Arial"/>
          <w:sz w:val="13"/>
          <w:szCs w:val="13"/>
          <w:color w:val="auto"/>
        </w:rPr>
        <w:t xml:space="preserve">“Applicable Rate” means, at any time of calculation, (a) with respect to Commercial Letters of Credit, a per annum rate equal to the Applicable Margin for Revolving Loans which are LIBOR Rate Loans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0.50%, and (b) with respect to Standby Letters of Credit, a per annum rate equal to the Applicable Margin for Revolving Loans which are LIBOR Rate Loans.</w:t>
      </w:r>
    </w:p>
    <w:p>
      <w:pPr>
        <w:spacing w:after="0" w:line="113" w:lineRule="exact"/>
        <w:rPr>
          <w:sz w:val="20"/>
          <w:szCs w:val="20"/>
          <w:color w:val="auto"/>
        </w:rPr>
      </w:pPr>
    </w:p>
    <w:p>
      <w:pPr>
        <w:jc w:val="both"/>
        <w:ind w:left="220" w:right="100" w:firstLine="808"/>
        <w:spacing w:after="0" w:line="282" w:lineRule="auto"/>
        <w:rPr>
          <w:sz w:val="20"/>
          <w:szCs w:val="20"/>
          <w:color w:val="auto"/>
        </w:rPr>
      </w:pPr>
      <w:r>
        <w:rPr>
          <w:rFonts w:ascii="Arial" w:cs="Arial" w:eastAsia="Arial" w:hAnsi="Arial"/>
          <w:sz w:val="12"/>
          <w:szCs w:val="12"/>
          <w:color w:val="auto"/>
        </w:rPr>
        <w:t>“Appraised Value” means (a) with respect to Inventory, the appraised orderly liquidation value, net of costs and expenses to be incurred in connection with any such liquidation, which value is expressed as a percentage of Cost of Inventory as set forth in the inventory stock ledger of the Lead Borrower, which value shall be determined from time to time by the most recent appraisal undertaken by an independent appraiser engaged by the Agent, or (b) with respect to Eligible Trade Names, the forced liquidation value, net of costs and expenses to be incurred in connection with any such liquidation, which value shall be determined from time to time by the most recent appraisal undertaken by an independent appraiser engaged by the Agent.</w:t>
      </w:r>
    </w:p>
    <w:p>
      <w:pPr>
        <w:spacing w:after="0" w:line="255"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9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320"/>
          </w:cols>
          <w:pgMar w:left="240" w:top="165" w:right="339" w:bottom="1440" w:gutter="0" w:footer="0" w:header="0"/>
        </w:sectPr>
      </w:pPr>
    </w:p>
    <w:bookmarkStart w:id="14" w:name="page15"/>
    <w:bookmarkEnd w:id="14"/>
    <w:p>
      <w:pPr>
        <w:jc w:val="both"/>
        <w:ind w:left="220" w:firstLine="808"/>
        <w:spacing w:after="0" w:line="259" w:lineRule="auto"/>
        <w:rPr>
          <w:sz w:val="20"/>
          <w:szCs w:val="20"/>
          <w:color w:val="auto"/>
        </w:rPr>
      </w:pPr>
      <w:r>
        <w:rPr>
          <w:rFonts w:ascii="Arial" w:cs="Arial" w:eastAsia="Arial" w:hAnsi="Arial"/>
          <w:sz w:val="13"/>
          <w:szCs w:val="13"/>
          <w:color w:val="auto"/>
        </w:rPr>
        <w:t>“Approved Foreign Vendor” means a Foreign Vendor which (a) is located in any country acceptable to the Agent in its discretion, (b) has received timely payment or performance of all obligations owed to it by the Loan Parties, (c) has not asserted and has no right to assert any reclamation, repossession, diversion, stoppage in transit, Lien or title retention rights in respect of such Inventory and (d), if so requested by the Agent, shall use commercially reasonable efforts to enter into the Foreign Vendor Agreement.</w:t>
      </w:r>
    </w:p>
    <w:p>
      <w:pPr>
        <w:spacing w:after="0" w:line="94" w:lineRule="exact"/>
        <w:rPr>
          <w:sz w:val="20"/>
          <w:szCs w:val="20"/>
          <w:color w:val="auto"/>
        </w:rPr>
      </w:pPr>
    </w:p>
    <w:p>
      <w:pPr>
        <w:ind w:left="1040"/>
        <w:spacing w:after="0"/>
        <w:rPr>
          <w:sz w:val="20"/>
          <w:szCs w:val="20"/>
          <w:color w:val="auto"/>
        </w:rPr>
      </w:pPr>
      <w:r>
        <w:rPr>
          <w:rFonts w:ascii="Arial" w:cs="Arial" w:eastAsia="Arial" w:hAnsi="Arial"/>
          <w:sz w:val="12"/>
          <w:szCs w:val="12"/>
          <w:color w:val="auto"/>
        </w:rPr>
        <w:t>“Approved Fund” means any Fund that is administered or managed by (a) a Lender, (b) an Affiliate of a Lender, (c) an entity or an Affiliate of an entity that administers or manages a Lender or</w:t>
      </w:r>
    </w:p>
    <w:p>
      <w:pPr>
        <w:spacing w:after="0" w:line="25" w:lineRule="exact"/>
        <w:rPr>
          <w:sz w:val="20"/>
          <w:szCs w:val="20"/>
          <w:color w:val="auto"/>
        </w:rPr>
      </w:pPr>
    </w:p>
    <w:p>
      <w:pPr>
        <w:ind w:left="1040" w:right="4560" w:hanging="815"/>
        <w:spacing w:after="0" w:line="511" w:lineRule="auto"/>
        <w:tabs>
          <w:tab w:leader="none" w:pos="419"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 same investment advisor or an advisor under common control with such Lender, Affiliate or advisor, as applicable. “Arranger” means Bank of America, in its capacity as sole lead arranger and sole book manager.</w:t>
      </w:r>
    </w:p>
    <w:p>
      <w:pPr>
        <w:spacing w:after="0" w:line="1"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“Assignee Group” means two or more Eligible Assignees that are Affiliates of one another or two or more Approved Funds managed by the same investment advisor.</w:t>
      </w:r>
    </w:p>
    <w:p>
      <w:pPr>
        <w:spacing w:after="0" w:line="121"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 xml:space="preserve">“Assignment and Assumption” means an assignment and assumption entered into by a Lender and an Eligible Assignee (with the consent of any party whose consent is required by </w:t>
      </w:r>
      <w:r>
        <w:rPr>
          <w:rFonts w:ascii="Arial" w:cs="Arial" w:eastAsia="Arial" w:hAnsi="Arial"/>
          <w:sz w:val="13"/>
          <w:szCs w:val="13"/>
          <w:u w:val="single" w:color="auto"/>
          <w:color w:val="auto"/>
        </w:rPr>
        <w:t>Section</w:t>
      </w:r>
      <w:r>
        <w:rPr>
          <w:rFonts w:ascii="Arial" w:cs="Arial" w:eastAsia="Arial" w:hAnsi="Arial"/>
          <w:sz w:val="13"/>
          <w:szCs w:val="13"/>
          <w:color w:val="auto"/>
        </w:rPr>
        <w:t xml:space="preserve"> </w:t>
      </w:r>
      <w:r>
        <w:rPr>
          <w:rFonts w:ascii="Arial" w:cs="Arial" w:eastAsia="Arial" w:hAnsi="Arial"/>
          <w:sz w:val="13"/>
          <w:szCs w:val="13"/>
          <w:u w:val="single" w:color="auto"/>
          <w:color w:val="auto"/>
        </w:rPr>
        <w:t>10.06(b)</w:t>
      </w:r>
      <w:r>
        <w:rPr>
          <w:rFonts w:ascii="Arial" w:cs="Arial" w:eastAsia="Arial" w:hAnsi="Arial"/>
          <w:sz w:val="13"/>
          <w:szCs w:val="13"/>
          <w:color w:val="auto"/>
        </w:rPr>
        <w:t>), and accepted by the Agent, in substantially the form of Exhibit E or any other form approved by the Agent.</w:t>
      </w:r>
    </w:p>
    <w:p>
      <w:pPr>
        <w:spacing w:after="0" w:line="95" w:lineRule="exact"/>
        <w:rPr>
          <w:sz w:val="20"/>
          <w:szCs w:val="20"/>
          <w:color w:val="auto"/>
        </w:rPr>
      </w:pPr>
    </w:p>
    <w:p>
      <w:pPr>
        <w:jc w:val="both"/>
        <w:ind w:left="220" w:firstLine="808"/>
        <w:spacing w:after="0" w:line="254" w:lineRule="auto"/>
        <w:rPr>
          <w:sz w:val="20"/>
          <w:szCs w:val="20"/>
          <w:color w:val="auto"/>
        </w:rPr>
      </w:pPr>
      <w:r>
        <w:rPr>
          <w:rFonts w:ascii="Arial" w:cs="Arial" w:eastAsia="Arial" w:hAnsi="Arial"/>
          <w:sz w:val="13"/>
          <w:szCs w:val="13"/>
          <w:color w:val="auto"/>
        </w:rPr>
        <w:t>“Attributable Indebtedness” means, on any date, (a) in respect of any Capital Lease Obligation of any Person, the capitalized amount thereof that would appear on a balance sheet of such Person prepared as of such date in accordance with GAAP, and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agreement or instrument were accounted for as a capital lease.</w:t>
      </w:r>
    </w:p>
    <w:p>
      <w:pPr>
        <w:spacing w:after="0" w:line="97"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“Audited Financial Statements” means the audited consolidated balance sheet of the Lead Borrower and its Subsidiaries for the Fiscal Year ended February 3, 2018, and the related consolidated statements of income or operations, Shareholders’ Equity and cash flows for such Fiscal Year of the Lead Borrower and its Subsidiaries, including the notes thereto.</w:t>
      </w:r>
    </w:p>
    <w:p>
      <w:pPr>
        <w:spacing w:after="0" w:line="86"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 xml:space="preserve">“Auto-Extension Letter of Credit” shall have the meaning specified in </w:t>
      </w:r>
      <w:r>
        <w:rPr>
          <w:rFonts w:ascii="Arial" w:cs="Arial" w:eastAsia="Arial" w:hAnsi="Arial"/>
          <w:sz w:val="13"/>
          <w:szCs w:val="13"/>
          <w:u w:val="single" w:color="auto"/>
          <w:color w:val="auto"/>
        </w:rPr>
        <w:t>Section 2.03(b)(iii)</w:t>
      </w:r>
      <w:r>
        <w:rPr>
          <w:rFonts w:ascii="Arial" w:cs="Arial" w:eastAsia="Arial" w:hAnsi="Arial"/>
          <w:sz w:val="13"/>
          <w:szCs w:val="13"/>
          <w:color w:val="auto"/>
        </w:rPr>
        <w:t>.</w:t>
      </w:r>
    </w:p>
    <w:p>
      <w:pPr>
        <w:spacing w:after="0" w:line="130"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“Availability” means, as of any date of determination thereof by the Agent, the result, if a positive number, of:</w:t>
      </w:r>
    </w:p>
    <w:p>
      <w:pPr>
        <w:spacing w:after="0" w:line="148" w:lineRule="exact"/>
        <w:rPr>
          <w:sz w:val="20"/>
          <w:szCs w:val="20"/>
          <w:color w:val="auto"/>
        </w:rPr>
      </w:pPr>
    </w:p>
    <w:p>
      <w:pPr>
        <w:ind w:left="3600" w:right="7140" w:hanging="1691"/>
        <w:spacing w:after="0" w:line="516" w:lineRule="auto"/>
        <w:tabs>
          <w:tab w:leader="none" w:pos="2742"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The Revolving Loan Cap </w:t>
      </w:r>
      <w:r>
        <w:rPr>
          <w:rFonts w:ascii="Arial" w:cs="Arial" w:eastAsia="Arial" w:hAnsi="Arial"/>
          <w:sz w:val="12"/>
          <w:szCs w:val="12"/>
          <w:u w:val="single" w:color="auto"/>
          <w:color w:val="auto"/>
        </w:rPr>
        <w:t>Minus</w:t>
      </w:r>
    </w:p>
    <w:p>
      <w:pPr>
        <w:spacing w:after="0" w:line="1" w:lineRule="exact"/>
        <w:rPr>
          <w:rFonts w:ascii="Arial" w:cs="Arial" w:eastAsia="Arial" w:hAnsi="Arial"/>
          <w:sz w:val="12"/>
          <w:szCs w:val="12"/>
          <w:color w:val="auto"/>
        </w:rPr>
      </w:pPr>
    </w:p>
    <w:p>
      <w:pPr>
        <w:ind w:left="2740" w:hanging="831"/>
        <w:spacing w:after="0"/>
        <w:tabs>
          <w:tab w:leader="none" w:pos="274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aggregate amount of the Total Revolving Outstandings.</w:t>
      </w:r>
    </w:p>
    <w:p>
      <w:pPr>
        <w:spacing w:after="0" w:line="148" w:lineRule="exact"/>
        <w:rPr>
          <w:sz w:val="20"/>
          <w:szCs w:val="20"/>
          <w:color w:val="auto"/>
        </w:rPr>
      </w:pPr>
    </w:p>
    <w:p>
      <w:pPr>
        <w:ind w:left="1040"/>
        <w:spacing w:after="0"/>
        <w:rPr>
          <w:sz w:val="20"/>
          <w:szCs w:val="20"/>
          <w:color w:val="auto"/>
        </w:rPr>
      </w:pPr>
      <w:r>
        <w:rPr>
          <w:rFonts w:ascii="Arial" w:cs="Arial" w:eastAsia="Arial" w:hAnsi="Arial"/>
          <w:sz w:val="12"/>
          <w:szCs w:val="12"/>
          <w:color w:val="auto"/>
        </w:rPr>
        <w:t>In calculating Availability at any time and for any purpose under this Agreement, the Lead Borrower shall certify to the Agent that all accounts payable and Taxes are being paid on a timely</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3"/>
          <w:szCs w:val="13"/>
          <w:color w:val="auto"/>
        </w:rPr>
        <w:t>basis.</w:t>
      </w:r>
    </w:p>
    <w:p>
      <w:pPr>
        <w:spacing w:after="0" w:line="138" w:lineRule="exact"/>
        <w:rPr>
          <w:sz w:val="20"/>
          <w:szCs w:val="20"/>
          <w:color w:val="auto"/>
        </w:rPr>
      </w:pPr>
    </w:p>
    <w:p>
      <w:pPr>
        <w:ind w:left="1040"/>
        <w:spacing w:after="0"/>
        <w:rPr>
          <w:sz w:val="20"/>
          <w:szCs w:val="20"/>
          <w:color w:val="auto"/>
        </w:rPr>
      </w:pPr>
      <w:r>
        <w:rPr>
          <w:rFonts w:ascii="Arial" w:cs="Arial" w:eastAsia="Arial" w:hAnsi="Arial"/>
          <w:sz w:val="12"/>
          <w:szCs w:val="12"/>
          <w:color w:val="auto"/>
        </w:rPr>
        <w:t>“Availability Period” means the period from and including the Closing Date to the earliest of (a) the Maturity Date, (b) the date of termination of the Aggregate Revolving Commitments</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3"/>
          <w:szCs w:val="13"/>
          <w:color w:val="auto"/>
        </w:rPr>
        <w:t>pursuant to</w:t>
      </w:r>
    </w:p>
    <w:p>
      <w:pPr>
        <w:spacing w:after="0" w:line="285"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15" w:name="page16"/>
    <w:bookmarkEnd w:id="15"/>
    <w:p>
      <w:pPr>
        <w:ind w:left="220"/>
        <w:spacing w:after="0"/>
        <w:rPr>
          <w:sz w:val="20"/>
          <w:szCs w:val="20"/>
          <w:color w:val="auto"/>
        </w:rPr>
      </w:pPr>
      <w:r>
        <w:rPr>
          <w:rFonts w:ascii="Arial" w:cs="Arial" w:eastAsia="Arial" w:hAnsi="Arial"/>
          <w:sz w:val="13"/>
          <w:szCs w:val="13"/>
          <w:u w:val="single" w:color="auto"/>
          <w:color w:val="auto"/>
        </w:rPr>
        <w:t>Section 2.06</w:t>
      </w:r>
      <w:r>
        <w:rPr>
          <w:rFonts w:ascii="Arial" w:cs="Arial" w:eastAsia="Arial" w:hAnsi="Arial"/>
          <w:sz w:val="13"/>
          <w:szCs w:val="13"/>
          <w:color w:val="auto"/>
        </w:rPr>
        <w:t xml:space="preserve">, and (c) the date of termination of the Aggregate Revolving Commitments and of the obligation of the L/C Issuer to make L/C Credit Extensions pursuant to </w:t>
      </w:r>
      <w:r>
        <w:rPr>
          <w:rFonts w:ascii="Arial" w:cs="Arial" w:eastAsia="Arial" w:hAnsi="Arial"/>
          <w:sz w:val="13"/>
          <w:szCs w:val="13"/>
          <w:u w:val="single" w:color="auto"/>
          <w:color w:val="auto"/>
        </w:rPr>
        <w:t>Section 8.02</w:t>
      </w:r>
      <w:r>
        <w:rPr>
          <w:rFonts w:ascii="Arial" w:cs="Arial" w:eastAsia="Arial" w:hAnsi="Arial"/>
          <w:sz w:val="13"/>
          <w:szCs w:val="13"/>
          <w:color w:val="auto"/>
        </w:rPr>
        <w:t>.</w:t>
      </w:r>
    </w:p>
    <w:p>
      <w:pPr>
        <w:spacing w:after="0" w:line="149" w:lineRule="exact"/>
        <w:rPr>
          <w:sz w:val="20"/>
          <w:szCs w:val="20"/>
          <w:color w:val="auto"/>
        </w:rPr>
      </w:pPr>
    </w:p>
    <w:p>
      <w:pPr>
        <w:jc w:val="both"/>
        <w:ind w:left="220" w:firstLine="808"/>
        <w:spacing w:after="0" w:line="248" w:lineRule="auto"/>
        <w:rPr>
          <w:sz w:val="20"/>
          <w:szCs w:val="20"/>
          <w:color w:val="auto"/>
        </w:rPr>
      </w:pPr>
      <w:r>
        <w:rPr>
          <w:rFonts w:ascii="Arial" w:cs="Arial" w:eastAsia="Arial" w:hAnsi="Arial"/>
          <w:sz w:val="13"/>
          <w:szCs w:val="13"/>
          <w:color w:val="auto"/>
        </w:rPr>
        <w:t>“Availability Reserves” means, without duplication of any other Reserves or items that are otherwise addressed or excluded through eligibility criteria, such reserves as the Agent from time to time determines in its discretion as being appropriate (a) to reflect the impediments to the Agent’s ability to realize upon the Collateral, (b) to reflect claims and liabilities that the Agent determines will need to be satisfied in connection with the realization upon the Collateral, (c) to reflect criteria, events, conditions, contingencies or risks which adversely affect any component of the Borrowing Base, the FILO Borrowing Base or the assets, business, financial performance or financial condition of any Loan Party, or (d) to reflect that a Default or an Event of Default then exists. Without limiting the generality of the foregoing, Availability Reserves may include, in the Agent’s discretion, (but are not limited to) reserves based on: (i) rent; (ii) customs duties, and other costs to release Inventory which is being imported into the United States; (iii) outstanding Taxes and other governmental charges, including, without limitation, ad valorem, real estate, personal property, sales, claims of the PBGC and other Taxes which may have priority over the interests of the Agent in the Collateral; (iv) salaries, wages and benefits due to employees of any Borrower, (v) Customer Credit Liabilities, (vi) customer deposits, (vii) reserves for reasonably anticipated changes in the Appraised Value of Eligible Inventory between appraisals, (viii) warehousemen’s or bailee’s charges and other Permitted Encumbrances which may have priority over the interests of the Agent in the Collateral, (ix) amounts due to vendors on account of consigned goods, (x) Cash Management Reserves, (xi) Bank Products Reserves, and (xii) royalties payable in respect of licensed merchandise.</w:t>
      </w:r>
    </w:p>
    <w:p>
      <w:pPr>
        <w:spacing w:after="0" w:line="104"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“Average Revolving Availability” shall mean the average daily Availability for the immediately preceding Fiscal Quarter.</w:t>
      </w:r>
    </w:p>
    <w:p>
      <w:pPr>
        <w:spacing w:after="0" w:line="130" w:lineRule="exact"/>
        <w:rPr>
          <w:sz w:val="20"/>
          <w:szCs w:val="20"/>
          <w:color w:val="auto"/>
        </w:rPr>
      </w:pPr>
    </w:p>
    <w:p>
      <w:pPr>
        <w:ind w:left="1040"/>
        <w:spacing w:after="0"/>
        <w:rPr>
          <w:sz w:val="20"/>
          <w:szCs w:val="20"/>
          <w:color w:val="auto"/>
        </w:rPr>
      </w:pPr>
      <w:r>
        <w:rPr>
          <w:rFonts w:ascii="Arial" w:cs="Arial" w:eastAsia="Arial" w:hAnsi="Arial"/>
          <w:sz w:val="12"/>
          <w:szCs w:val="12"/>
          <w:color w:val="auto"/>
        </w:rPr>
        <w:t>“Bail-In Action” means the exercise of any Write-Down and Conversion Powers by the applicable EEA Resolution Authority in respect of any liability of an EEA Financial Institution.</w:t>
      </w:r>
    </w:p>
    <w:p>
      <w:pPr>
        <w:spacing w:after="0" w:line="132"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“Bail-In Legislation”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86"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“Bank of America” means Bank of America, N.A. and its successors.</w:t>
      </w:r>
    </w:p>
    <w:p>
      <w:pPr>
        <w:spacing w:after="0" w:line="130" w:lineRule="exact"/>
        <w:rPr>
          <w:sz w:val="20"/>
          <w:szCs w:val="20"/>
          <w:color w:val="auto"/>
        </w:rPr>
      </w:pPr>
    </w:p>
    <w:p>
      <w:pPr>
        <w:jc w:val="both"/>
        <w:ind w:left="220" w:firstLine="808"/>
        <w:spacing w:after="0" w:line="258" w:lineRule="auto"/>
        <w:rPr>
          <w:sz w:val="20"/>
          <w:szCs w:val="20"/>
          <w:color w:val="auto"/>
        </w:rPr>
      </w:pPr>
      <w:r>
        <w:rPr>
          <w:rFonts w:ascii="Arial" w:cs="Arial" w:eastAsia="Arial" w:hAnsi="Arial"/>
          <w:sz w:val="13"/>
          <w:szCs w:val="13"/>
          <w:color w:val="auto"/>
        </w:rPr>
        <w:t>“Bank Products” means any services or facilities provided to any Loan Party by the Agent, any Lender, or any of their respective Affiliates (or by a Person that, at the time it entered into an agreement to provide such services or facilities, was the Agent, a Lender or an Affiliate thereof), including, without limitation, on account of (a) Swap Contracts, (b) leasing, (c) factoring, and (d) supply chain finance services (including, without limitation, trade payable services and supplier accounts receivable purchases), but excluding Cash Management Services.</w:t>
      </w:r>
    </w:p>
    <w:p>
      <w:pPr>
        <w:spacing w:after="0" w:line="94"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“Bank Product Reserves” means such reserves as the Agent from time to time determines in its reasonable discretion as being appropriate to reflect the liabilities and obligations of the Loan Parties with respect to Bank Products then provided or outstanding.</w:t>
      </w:r>
    </w:p>
    <w:p>
      <w:pPr>
        <w:spacing w:after="0" w:line="86" w:lineRule="exact"/>
        <w:rPr>
          <w:sz w:val="20"/>
          <w:szCs w:val="20"/>
          <w:color w:val="auto"/>
        </w:rPr>
      </w:pPr>
    </w:p>
    <w:p>
      <w:pPr>
        <w:ind w:left="1040"/>
        <w:spacing w:after="0"/>
        <w:rPr>
          <w:sz w:val="20"/>
          <w:szCs w:val="20"/>
          <w:color w:val="auto"/>
        </w:rPr>
      </w:pPr>
      <w:r>
        <w:rPr>
          <w:rFonts w:ascii="Arial" w:cs="Arial" w:eastAsia="Arial" w:hAnsi="Arial"/>
          <w:sz w:val="12"/>
          <w:szCs w:val="12"/>
          <w:color w:val="auto"/>
        </w:rPr>
        <w:t>“Banker’s Acceptance” means a time draft or bill of exchange or other deferred payment obligation relating to a Commercial Letter of Credit which has been accepted by the L/C Issuer.</w:t>
      </w:r>
    </w:p>
    <w:p>
      <w:pPr>
        <w:spacing w:after="0" w:line="306"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16" w:name="page17"/>
    <w:bookmarkEnd w:id="16"/>
    <w:p>
      <w:pPr>
        <w:jc w:val="both"/>
        <w:ind w:left="220" w:firstLine="808"/>
        <w:spacing w:after="0" w:line="252" w:lineRule="auto"/>
        <w:rPr>
          <w:sz w:val="20"/>
          <w:szCs w:val="20"/>
          <w:color w:val="auto"/>
        </w:rPr>
      </w:pPr>
      <w:r>
        <w:rPr>
          <w:rFonts w:ascii="Arial" w:cs="Arial" w:eastAsia="Arial" w:hAnsi="Arial"/>
          <w:sz w:val="13"/>
          <w:szCs w:val="13"/>
          <w:color w:val="auto"/>
        </w:rPr>
        <w:t>“Base Rate” means for any day a fluctuating rate per annum equal to the highest of (a) the rate of interest in effect for such day as publicly announced from time to time by Bank of America as its “prime rate”; (b) the Federal Funds Rate for such day, plus 0.50%; and (c) the LIBOR Rate for a one month interest period as determined on such day, plus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Bank of America’s prime rate, the Federal Funds Rate or the LIBOR Rate, respectively, shall take effect at the opening of business on the day specified in the public announcement of such change.</w:t>
      </w:r>
    </w:p>
    <w:p>
      <w:pPr>
        <w:spacing w:after="0" w:line="99"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“Base Rate Loan” means a Loan that bears interest based on the Base Rate.</w:t>
      </w:r>
    </w:p>
    <w:p>
      <w:pPr>
        <w:spacing w:after="0" w:line="130" w:lineRule="exact"/>
        <w:rPr>
          <w:sz w:val="20"/>
          <w:szCs w:val="20"/>
          <w:color w:val="auto"/>
        </w:rPr>
      </w:pPr>
    </w:p>
    <w:p>
      <w:pPr>
        <w:jc w:val="both"/>
        <w:ind w:left="220" w:firstLine="808"/>
        <w:spacing w:after="0" w:line="258" w:lineRule="auto"/>
        <w:rPr>
          <w:sz w:val="20"/>
          <w:szCs w:val="20"/>
          <w:color w:val="auto"/>
        </w:rPr>
      </w:pPr>
      <w:r>
        <w:rPr>
          <w:rFonts w:ascii="Arial" w:cs="Arial" w:eastAsia="Arial" w:hAnsi="Arial"/>
          <w:sz w:val="13"/>
          <w:szCs w:val="13"/>
          <w:color w:val="auto"/>
        </w:rPr>
        <w:t>“Beneficial Ownership Certification” means a certification regarding beneficial ownership required by the Beneficial Ownership Regulation, which certification shall be substantially similar in form and substance to the form of Certification Regarding Beneficial Owners of Legal Entity Customers published jointly, in May 2018, by the Loan Syndications and Trading Association and Securities Industry and Financial Markets Association.</w:t>
      </w:r>
    </w:p>
    <w:p>
      <w:pPr>
        <w:spacing w:after="0" w:line="94"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“Beneficial Ownership Regulation” means 31 C.F.R. § 1010.230.</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 xml:space="preserve">“Borrower Materials” has the meaning specified in </w:t>
      </w:r>
      <w:r>
        <w:rPr>
          <w:rFonts w:ascii="Arial" w:cs="Arial" w:eastAsia="Arial" w:hAnsi="Arial"/>
          <w:sz w:val="13"/>
          <w:szCs w:val="13"/>
          <w:u w:val="single" w:color="auto"/>
          <w:color w:val="auto"/>
        </w:rPr>
        <w:t>Section 6.02</w:t>
      </w:r>
      <w:r>
        <w:rPr>
          <w:rFonts w:ascii="Arial" w:cs="Arial" w:eastAsia="Arial" w:hAnsi="Arial"/>
          <w:sz w:val="13"/>
          <w:szCs w:val="13"/>
          <w:color w:val="auto"/>
        </w:rPr>
        <w:t>.</w:t>
      </w:r>
    </w:p>
    <w:p>
      <w:pPr>
        <w:spacing w:after="0" w:line="130"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“Borrowers” has the meaning specified in the introductory paragraph hereto.</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“Borrowing” means a Committed Borrowing, a Swing Line Borrowing or the borrowing of the FILO Loan on the Closing Date, as the context may require.</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“Borrowing Base” means, at any time of calculation, an amount equal to:</w:t>
      </w:r>
    </w:p>
    <w:p>
      <w:pPr>
        <w:spacing w:after="0" w:line="148" w:lineRule="exact"/>
        <w:rPr>
          <w:sz w:val="20"/>
          <w:szCs w:val="20"/>
          <w:color w:val="auto"/>
        </w:rPr>
      </w:pPr>
    </w:p>
    <w:p>
      <w:pPr>
        <w:ind w:left="2400" w:hanging="585"/>
        <w:spacing w:after="0"/>
        <w:tabs>
          <w:tab w:leader="none" w:pos="2400" w:val="left"/>
        </w:tabs>
        <w:numPr>
          <w:ilvl w:val="0"/>
          <w:numId w:val="5"/>
        </w:numPr>
        <w:rPr>
          <w:rFonts w:ascii="Arial" w:cs="Arial" w:eastAsia="Arial" w:hAnsi="Arial"/>
          <w:sz w:val="13"/>
          <w:szCs w:val="13"/>
          <w:color w:val="auto"/>
        </w:rPr>
      </w:pPr>
      <w:r>
        <w:rPr>
          <w:rFonts w:ascii="Arial" w:cs="Arial" w:eastAsia="Arial" w:hAnsi="Arial"/>
          <w:sz w:val="13"/>
          <w:szCs w:val="13"/>
          <w:color w:val="auto"/>
        </w:rPr>
        <w:t xml:space="preserve">the face amount of Eligible Credit Card Receivables </w:t>
      </w:r>
      <w:r>
        <w:rPr>
          <w:rFonts w:ascii="Arial" w:cs="Arial" w:eastAsia="Arial" w:hAnsi="Arial"/>
          <w:sz w:val="13"/>
          <w:szCs w:val="13"/>
          <w:i w:val="1"/>
          <w:iCs w:val="1"/>
          <w:color w:val="auto"/>
        </w:rPr>
        <w:t>multiplied by</w:t>
      </w:r>
      <w:r>
        <w:rPr>
          <w:rFonts w:ascii="Arial" w:cs="Arial" w:eastAsia="Arial" w:hAnsi="Arial"/>
          <w:sz w:val="13"/>
          <w:szCs w:val="13"/>
          <w:color w:val="auto"/>
        </w:rPr>
        <w:t xml:space="preserve"> 90%;</w:t>
      </w:r>
    </w:p>
    <w:p>
      <w:pPr>
        <w:spacing w:after="0" w:line="156" w:lineRule="exact"/>
        <w:rPr>
          <w:rFonts w:ascii="Arial" w:cs="Arial" w:eastAsia="Arial" w:hAnsi="Arial"/>
          <w:sz w:val="13"/>
          <w:szCs w:val="13"/>
          <w:color w:val="auto"/>
        </w:rPr>
      </w:pPr>
    </w:p>
    <w:p>
      <w:pPr>
        <w:ind w:left="1820"/>
        <w:spacing w:after="0"/>
        <w:rPr>
          <w:rFonts w:ascii="Arial" w:cs="Arial" w:eastAsia="Arial" w:hAnsi="Arial"/>
          <w:sz w:val="13"/>
          <w:szCs w:val="13"/>
          <w:color w:val="auto"/>
        </w:rPr>
      </w:pPr>
      <w:r>
        <w:rPr>
          <w:rFonts w:ascii="Arial" w:cs="Arial" w:eastAsia="Arial" w:hAnsi="Arial"/>
          <w:sz w:val="13"/>
          <w:szCs w:val="13"/>
          <w:u w:val="single" w:color="auto"/>
          <w:color w:val="auto"/>
        </w:rPr>
        <w:t>plus</w:t>
      </w:r>
    </w:p>
    <w:p>
      <w:pPr>
        <w:spacing w:after="0" w:line="156" w:lineRule="exact"/>
        <w:rPr>
          <w:rFonts w:ascii="Arial" w:cs="Arial" w:eastAsia="Arial" w:hAnsi="Arial"/>
          <w:sz w:val="13"/>
          <w:szCs w:val="13"/>
          <w:color w:val="auto"/>
        </w:rPr>
      </w:pPr>
    </w:p>
    <w:p>
      <w:pPr>
        <w:ind w:left="1060" w:right="80" w:firstLine="755"/>
        <w:spacing w:after="0" w:line="258" w:lineRule="auto"/>
        <w:tabs>
          <w:tab w:leader="none" w:pos="2392" w:val="left"/>
        </w:tabs>
        <w:numPr>
          <w:ilvl w:val="0"/>
          <w:numId w:val="5"/>
        </w:numPr>
        <w:rPr>
          <w:rFonts w:ascii="Arial" w:cs="Arial" w:eastAsia="Arial" w:hAnsi="Arial"/>
          <w:sz w:val="13"/>
          <w:szCs w:val="13"/>
          <w:color w:val="auto"/>
        </w:rPr>
      </w:pPr>
      <w:r>
        <w:rPr>
          <w:rFonts w:ascii="Arial" w:cs="Arial" w:eastAsia="Arial" w:hAnsi="Arial"/>
          <w:sz w:val="13"/>
          <w:szCs w:val="13"/>
          <w:color w:val="auto"/>
        </w:rPr>
        <w:t xml:space="preserve">the product of (i) the Inventory Advance Rate </w:t>
      </w:r>
      <w:r>
        <w:rPr>
          <w:rFonts w:ascii="Arial" w:cs="Arial" w:eastAsia="Arial" w:hAnsi="Arial"/>
          <w:sz w:val="13"/>
          <w:szCs w:val="13"/>
          <w:i w:val="1"/>
          <w:iCs w:val="1"/>
          <w:color w:val="auto"/>
        </w:rPr>
        <w:t>multiplied by</w:t>
      </w:r>
      <w:r>
        <w:rPr>
          <w:rFonts w:ascii="Arial" w:cs="Arial" w:eastAsia="Arial" w:hAnsi="Arial"/>
          <w:sz w:val="13"/>
          <w:szCs w:val="13"/>
          <w:color w:val="auto"/>
        </w:rPr>
        <w:t xml:space="preserve"> (ii) the Appraised Value of Eligible Inventory (other than Eligible In-Transit Inventory or Eligible Letters of Credit) of the Loan Parties, </w:t>
      </w:r>
      <w:r>
        <w:rPr>
          <w:rFonts w:ascii="Arial" w:cs="Arial" w:eastAsia="Arial" w:hAnsi="Arial"/>
          <w:sz w:val="13"/>
          <w:szCs w:val="13"/>
          <w:i w:val="1"/>
          <w:iCs w:val="1"/>
          <w:color w:val="auto"/>
        </w:rPr>
        <w:t>multiplied by</w:t>
      </w:r>
      <w:r>
        <w:rPr>
          <w:rFonts w:ascii="Arial" w:cs="Arial" w:eastAsia="Arial" w:hAnsi="Arial"/>
          <w:sz w:val="13"/>
          <w:szCs w:val="13"/>
          <w:color w:val="auto"/>
        </w:rPr>
        <w:t xml:space="preserve"> (iii) the Cost of Eligible Inventory (other than Eligible In- Transit Inventory or Eligible Letters of Credit) of the Loan Parties, net of Inventory Reserves;</w:t>
      </w:r>
    </w:p>
    <w:p>
      <w:pPr>
        <w:spacing w:after="0" w:line="121" w:lineRule="exact"/>
        <w:rPr>
          <w:sz w:val="20"/>
          <w:szCs w:val="20"/>
          <w:color w:val="auto"/>
        </w:rPr>
      </w:pPr>
    </w:p>
    <w:p>
      <w:pPr>
        <w:ind w:left="1820"/>
        <w:spacing w:after="0"/>
        <w:rPr>
          <w:sz w:val="20"/>
          <w:szCs w:val="20"/>
          <w:color w:val="auto"/>
        </w:rPr>
      </w:pPr>
      <w:r>
        <w:rPr>
          <w:rFonts w:ascii="Arial" w:cs="Arial" w:eastAsia="Arial" w:hAnsi="Arial"/>
          <w:sz w:val="13"/>
          <w:szCs w:val="13"/>
          <w:u w:val="single" w:color="auto"/>
          <w:color w:val="auto"/>
        </w:rPr>
        <w:t>plus</w:t>
      </w:r>
    </w:p>
    <w:p>
      <w:pPr>
        <w:spacing w:after="0" w:line="148" w:lineRule="exact"/>
        <w:rPr>
          <w:sz w:val="20"/>
          <w:szCs w:val="20"/>
          <w:color w:val="auto"/>
        </w:rPr>
      </w:pPr>
    </w:p>
    <w:p>
      <w:pPr>
        <w:ind w:left="1080" w:right="460" w:firstLine="739"/>
        <w:spacing w:after="0" w:line="271" w:lineRule="auto"/>
        <w:tabs>
          <w:tab w:leader="none" w:pos="2406" w:val="left"/>
        </w:tabs>
        <w:numPr>
          <w:ilvl w:val="0"/>
          <w:numId w:val="6"/>
        </w:numPr>
        <w:rPr>
          <w:rFonts w:ascii="Arial" w:cs="Arial" w:eastAsia="Arial" w:hAnsi="Arial"/>
          <w:sz w:val="13"/>
          <w:szCs w:val="13"/>
          <w:color w:val="auto"/>
        </w:rPr>
      </w:pPr>
      <w:r>
        <w:rPr>
          <w:rFonts w:ascii="Arial" w:cs="Arial" w:eastAsia="Arial" w:hAnsi="Arial"/>
          <w:sz w:val="13"/>
          <w:szCs w:val="13"/>
          <w:color w:val="auto"/>
        </w:rPr>
        <w:t xml:space="preserve">the product (without duplication) of (i) the In-Transit Advance Rate </w:t>
      </w:r>
      <w:r>
        <w:rPr>
          <w:rFonts w:ascii="Arial" w:cs="Arial" w:eastAsia="Arial" w:hAnsi="Arial"/>
          <w:sz w:val="13"/>
          <w:szCs w:val="13"/>
          <w:i w:val="1"/>
          <w:iCs w:val="1"/>
          <w:color w:val="auto"/>
        </w:rPr>
        <w:t>multiplied by</w:t>
      </w:r>
      <w:r>
        <w:rPr>
          <w:rFonts w:ascii="Arial" w:cs="Arial" w:eastAsia="Arial" w:hAnsi="Arial"/>
          <w:sz w:val="13"/>
          <w:szCs w:val="13"/>
          <w:color w:val="auto"/>
        </w:rPr>
        <w:t xml:space="preserve"> (ii) the Appraised Value of Eligible In-Transit Inventory of the Loan Parties, </w:t>
      </w:r>
      <w:r>
        <w:rPr>
          <w:rFonts w:ascii="Arial" w:cs="Arial" w:eastAsia="Arial" w:hAnsi="Arial"/>
          <w:sz w:val="13"/>
          <w:szCs w:val="13"/>
          <w:i w:val="1"/>
          <w:iCs w:val="1"/>
          <w:color w:val="auto"/>
        </w:rPr>
        <w:t xml:space="preserve">multiplied by </w:t>
      </w:r>
      <w:r>
        <w:rPr>
          <w:rFonts w:ascii="Arial" w:cs="Arial" w:eastAsia="Arial" w:hAnsi="Arial"/>
          <w:sz w:val="13"/>
          <w:szCs w:val="13"/>
          <w:color w:val="auto"/>
        </w:rPr>
        <w:t>(iii) the Cost of Eligible In-Transit Inventory of the Loan Parties, net of Inventory Reserves;</w:t>
      </w:r>
    </w:p>
    <w:p>
      <w:pPr>
        <w:spacing w:after="0" w:line="113" w:lineRule="exact"/>
        <w:rPr>
          <w:sz w:val="20"/>
          <w:szCs w:val="20"/>
          <w:color w:val="auto"/>
        </w:rPr>
      </w:pPr>
    </w:p>
    <w:p>
      <w:pPr>
        <w:ind w:left="1820"/>
        <w:spacing w:after="0"/>
        <w:rPr>
          <w:sz w:val="20"/>
          <w:szCs w:val="20"/>
          <w:color w:val="auto"/>
        </w:rPr>
      </w:pPr>
      <w:r>
        <w:rPr>
          <w:rFonts w:ascii="Arial" w:cs="Arial" w:eastAsia="Arial" w:hAnsi="Arial"/>
          <w:sz w:val="13"/>
          <w:szCs w:val="13"/>
          <w:u w:val="single" w:color="auto"/>
          <w:color w:val="auto"/>
        </w:rPr>
        <w:t>plus</w:t>
      </w:r>
    </w:p>
    <w:p>
      <w:pPr>
        <w:spacing w:after="0" w:line="148" w:lineRule="exact"/>
        <w:rPr>
          <w:sz w:val="20"/>
          <w:szCs w:val="20"/>
          <w:color w:val="auto"/>
        </w:rPr>
      </w:pPr>
    </w:p>
    <w:p>
      <w:pPr>
        <w:ind w:left="1060" w:right="460" w:firstLine="755"/>
        <w:spacing w:after="0" w:line="271" w:lineRule="auto"/>
        <w:tabs>
          <w:tab w:leader="none" w:pos="2392" w:val="left"/>
        </w:tabs>
        <w:numPr>
          <w:ilvl w:val="0"/>
          <w:numId w:val="7"/>
        </w:numPr>
        <w:rPr>
          <w:rFonts w:ascii="Arial" w:cs="Arial" w:eastAsia="Arial" w:hAnsi="Arial"/>
          <w:sz w:val="13"/>
          <w:szCs w:val="13"/>
          <w:color w:val="auto"/>
        </w:rPr>
      </w:pPr>
      <w:r>
        <w:rPr>
          <w:rFonts w:ascii="Arial" w:cs="Arial" w:eastAsia="Arial" w:hAnsi="Arial"/>
          <w:sz w:val="13"/>
          <w:szCs w:val="13"/>
          <w:color w:val="auto"/>
        </w:rPr>
        <w:t xml:space="preserve">the product (without duplication) of (i) the Letter of Credit Inventory Advance Rate </w:t>
      </w:r>
      <w:r>
        <w:rPr>
          <w:rFonts w:ascii="Arial" w:cs="Arial" w:eastAsia="Arial" w:hAnsi="Arial"/>
          <w:sz w:val="13"/>
          <w:szCs w:val="13"/>
          <w:i w:val="1"/>
          <w:iCs w:val="1"/>
          <w:color w:val="auto"/>
        </w:rPr>
        <w:t>multiplied by</w:t>
      </w:r>
      <w:r>
        <w:rPr>
          <w:rFonts w:ascii="Arial" w:cs="Arial" w:eastAsia="Arial" w:hAnsi="Arial"/>
          <w:sz w:val="13"/>
          <w:szCs w:val="13"/>
          <w:color w:val="auto"/>
        </w:rPr>
        <w:t xml:space="preserve"> (ii) the Appraised Value of the Inventory of the Loan Parties supported by the Eligible Letters of Credit, </w:t>
      </w:r>
      <w:r>
        <w:rPr>
          <w:rFonts w:ascii="Arial" w:cs="Arial" w:eastAsia="Arial" w:hAnsi="Arial"/>
          <w:sz w:val="13"/>
          <w:szCs w:val="13"/>
          <w:i w:val="1"/>
          <w:iCs w:val="1"/>
          <w:color w:val="auto"/>
        </w:rPr>
        <w:t>multiplied by</w:t>
      </w:r>
      <w:r>
        <w:rPr>
          <w:rFonts w:ascii="Arial" w:cs="Arial" w:eastAsia="Arial" w:hAnsi="Arial"/>
          <w:sz w:val="13"/>
          <w:szCs w:val="13"/>
          <w:color w:val="auto"/>
        </w:rPr>
        <w:t xml:space="preserve"> (iii) the Cost of such Inventory when completed, net of Inventory Reserves;</w:t>
      </w:r>
    </w:p>
    <w:p>
      <w:pPr>
        <w:spacing w:after="0" w:line="260"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17" w:name="page18"/>
    <w:bookmarkEnd w:id="17"/>
    <w:p>
      <w:pPr>
        <w:ind w:left="1820"/>
        <w:spacing w:after="0"/>
        <w:rPr>
          <w:sz w:val="20"/>
          <w:szCs w:val="20"/>
          <w:color w:val="auto"/>
        </w:rPr>
      </w:pPr>
      <w:r>
        <w:rPr>
          <w:rFonts w:ascii="Arial" w:cs="Arial" w:eastAsia="Arial" w:hAnsi="Arial"/>
          <w:sz w:val="13"/>
          <w:szCs w:val="13"/>
          <w:u w:val="single" w:color="auto"/>
          <w:color w:val="auto"/>
        </w:rPr>
        <w:t>minus</w:t>
      </w:r>
    </w:p>
    <w:p>
      <w:pPr>
        <w:spacing w:after="0" w:line="149" w:lineRule="exact"/>
        <w:rPr>
          <w:sz w:val="20"/>
          <w:szCs w:val="20"/>
          <w:color w:val="auto"/>
        </w:rPr>
      </w:pPr>
    </w:p>
    <w:p>
      <w:pPr>
        <w:ind w:left="2400" w:hanging="585"/>
        <w:spacing w:after="0"/>
        <w:tabs>
          <w:tab w:leader="none" w:pos="240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FILO Push Down Reserve;</w:t>
      </w:r>
    </w:p>
    <w:p>
      <w:pPr>
        <w:spacing w:after="0" w:line="147" w:lineRule="exact"/>
        <w:rPr>
          <w:rFonts w:ascii="Arial" w:cs="Arial" w:eastAsia="Arial" w:hAnsi="Arial"/>
          <w:sz w:val="13"/>
          <w:szCs w:val="13"/>
          <w:color w:val="auto"/>
        </w:rPr>
      </w:pPr>
    </w:p>
    <w:p>
      <w:pPr>
        <w:ind w:left="1820"/>
        <w:spacing w:after="0"/>
        <w:rPr>
          <w:rFonts w:ascii="Arial" w:cs="Arial" w:eastAsia="Arial" w:hAnsi="Arial"/>
          <w:sz w:val="13"/>
          <w:szCs w:val="13"/>
          <w:color w:val="auto"/>
        </w:rPr>
      </w:pPr>
      <w:r>
        <w:rPr>
          <w:rFonts w:ascii="Arial" w:cs="Arial" w:eastAsia="Arial" w:hAnsi="Arial"/>
          <w:sz w:val="13"/>
          <w:szCs w:val="13"/>
          <w:u w:val="single" w:color="auto"/>
          <w:color w:val="auto"/>
        </w:rPr>
        <w:t>minus</w:t>
      </w:r>
    </w:p>
    <w:p>
      <w:pPr>
        <w:spacing w:after="0" w:line="147" w:lineRule="exact"/>
        <w:rPr>
          <w:rFonts w:ascii="Arial" w:cs="Arial" w:eastAsia="Arial" w:hAnsi="Arial"/>
          <w:sz w:val="13"/>
          <w:szCs w:val="13"/>
          <w:color w:val="auto"/>
        </w:rPr>
      </w:pPr>
    </w:p>
    <w:p>
      <w:pPr>
        <w:ind w:left="2380" w:hanging="565"/>
        <w:spacing w:after="0"/>
        <w:tabs>
          <w:tab w:leader="none" w:pos="238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then amount of all Availability Reserves.</w:t>
      </w:r>
    </w:p>
    <w:p>
      <w:pPr>
        <w:spacing w:after="0" w:line="121" w:lineRule="exact"/>
        <w:rPr>
          <w:sz w:val="20"/>
          <w:szCs w:val="20"/>
          <w:color w:val="auto"/>
        </w:rPr>
      </w:pPr>
    </w:p>
    <w:p>
      <w:pPr>
        <w:jc w:val="both"/>
        <w:ind w:left="220" w:firstLine="808"/>
        <w:spacing w:after="0" w:line="258" w:lineRule="auto"/>
        <w:rPr>
          <w:sz w:val="20"/>
          <w:szCs w:val="20"/>
          <w:color w:val="auto"/>
        </w:rPr>
      </w:pPr>
      <w:r>
        <w:rPr>
          <w:rFonts w:ascii="Arial" w:cs="Arial" w:eastAsia="Arial" w:hAnsi="Arial"/>
          <w:sz w:val="13"/>
          <w:szCs w:val="13"/>
          <w:color w:val="auto"/>
        </w:rPr>
        <w:t>“Borrowing Base Certificate” means a certificate substantially in the form of Exhibit F hereto (with such changes therein as may be required by the Agent to reflect the components of and reserves against the Borrowing Base and the FILO Borrowing Base as provided for hereunder from time to time), executed and certified as accurate and complete by a Responsible Officer of the Lead Borrower which shall include appropriate exhibits, schedules, supporting documentation and additional reports as reasonably requested by the Agent.</w:t>
      </w:r>
    </w:p>
    <w:p>
      <w:pPr>
        <w:spacing w:after="0" w:line="103" w:lineRule="exact"/>
        <w:rPr>
          <w:sz w:val="20"/>
          <w:szCs w:val="20"/>
          <w:color w:val="auto"/>
        </w:rPr>
      </w:pPr>
    </w:p>
    <w:p>
      <w:pPr>
        <w:jc w:val="both"/>
        <w:ind w:left="220" w:firstLine="808"/>
        <w:spacing w:after="0" w:line="314" w:lineRule="auto"/>
        <w:rPr>
          <w:sz w:val="20"/>
          <w:szCs w:val="20"/>
          <w:color w:val="auto"/>
        </w:rPr>
      </w:pPr>
      <w:r>
        <w:rPr>
          <w:rFonts w:ascii="Arial" w:cs="Arial" w:eastAsia="Arial" w:hAnsi="Arial"/>
          <w:sz w:val="12"/>
          <w:szCs w:val="12"/>
          <w:color w:val="auto"/>
        </w:rPr>
        <w:t>“Business Day” means any day other than a Saturday, Sunday or other day on which commercial banks are authorized to close under the Laws of, or are in fact closed in, the state where the Agent’s Office is located and, if such day relates to any LIBOR Rate Loan, means any such day on which dealings in Dollar deposits are conducted by and between banks in the London interbank market.</w:t>
      </w:r>
    </w:p>
    <w:p>
      <w:pPr>
        <w:spacing w:after="0" w:line="62" w:lineRule="exact"/>
        <w:rPr>
          <w:sz w:val="20"/>
          <w:szCs w:val="20"/>
          <w:color w:val="auto"/>
        </w:rPr>
      </w:pPr>
    </w:p>
    <w:p>
      <w:pPr>
        <w:jc w:val="both"/>
        <w:ind w:left="220" w:firstLine="808"/>
        <w:spacing w:after="0" w:line="254" w:lineRule="auto"/>
        <w:rPr>
          <w:sz w:val="20"/>
          <w:szCs w:val="20"/>
          <w:color w:val="auto"/>
        </w:rPr>
      </w:pPr>
      <w:r>
        <w:rPr>
          <w:rFonts w:ascii="Arial" w:cs="Arial" w:eastAsia="Arial" w:hAnsi="Arial"/>
          <w:sz w:val="13"/>
          <w:szCs w:val="13"/>
          <w:color w:val="auto"/>
        </w:rPr>
        <w:t>“Capital Expenditures” means, with respect to any Person for any period, (a) all expenditures made (whether made in the form of cash or other property) or costs incurred for the acquisition or improvement of fixed or capital assets of such Person (excluding normal replacements and maintenance which are properly charged to current operations), in each case that are (or should be) set forth as capital expenditures in a Consolidated statement of cash flows of such Person for such period, in each case prepared in accordance with GAAP, and (b) Capital Lease Obligations incurred by a Person during such period.</w:t>
      </w:r>
    </w:p>
    <w:p>
      <w:pPr>
        <w:spacing w:after="0" w:line="97" w:lineRule="exact"/>
        <w:rPr>
          <w:sz w:val="20"/>
          <w:szCs w:val="20"/>
          <w:color w:val="auto"/>
        </w:rPr>
      </w:pPr>
    </w:p>
    <w:p>
      <w:pPr>
        <w:jc w:val="both"/>
        <w:ind w:left="220" w:firstLine="808"/>
        <w:spacing w:after="0" w:line="258" w:lineRule="auto"/>
        <w:rPr>
          <w:sz w:val="20"/>
          <w:szCs w:val="20"/>
          <w:color w:val="auto"/>
        </w:rPr>
      </w:pPr>
      <w:r>
        <w:rPr>
          <w:rFonts w:ascii="Arial" w:cs="Arial" w:eastAsia="Arial" w:hAnsi="Arial"/>
          <w:sz w:val="13"/>
          <w:szCs w:val="13"/>
          <w:color w:val="auto"/>
        </w:rPr>
        <w:t>“Capital Lease Obligations” means, with respect to any Person for any period, the obligations of such Person to pay rent or other amounts under any lease of (or other arrangement conveying the right to use) real or personal property, or a combination thereof, which obligations are required to be classified and accounted for as liabilities on a balance sheet of such Person under GAAP and the amount of which obligations shall be the capitalized amount thereof determined in accordance with GAAP.</w:t>
      </w:r>
    </w:p>
    <w:p>
      <w:pPr>
        <w:spacing w:after="0" w:line="103"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 xml:space="preserve">“Cash Collateral Account” means a non-interest bearing account established by one or more of the Loan Parties with Bank of America, and in the name of, the Agent (or as the Agent shall otherwise direct) and under the sole and exclusive dominion and control of the Agent, in which deposits are required to be made in accordance with </w:t>
      </w:r>
      <w:r>
        <w:rPr>
          <w:rFonts w:ascii="Arial" w:cs="Arial" w:eastAsia="Arial" w:hAnsi="Arial"/>
          <w:sz w:val="13"/>
          <w:szCs w:val="13"/>
          <w:u w:val="single" w:color="auto"/>
          <w:color w:val="auto"/>
        </w:rPr>
        <w:t>Section 2.03(g)</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8.02(c)</w:t>
      </w:r>
      <w:r>
        <w:rPr>
          <w:rFonts w:ascii="Arial" w:cs="Arial" w:eastAsia="Arial" w:hAnsi="Arial"/>
          <w:sz w:val="13"/>
          <w:szCs w:val="13"/>
          <w:color w:val="auto"/>
        </w:rPr>
        <w:t>.</w:t>
      </w:r>
    </w:p>
    <w:p>
      <w:pPr>
        <w:spacing w:after="0" w:line="86" w:lineRule="exact"/>
        <w:rPr>
          <w:sz w:val="20"/>
          <w:szCs w:val="20"/>
          <w:color w:val="auto"/>
        </w:rPr>
      </w:pPr>
    </w:p>
    <w:p>
      <w:pPr>
        <w:jc w:val="both"/>
        <w:ind w:left="220" w:firstLine="808"/>
        <w:spacing w:after="0" w:line="254" w:lineRule="auto"/>
        <w:rPr>
          <w:sz w:val="20"/>
          <w:szCs w:val="20"/>
          <w:color w:val="auto"/>
        </w:rPr>
      </w:pPr>
      <w:r>
        <w:rPr>
          <w:rFonts w:ascii="Arial" w:cs="Arial" w:eastAsia="Arial" w:hAnsi="Arial"/>
          <w:sz w:val="13"/>
          <w:szCs w:val="13"/>
          <w:color w:val="auto"/>
        </w:rPr>
        <w:t>“Cash Collateralize” means to deposit in the Cash Collateral Account or to pledge and deposit with or deliver to the Agent, for the benefit of one or more of the Agent, the L/C Issuer or the Revolving Lenders, as collateral for L/C Obligations or obligations of the Revolving Lenders to fund participations in respect thereof (as the context may require), L/C Obligations, cash or deposit account balances or, if the Agent and the L/C Issuer shall agree in their sole discretion, other credit support, in each case pursuant to documentation in form and substance satisfactory to the Agent and the L/C Issuer. “Cash Collateral” shall have a meaning correlative to the foregoing and shall include the proceeds of such cash collateral and other credit support.</w:t>
      </w:r>
    </w:p>
    <w:p>
      <w:pPr>
        <w:spacing w:after="0" w:line="97"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“Cash Dominion Event” means either (i) the occurrence and continuance of any Event of Default, or (ii) the failure of the Borrowers to maintain Availability at all times equal to or greater than twelve and one-half percent (12.5%) of the Revolving Loan Cap (calculated without giving effect to the FILO Push</w:t>
      </w:r>
    </w:p>
    <w:p>
      <w:pPr>
        <w:spacing w:after="0" w:line="260"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18" w:name="page19"/>
    <w:bookmarkEnd w:id="18"/>
    <w:p>
      <w:pPr>
        <w:jc w:val="both"/>
        <w:ind w:left="220"/>
        <w:spacing w:after="0" w:line="250" w:lineRule="auto"/>
        <w:rPr>
          <w:sz w:val="20"/>
          <w:szCs w:val="20"/>
          <w:color w:val="auto"/>
        </w:rPr>
      </w:pPr>
      <w:r>
        <w:rPr>
          <w:rFonts w:ascii="Arial" w:cs="Arial" w:eastAsia="Arial" w:hAnsi="Arial"/>
          <w:sz w:val="13"/>
          <w:szCs w:val="13"/>
          <w:color w:val="auto"/>
        </w:rPr>
        <w:t xml:space="preserve">Down Reserve). For purposes of this Agreement, the occurrence of a Cash Dominion Event shall be deemed continuing at the Agent’s option (i) so long as such Event of Default has not been waived or is no longer continuing, and/or (ii) if the Cash Dominion Event arises as a result of the Borrowers’ failure to achieve Availability as required hereunder, until Availability has equaled or exceeded twelve and one-half percent (12.5%) of the Revolving Loan Cap (calculated without giving effect to the FILO Push Down Reserve) for sixty (60) consecutive calendar days, in which case a Cash Dominion Event shall no longer be deemed to be continuing for purposes of this Agreement; </w:t>
      </w:r>
      <w:r>
        <w:rPr>
          <w:rFonts w:ascii="Arial" w:cs="Arial" w:eastAsia="Arial" w:hAnsi="Arial"/>
          <w:sz w:val="13"/>
          <w:szCs w:val="13"/>
          <w:i w:val="1"/>
          <w:iCs w:val="1"/>
          <w:color w:val="auto"/>
        </w:rPr>
        <w:t>provided that</w:t>
      </w:r>
      <w:r>
        <w:rPr>
          <w:rFonts w:ascii="Arial" w:cs="Arial" w:eastAsia="Arial" w:hAnsi="Arial"/>
          <w:sz w:val="13"/>
          <w:szCs w:val="13"/>
          <w:color w:val="auto"/>
        </w:rPr>
        <w:t xml:space="preserve"> a Cash Dominion Event shall be deemed continuing (even if an Event of Default is no longer continuing and/or Availability exceeds the required amount for sixty (60) consecutive calendar days) at all times after a Cash Dominion Event has occurred and been discontinued on two (2) occasions after the Closing Date. The termination of a Cash Dominion Event as provided herein shall in no way limit, waive or delay the occurrence of a subsequent Cash Dominion Event in the event that the conditions set forth in this definition again arise.</w:t>
      </w:r>
    </w:p>
    <w:p>
      <w:pPr>
        <w:spacing w:after="0" w:line="100"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“Cash Management Reserves” means such reserves as the Agent, from time to time, determines in its reasonable discretion as being appropriate to reflect the reasonably anticipated liabilities and obligations of the Loan Parties with respect to Cash Management Services then provided or outstanding.</w:t>
      </w:r>
    </w:p>
    <w:p>
      <w:pPr>
        <w:spacing w:after="0" w:line="95" w:lineRule="exact"/>
        <w:rPr>
          <w:sz w:val="20"/>
          <w:szCs w:val="20"/>
          <w:color w:val="auto"/>
        </w:rPr>
      </w:pPr>
    </w:p>
    <w:p>
      <w:pPr>
        <w:jc w:val="both"/>
        <w:ind w:left="220" w:firstLine="808"/>
        <w:spacing w:after="0" w:line="258" w:lineRule="auto"/>
        <w:rPr>
          <w:sz w:val="20"/>
          <w:szCs w:val="20"/>
          <w:color w:val="auto"/>
        </w:rPr>
      </w:pPr>
      <w:r>
        <w:rPr>
          <w:rFonts w:ascii="Arial" w:cs="Arial" w:eastAsia="Arial" w:hAnsi="Arial"/>
          <w:sz w:val="13"/>
          <w:szCs w:val="13"/>
          <w:color w:val="auto"/>
        </w:rPr>
        <w:t>“Cash Management Services” means any cash management services provided to any Loan Party by the Agent or any Lender or any of their respective Affiliates (or by a Person that, at the time it entered into an agreement to provide such cash management services, was the Agent, a Lender or an Affiliate thereof), including, without limitation, (a) ACH transactions, (b) controlled disbursement services, treasury, depository, overdraft, and electronic funds transfer services, (c) credit card processing services, (d) purchase cards and (e) credit or debit cards.</w:t>
      </w:r>
    </w:p>
    <w:p>
      <w:pPr>
        <w:spacing w:after="0" w:line="94"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“CERCLA” means the Comprehensive Environmental Response, Compensation, and Liability Act, 42 U.S.C. § 9601 et seq.</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2"/>
          <w:szCs w:val="12"/>
          <w:color w:val="auto"/>
        </w:rPr>
        <w:t>“CERCLIS” means the Comprehensive Environmental Response, Compensation, and Liability Information System maintained by the United States Environmental Protection Agency.</w:t>
      </w:r>
    </w:p>
    <w:p>
      <w:pPr>
        <w:spacing w:after="0" w:line="141"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“CFC” means a Person that is a controlled foreign corporation under Section 957 of the Code.</w:t>
      </w:r>
    </w:p>
    <w:p>
      <w:pPr>
        <w:spacing w:after="0" w:line="121" w:lineRule="exact"/>
        <w:rPr>
          <w:sz w:val="20"/>
          <w:szCs w:val="20"/>
          <w:color w:val="auto"/>
        </w:rPr>
      </w:pPr>
    </w:p>
    <w:p>
      <w:pPr>
        <w:jc w:val="both"/>
        <w:ind w:left="220" w:firstLine="808"/>
        <w:spacing w:after="0" w:line="251" w:lineRule="auto"/>
        <w:rPr>
          <w:sz w:val="20"/>
          <w:szCs w:val="20"/>
          <w:color w:val="auto"/>
        </w:rPr>
      </w:pPr>
      <w:r>
        <w:rPr>
          <w:rFonts w:ascii="Arial" w:cs="Arial" w:eastAsia="Arial" w:hAnsi="Arial"/>
          <w:sz w:val="13"/>
          <w:szCs w:val="13"/>
          <w:color w:val="auto"/>
        </w:rPr>
        <w:t xml:space="preserve">“Change in Law” means the occurrence, after the date of this Agreement, of any of the following: (a) the adoption or taking effect of any law, rule, regulation or treaty, (b) any change in any law, rule,regulation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3"/>
          <w:szCs w:val="13"/>
          <w:u w:val="single" w:color="auto"/>
          <w:color w:val="auto"/>
        </w:rPr>
        <w:t>provided that</w:t>
      </w:r>
      <w:r>
        <w:rPr>
          <w:rFonts w:ascii="Arial" w:cs="Arial" w:eastAsia="Arial" w:hAnsi="Arial"/>
          <w:sz w:val="13"/>
          <w:szCs w:val="13"/>
          <w:color w:val="auto"/>
        </w:rPr>
        <w:t xml:space="preserve">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“Change of Control” means an event or series of events by which:</w:t>
      </w:r>
    </w:p>
    <w:p>
      <w:pPr>
        <w:spacing w:after="0" w:line="148" w:lineRule="exact"/>
        <w:rPr>
          <w:sz w:val="20"/>
          <w:szCs w:val="20"/>
          <w:color w:val="auto"/>
        </w:rPr>
      </w:pPr>
    </w:p>
    <w:p>
      <w:pPr>
        <w:jc w:val="both"/>
        <w:ind w:left="1060" w:firstLine="755"/>
        <w:spacing w:after="0" w:line="254" w:lineRule="auto"/>
        <w:tabs>
          <w:tab w:leader="none" w:pos="2385" w:val="left"/>
        </w:tabs>
        <w:numPr>
          <w:ilvl w:val="0"/>
          <w:numId w:val="9"/>
        </w:numPr>
        <w:rPr>
          <w:rFonts w:ascii="Arial" w:cs="Arial" w:eastAsia="Arial" w:hAnsi="Arial"/>
          <w:sz w:val="13"/>
          <w:szCs w:val="13"/>
          <w:color w:val="auto"/>
        </w:rPr>
      </w:pPr>
      <w:r>
        <w:rPr>
          <w:rFonts w:ascii="Arial" w:cs="Arial" w:eastAsia="Arial" w:hAnsi="Arial"/>
          <w:sz w:val="13"/>
          <w:szCs w:val="13"/>
          <w:color w:val="auto"/>
        </w:rPr>
        <w:t>“person” or “group” (as such terms are used in Sections 13(d) and 14(d) of the Securities Exchange Act of 1934, as amended,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as amended, except that a person or group shall be deemed to have “beneficial ownership” of all securities that such person or group</w:t>
      </w:r>
    </w:p>
    <w:p>
      <w:pPr>
        <w:spacing w:after="0" w:line="118"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19" w:name="page20"/>
    <w:bookmarkEnd w:id="19"/>
    <w:p>
      <w:pPr>
        <w:jc w:val="both"/>
        <w:ind w:left="1060"/>
        <w:spacing w:after="0" w:line="259" w:lineRule="auto"/>
        <w:rPr>
          <w:sz w:val="20"/>
          <w:szCs w:val="20"/>
          <w:color w:val="auto"/>
        </w:rPr>
      </w:pPr>
      <w:r>
        <w:rPr>
          <w:rFonts w:ascii="Arial" w:cs="Arial" w:eastAsia="Arial" w:hAnsi="Arial"/>
          <w:sz w:val="13"/>
          <w:szCs w:val="13"/>
          <w:color w:val="auto"/>
        </w:rPr>
        <w:t>has the right to acquire, whether such right is exercisable immediately or only after the passage of time (such right, an “</w:t>
      </w:r>
      <w:r>
        <w:rPr>
          <w:rFonts w:ascii="Arial" w:cs="Arial" w:eastAsia="Arial" w:hAnsi="Arial"/>
          <w:sz w:val="13"/>
          <w:szCs w:val="13"/>
          <w:u w:val="single" w:color="auto"/>
          <w:color w:val="auto"/>
        </w:rPr>
        <w:t>option right</w:t>
      </w:r>
      <w:r>
        <w:rPr>
          <w:rFonts w:ascii="Arial" w:cs="Arial" w:eastAsia="Arial" w:hAnsi="Arial"/>
          <w:sz w:val="13"/>
          <w:szCs w:val="13"/>
          <w:color w:val="auto"/>
        </w:rPr>
        <w:t>”)), directly or indirectly, of 35% or more of the Equity Interests of the Lead Borrower entitled to vote for members of the board of directors or equivalent governing body of the Lead Borrower on a fully-diluted basis (and taking into account all such Equity Interests that such “person” or “group” has the right to acquire pursuant to any option right); or</w:t>
      </w:r>
    </w:p>
    <w:p>
      <w:pPr>
        <w:spacing w:after="0" w:line="121" w:lineRule="exact"/>
        <w:rPr>
          <w:sz w:val="20"/>
          <w:szCs w:val="20"/>
          <w:color w:val="auto"/>
        </w:rPr>
      </w:pPr>
    </w:p>
    <w:p>
      <w:pPr>
        <w:ind w:left="1060" w:firstLine="755"/>
        <w:spacing w:after="0" w:line="271" w:lineRule="auto"/>
        <w:tabs>
          <w:tab w:leader="none" w:pos="2392" w:val="left"/>
        </w:tabs>
        <w:numPr>
          <w:ilvl w:val="0"/>
          <w:numId w:val="10"/>
        </w:numPr>
        <w:rPr>
          <w:rFonts w:ascii="Arial" w:cs="Arial" w:eastAsia="Arial" w:hAnsi="Arial"/>
          <w:sz w:val="13"/>
          <w:szCs w:val="13"/>
          <w:color w:val="auto"/>
        </w:rPr>
      </w:pPr>
      <w:r>
        <w:rPr>
          <w:rFonts w:ascii="Arial" w:cs="Arial" w:eastAsia="Arial" w:hAnsi="Arial"/>
          <w:sz w:val="13"/>
          <w:szCs w:val="13"/>
          <w:color w:val="auto"/>
        </w:rPr>
        <w:t>any “change in control” or “sale” or “disposition” or similar event as defined in any Organizational Document of any Loan Party or in any Material Contract, or any document governing Material Indebtedness of any Loan Party;</w:t>
      </w:r>
    </w:p>
    <w:p>
      <w:pPr>
        <w:spacing w:after="0" w:line="112" w:lineRule="exact"/>
        <w:rPr>
          <w:rFonts w:ascii="Arial" w:cs="Arial" w:eastAsia="Arial" w:hAnsi="Arial"/>
          <w:sz w:val="13"/>
          <w:szCs w:val="13"/>
          <w:color w:val="auto"/>
        </w:rPr>
      </w:pPr>
    </w:p>
    <w:p>
      <w:pPr>
        <w:ind w:left="1060" w:firstLine="755"/>
        <w:spacing w:after="0" w:line="271" w:lineRule="auto"/>
        <w:tabs>
          <w:tab w:leader="none" w:pos="2385" w:val="left"/>
        </w:tabs>
        <w:numPr>
          <w:ilvl w:val="0"/>
          <w:numId w:val="10"/>
        </w:numPr>
        <w:rPr>
          <w:rFonts w:ascii="Arial" w:cs="Arial" w:eastAsia="Arial" w:hAnsi="Arial"/>
          <w:sz w:val="13"/>
          <w:szCs w:val="13"/>
          <w:color w:val="auto"/>
        </w:rPr>
      </w:pPr>
      <w:r>
        <w:rPr>
          <w:rFonts w:ascii="Arial" w:cs="Arial" w:eastAsia="Arial" w:hAnsi="Arial"/>
          <w:sz w:val="13"/>
          <w:szCs w:val="13"/>
          <w:color w:val="auto"/>
        </w:rPr>
        <w:t>at any time, occupation of a majority of the seats (other than vacant seats) on the board of directors of the Lead Borrower by Persons who were neither (i) nominated by the board of directors of the Lead Borrower nor (ii) appointed by directors so nominated; or</w:t>
      </w:r>
    </w:p>
    <w:p>
      <w:pPr>
        <w:spacing w:after="0" w:line="112" w:lineRule="exact"/>
        <w:rPr>
          <w:rFonts w:ascii="Arial" w:cs="Arial" w:eastAsia="Arial" w:hAnsi="Arial"/>
          <w:sz w:val="13"/>
          <w:szCs w:val="13"/>
          <w:color w:val="auto"/>
        </w:rPr>
      </w:pPr>
    </w:p>
    <w:p>
      <w:pPr>
        <w:ind w:left="1060" w:firstLine="755"/>
        <w:spacing w:after="0" w:line="271" w:lineRule="auto"/>
        <w:tabs>
          <w:tab w:leader="none" w:pos="2392"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Lead Borrower fails at any time to own, directly or indirectly, 100% of the Equity Interests of each other Loan Party free and clear of all Liens (other than the Liens in favor of the Agent), except where such failure is as a result of a transaction permitted by the Loan Documents.</w:t>
      </w:r>
    </w:p>
    <w:p>
      <w:pPr>
        <w:spacing w:after="0" w:line="86"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 xml:space="preserve">“Closing Date” means the first date all the conditions precedent in </w:t>
      </w:r>
      <w:r>
        <w:rPr>
          <w:rFonts w:ascii="Arial" w:cs="Arial" w:eastAsia="Arial" w:hAnsi="Arial"/>
          <w:sz w:val="13"/>
          <w:szCs w:val="13"/>
          <w:u w:val="single" w:color="auto"/>
          <w:color w:val="auto"/>
        </w:rPr>
        <w:t>Section 4.01</w:t>
      </w:r>
      <w:r>
        <w:rPr>
          <w:rFonts w:ascii="Arial" w:cs="Arial" w:eastAsia="Arial" w:hAnsi="Arial"/>
          <w:sz w:val="13"/>
          <w:szCs w:val="13"/>
          <w:color w:val="auto"/>
        </w:rPr>
        <w:t xml:space="preserve"> are satisfied or waived in accordance with </w:t>
      </w:r>
      <w:r>
        <w:rPr>
          <w:rFonts w:ascii="Arial" w:cs="Arial" w:eastAsia="Arial" w:hAnsi="Arial"/>
          <w:sz w:val="13"/>
          <w:szCs w:val="13"/>
          <w:u w:val="single" w:color="auto"/>
          <w:color w:val="auto"/>
        </w:rPr>
        <w:t>Section 10.01</w:t>
      </w:r>
      <w:r>
        <w:rPr>
          <w:rFonts w:ascii="Arial" w:cs="Arial" w:eastAsia="Arial" w:hAnsi="Arial"/>
          <w:sz w:val="13"/>
          <w:szCs w:val="13"/>
          <w:color w:val="auto"/>
        </w:rPr>
        <w:t>.</w:t>
      </w:r>
    </w:p>
    <w:p>
      <w:pPr>
        <w:spacing w:after="0" w:line="130"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“Code” means the Internal Revenue Code of 1986, as amended, and the regulations promulgated thereunder, as amended and in effect.</w:t>
      </w:r>
    </w:p>
    <w:p>
      <w:pPr>
        <w:spacing w:after="0" w:line="121"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“Collateral” means any and all “Collateral” as defined in any applicable Security Document and all other property that is or is intended under the terms of the Security Documents to be subject to Liens in favor of the Agent.</w:t>
      </w:r>
    </w:p>
    <w:p>
      <w:pPr>
        <w:spacing w:after="0" w:line="86" w:lineRule="exact"/>
        <w:rPr>
          <w:sz w:val="20"/>
          <w:szCs w:val="20"/>
          <w:color w:val="auto"/>
        </w:rPr>
      </w:pPr>
    </w:p>
    <w:p>
      <w:pPr>
        <w:jc w:val="both"/>
        <w:ind w:left="220" w:firstLine="808"/>
        <w:spacing w:after="0" w:line="282" w:lineRule="auto"/>
        <w:rPr>
          <w:sz w:val="20"/>
          <w:szCs w:val="20"/>
          <w:color w:val="auto"/>
        </w:rPr>
      </w:pPr>
      <w:r>
        <w:rPr>
          <w:rFonts w:ascii="Arial" w:cs="Arial" w:eastAsia="Arial" w:hAnsi="Arial"/>
          <w:sz w:val="12"/>
          <w:szCs w:val="12"/>
          <w:color w:val="auto"/>
        </w:rPr>
        <w:t>“Collateral Access Agreement” means an agreement reasonably satisfactory in form and substance to the Agent executed by (a) a bailee or other Person in possession of Collateral, and/or (b) any landlord of Real Estate leased by any Loan Party, pursuant to which such Person (i) acknowledges the Agent’s Lien on the Collateral, (ii) releases or subordinates such Person’s Liens in the Collateral held by such Person or located on such Real Estate, (iii) provides the Agent with access to the Collateral held by such bailee or other Person or located in or on such Real Estate, (iv) as to any landlord, provides the Agent with a reasonable time to sell and dispose of the Collateral from such Real Estate, and (v) makes such other agreements with the Agent as the Agent may reasonably require.</w:t>
      </w:r>
    </w:p>
    <w:p>
      <w:pPr>
        <w:spacing w:after="0" w:line="90"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 xml:space="preserve">“Collection Account” has the meaning provided in </w:t>
      </w:r>
      <w:r>
        <w:rPr>
          <w:rFonts w:ascii="Arial" w:cs="Arial" w:eastAsia="Arial" w:hAnsi="Arial"/>
          <w:sz w:val="13"/>
          <w:szCs w:val="13"/>
          <w:u w:val="single" w:color="auto"/>
          <w:color w:val="auto"/>
        </w:rPr>
        <w:t>Section 6.12(c)</w:t>
      </w:r>
      <w:r>
        <w:rPr>
          <w:rFonts w:ascii="Arial" w:cs="Arial" w:eastAsia="Arial" w:hAnsi="Arial"/>
          <w:sz w:val="13"/>
          <w:szCs w:val="13"/>
          <w:color w:val="auto"/>
        </w:rPr>
        <w:t>.</w:t>
      </w:r>
    </w:p>
    <w:p>
      <w:pPr>
        <w:spacing w:after="0" w:line="121"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“Commercial Letter of Credit” means any letter of credit or similar instrument (including, without limitation, Bankers’ Acceptances) issued for the purpose of providing the primary payment mechanism in connection with the purchase of any materials, goods or services by a Loan Party in the ordinary course of business of such Loan Party.</w:t>
      </w:r>
    </w:p>
    <w:p>
      <w:pPr>
        <w:spacing w:after="0" w:line="86"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“Commitment” means the Revolving Commitments and the FILO Commitment.</w:t>
      </w:r>
    </w:p>
    <w:p>
      <w:pPr>
        <w:spacing w:after="0" w:line="130"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 xml:space="preserve">“Commitment Fee” has the meaning specified in </w:t>
      </w:r>
      <w:r>
        <w:rPr>
          <w:rFonts w:ascii="Arial" w:cs="Arial" w:eastAsia="Arial" w:hAnsi="Arial"/>
          <w:sz w:val="13"/>
          <w:szCs w:val="13"/>
          <w:u w:val="single" w:color="auto"/>
          <w:color w:val="auto"/>
        </w:rPr>
        <w:t>Section 2.09(a)</w:t>
      </w:r>
      <w:r>
        <w:rPr>
          <w:rFonts w:ascii="Arial" w:cs="Arial" w:eastAsia="Arial" w:hAnsi="Arial"/>
          <w:sz w:val="13"/>
          <w:szCs w:val="13"/>
          <w:color w:val="auto"/>
        </w:rPr>
        <w:t>.</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“Commitment Fee Percentage” means 0.25% per annum.</w:t>
      </w:r>
    </w:p>
    <w:p>
      <w:pPr>
        <w:spacing w:after="0" w:line="142"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20" w:name="page21"/>
    <w:bookmarkEnd w:id="20"/>
    <w:p>
      <w:pPr>
        <w:ind w:left="1040"/>
        <w:spacing w:after="0"/>
        <w:rPr>
          <w:sz w:val="20"/>
          <w:szCs w:val="20"/>
          <w:color w:val="auto"/>
        </w:rPr>
      </w:pPr>
      <w:r>
        <w:rPr>
          <w:rFonts w:ascii="Arial" w:cs="Arial" w:eastAsia="Arial" w:hAnsi="Arial"/>
          <w:sz w:val="13"/>
          <w:szCs w:val="13"/>
          <w:color w:val="auto"/>
        </w:rPr>
        <w:t xml:space="preserve">“Commitment Increase” has the meaning specified in </w:t>
      </w:r>
      <w:r>
        <w:rPr>
          <w:rFonts w:ascii="Arial" w:cs="Arial" w:eastAsia="Arial" w:hAnsi="Arial"/>
          <w:sz w:val="13"/>
          <w:szCs w:val="13"/>
          <w:u w:val="single" w:color="auto"/>
          <w:color w:val="auto"/>
        </w:rPr>
        <w:t>Section 2.15(a)</w:t>
      </w:r>
      <w:r>
        <w:rPr>
          <w:rFonts w:ascii="Arial" w:cs="Arial" w:eastAsia="Arial" w:hAnsi="Arial"/>
          <w:sz w:val="13"/>
          <w:szCs w:val="13"/>
          <w:color w:val="auto"/>
        </w:rPr>
        <w:t>.</w:t>
      </w:r>
    </w:p>
    <w:p>
      <w:pPr>
        <w:spacing w:after="0" w:line="130"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 xml:space="preserve">“Committed Borrowing” means a borrowing consisting of a Committed Loan or simultaneous Committed Loans of the same Type and, in the case of LIBOR Rate Loans, having the same Interest Period made by each of the Revolving Lenders pursuant to </w:t>
      </w:r>
      <w:r>
        <w:rPr>
          <w:rFonts w:ascii="Arial" w:cs="Arial" w:eastAsia="Arial" w:hAnsi="Arial"/>
          <w:sz w:val="13"/>
          <w:szCs w:val="13"/>
          <w:u w:val="single" w:color="auto"/>
          <w:color w:val="auto"/>
        </w:rPr>
        <w:t>Section 2.01</w:t>
      </w:r>
      <w:r>
        <w:rPr>
          <w:rFonts w:ascii="Arial" w:cs="Arial" w:eastAsia="Arial" w:hAnsi="Arial"/>
          <w:sz w:val="13"/>
          <w:szCs w:val="13"/>
          <w:color w:val="auto"/>
        </w:rPr>
        <w:t>.</w:t>
      </w:r>
    </w:p>
    <w:p>
      <w:pPr>
        <w:spacing w:after="0" w:line="86"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 xml:space="preserve">“Committed Loan” has the meaning specified in </w:t>
      </w:r>
      <w:r>
        <w:rPr>
          <w:rFonts w:ascii="Arial" w:cs="Arial" w:eastAsia="Arial" w:hAnsi="Arial"/>
          <w:sz w:val="13"/>
          <w:szCs w:val="13"/>
          <w:u w:val="single" w:color="auto"/>
          <w:color w:val="auto"/>
        </w:rPr>
        <w:t>Section 2.01</w:t>
      </w:r>
      <w:r>
        <w:rPr>
          <w:rFonts w:ascii="Arial" w:cs="Arial" w:eastAsia="Arial" w:hAnsi="Arial"/>
          <w:sz w:val="13"/>
          <w:szCs w:val="13"/>
          <w:color w:val="auto"/>
        </w:rPr>
        <w:t>.</w:t>
      </w:r>
    </w:p>
    <w:p>
      <w:pPr>
        <w:spacing w:after="0" w:line="121"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 xml:space="preserve">“Committed Loan Notice” means a notice of (a) a Committed Borrowing, (b) a Conversion of Committed Loans from one Type to the other, or (c) a continuation of LIBOR Rate Loans, pursuant to </w:t>
      </w:r>
      <w:r>
        <w:rPr>
          <w:rFonts w:ascii="Arial" w:cs="Arial" w:eastAsia="Arial" w:hAnsi="Arial"/>
          <w:sz w:val="13"/>
          <w:szCs w:val="13"/>
          <w:u w:val="single" w:color="auto"/>
          <w:color w:val="auto"/>
        </w:rPr>
        <w:t>Section 2.02(b)</w:t>
      </w:r>
      <w:r>
        <w:rPr>
          <w:rFonts w:ascii="Arial" w:cs="Arial" w:eastAsia="Arial" w:hAnsi="Arial"/>
          <w:sz w:val="13"/>
          <w:szCs w:val="13"/>
          <w:color w:val="auto"/>
        </w:rPr>
        <w:t>, which, if in writing, shall be substantially in the form of Exhibit A.</w:t>
      </w:r>
    </w:p>
    <w:p>
      <w:pPr>
        <w:spacing w:after="0" w:line="95"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“Commodity Exchange Act” means the Commodity Exchange Act (7 U.S.C. § 1 et seq.).</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“Compliance Certificate” means a certificate substantially in the form of Exhibit D.</w:t>
      </w:r>
    </w:p>
    <w:p>
      <w:pPr>
        <w:spacing w:after="0" w:line="121"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“Consent” means actual consent given by a Lender from whom such consent is sought; or the passage of seven (7) Business Days from receipt of written notice to a Lender from the Agent of a proposed course of action to be followed by the Agent without such Lender’s giving the Agent written notice of that Lender’s objection to such course of action.</w:t>
      </w:r>
    </w:p>
    <w:p>
      <w:pPr>
        <w:spacing w:after="0" w:line="95"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“Consolidated” means, when used to modify a financial term, test, statement, or report of a Person, the application or preparation of such term, test, statement or report (as applicable) based upon the consolidation, in accordance with GAAP, of the financial condition or operating results of such Person and its Subsidiaries.</w:t>
      </w:r>
    </w:p>
    <w:p>
      <w:pPr>
        <w:spacing w:after="0" w:line="86" w:lineRule="exact"/>
        <w:rPr>
          <w:sz w:val="20"/>
          <w:szCs w:val="20"/>
          <w:color w:val="auto"/>
        </w:rPr>
      </w:pPr>
    </w:p>
    <w:p>
      <w:pPr>
        <w:jc w:val="both"/>
        <w:ind w:left="220" w:firstLine="808"/>
        <w:spacing w:after="0" w:line="251" w:lineRule="auto"/>
        <w:rPr>
          <w:sz w:val="20"/>
          <w:szCs w:val="20"/>
          <w:color w:val="auto"/>
        </w:rPr>
      </w:pPr>
      <w:r>
        <w:rPr>
          <w:rFonts w:ascii="Arial" w:cs="Arial" w:eastAsia="Arial" w:hAnsi="Arial"/>
          <w:sz w:val="13"/>
          <w:szCs w:val="13"/>
          <w:color w:val="auto"/>
        </w:rPr>
        <w:t>“Consolidated EBITDA” means, at any date of determination, an amount equal to Consolidated Net Income of the Lead Borrower and its Subsidiaries on a Consolidated basis for the most recently completed Measurement Period, plus (a) the following to the extent deducted in calculating such Consolidated Net Income: (i) Consolidated Interest Charges, (ii) the provision for Federal, state, local and foreign income Taxes, (iii) depreciation and amortization expense and (iv) other non-recurring expenses reducing such Consolidated Net Income which do not represent a cash item in such period or any future period (in each case of or by the Lead Borrower and its Subsidiaries for such Measurement Period), minus (b) the following to the extent included in calculating such Consolidated Net Income: (i) Federal, state, local and foreign income tax credits and (ii) all non-cash items increasing Consolidated Net Income (in each case of or by the Lead Borrower and its Subsidiaries for such Measurement Period), all as determined on a Consolidated basis in accordance with GAAP.</w:t>
      </w:r>
    </w:p>
    <w:p>
      <w:pPr>
        <w:spacing w:after="0" w:line="98" w:lineRule="exact"/>
        <w:rPr>
          <w:sz w:val="20"/>
          <w:szCs w:val="20"/>
          <w:color w:val="auto"/>
        </w:rPr>
      </w:pPr>
    </w:p>
    <w:p>
      <w:pPr>
        <w:jc w:val="both"/>
        <w:ind w:left="220" w:firstLine="808"/>
        <w:spacing w:after="0" w:line="252" w:lineRule="auto"/>
        <w:rPr>
          <w:sz w:val="20"/>
          <w:szCs w:val="20"/>
          <w:color w:val="auto"/>
        </w:rPr>
      </w:pPr>
      <w:r>
        <w:rPr>
          <w:rFonts w:ascii="Arial" w:cs="Arial" w:eastAsia="Arial" w:hAnsi="Arial"/>
          <w:sz w:val="13"/>
          <w:szCs w:val="13"/>
          <w:color w:val="auto"/>
        </w:rPr>
        <w:t>“Consolidated Fixed Charge Coverage Ratio” means, at any date of determination, the ratio of (a) (i) Consolidated EBITDA for such period minus (ii) Capital Expenditures made during such period, minus (iii) the aggregate amount of Federal, state, local and foreign income taxes paid in cash during such period (but not less than zero) to (b) the sum of (i) Debt Service Charges plus (ii) for the purposes of calculating the Consolidated Fixed Charge Coverage Ratio when determining compliance with the RP Conditions for the making of any Restricted Payment, the amount of all Restricted Payments to be made at such time and previously made in reliance on the RP Conditions, in each case, of or by Lead Borrower and its Subsidiaries for the most recently completed Measurement Period, all as determined on a Consolidated basis in accordance with GAAP.</w:t>
      </w:r>
    </w:p>
    <w:p>
      <w:pPr>
        <w:spacing w:after="0" w:line="272"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246" w:right="439" w:bottom="1440" w:gutter="0" w:footer="0" w:header="0"/>
        </w:sectPr>
      </w:pPr>
    </w:p>
    <w:bookmarkStart w:id="21" w:name="page22"/>
    <w:bookmarkEnd w:id="21"/>
    <w:p>
      <w:pPr>
        <w:jc w:val="both"/>
        <w:ind w:left="220" w:firstLine="808"/>
        <w:spacing w:after="0" w:line="278" w:lineRule="auto"/>
        <w:rPr>
          <w:sz w:val="20"/>
          <w:szCs w:val="20"/>
          <w:color w:val="auto"/>
        </w:rPr>
      </w:pPr>
      <w:r>
        <w:rPr>
          <w:rFonts w:ascii="Arial" w:cs="Arial" w:eastAsia="Arial" w:hAnsi="Arial"/>
          <w:sz w:val="12"/>
          <w:szCs w:val="12"/>
          <w:color w:val="auto"/>
        </w:rPr>
        <w:t>“Consolidated Interest Charges” means, for any Measurement Period, the sum of (a) all interest, premium payments, debt discount, fees, charges and related expenses in connection with borrowed money (including capitalized interest) or in connection with the deferred purchase price of assets, in each case to the extent treated as interest in accordance with GAAP, including, without limitation, all commissions, discounts and other fees and charges owed with respect to letters of credit and bankers’ acceptance financing and net costs under Swap Contracts, but excluding any non-cash or deferred interest financing costs, and (b) the portion of rent expense with respect to such period under Capital Lease Obligations that is treated as interest in accordance with GAAP, in each case of or by the Lead Borrower and its Subsidiaries for the most recently completed Measurement Period, all as determined on a Consolidated basis in accordance with GAAP.</w:t>
      </w:r>
    </w:p>
    <w:p>
      <w:pPr>
        <w:spacing w:after="0" w:line="85" w:lineRule="exact"/>
        <w:rPr>
          <w:sz w:val="20"/>
          <w:szCs w:val="20"/>
          <w:color w:val="auto"/>
        </w:rPr>
      </w:pPr>
    </w:p>
    <w:p>
      <w:pPr>
        <w:jc w:val="both"/>
        <w:ind w:left="220" w:firstLine="808"/>
        <w:spacing w:after="0" w:line="249" w:lineRule="auto"/>
        <w:rPr>
          <w:sz w:val="20"/>
          <w:szCs w:val="20"/>
          <w:color w:val="auto"/>
        </w:rPr>
      </w:pPr>
      <w:r>
        <w:rPr>
          <w:rFonts w:ascii="Arial" w:cs="Arial" w:eastAsia="Arial" w:hAnsi="Arial"/>
          <w:sz w:val="13"/>
          <w:szCs w:val="13"/>
          <w:color w:val="auto"/>
        </w:rPr>
        <w:t>“Consolidated Net Income” means, as of any date of determination, the net income of the Lead Borrower and its Subsidiaries for the most recently completed Measurement Period, all as determined on a Consolidated basis in accordance with GAAP, provided, however, that there shall be excluded (a) the income (or loss) of any Subsidiary during such Measurement Period in which any other Person has a joint interest, except to the extent of the amount of cash dividends or other distributions actually paid in cash to the Lead Borrower during such period, (b) the income (or loss) of such Subsidiary during such Measurement Period and accrued prior to the date it becomes a Subsidiary of the Lead Borrower or any of its Subsidiaries or is merged into or consolidated the Lead Borrower or any of its Subsidiaries or that Person’s assets are acquired by the Lead Borrower or any of its Subsidiaries, and (c) the income of any direct or indirect Subsidiary of the Lead Borrower to the extent that the declaration or payment of dividends or similar distributions by that Subsidiary of that income is not at the time permitted by operation of the terms of its Organization Documents or any agreement, instrument, judgment, decree, order, statute, rule or governmental regulation applicable to that Subsidiary, except that the Lead Borrower’s equity in any net loss of any such Subsidiary for such Measurement Period shall be included in determining Consolidated Net Income.</w:t>
      </w:r>
    </w:p>
    <w:p>
      <w:pPr>
        <w:spacing w:after="0" w:line="110"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“Contractual Obligation” means, as to any Person, any provision of any security issued by such Person or of any agreement, instrument or other undertaking to which such Person is a party or by which it or any of its property is bound.</w:t>
      </w:r>
    </w:p>
    <w:p>
      <w:pPr>
        <w:spacing w:after="0" w:line="86"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“Control”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86"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 xml:space="preserve">“Controlled Account” has the meaning provided in </w:t>
      </w:r>
      <w:r>
        <w:rPr>
          <w:rFonts w:ascii="Arial" w:cs="Arial" w:eastAsia="Arial" w:hAnsi="Arial"/>
          <w:sz w:val="13"/>
          <w:szCs w:val="13"/>
          <w:u w:val="single" w:color="auto"/>
          <w:color w:val="auto"/>
        </w:rPr>
        <w:t>Section 6.12(a)(ii)</w:t>
      </w:r>
      <w:r>
        <w:rPr>
          <w:rFonts w:ascii="Arial" w:cs="Arial" w:eastAsia="Arial" w:hAnsi="Arial"/>
          <w:sz w:val="13"/>
          <w:szCs w:val="13"/>
          <w:color w:val="auto"/>
        </w:rPr>
        <w:t>.</w:t>
      </w:r>
    </w:p>
    <w:p>
      <w:pPr>
        <w:spacing w:after="0" w:line="130"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“Controlled Account Bank” means each bank with whom deposit accounts are maintained in which any funds of any of the Loan Parties from one or more DDAs are concentrated and with whom an Account Control Agreement has been, or is required to be, executed in accordance with the terms hereof.</w:t>
      </w:r>
    </w:p>
    <w:p>
      <w:pPr>
        <w:spacing w:after="0" w:line="86"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“Convert”, “Conversion” and “Converted” each refers to a conversion of Committed Loans of one Type into Committed Loans of the other Type.</w:t>
      </w:r>
    </w:p>
    <w:p>
      <w:pPr>
        <w:spacing w:after="0" w:line="121" w:lineRule="exact"/>
        <w:rPr>
          <w:sz w:val="20"/>
          <w:szCs w:val="20"/>
          <w:color w:val="auto"/>
        </w:rPr>
      </w:pPr>
    </w:p>
    <w:p>
      <w:pPr>
        <w:jc w:val="both"/>
        <w:ind w:left="220" w:firstLine="808"/>
        <w:spacing w:after="0" w:line="258" w:lineRule="auto"/>
        <w:rPr>
          <w:sz w:val="20"/>
          <w:szCs w:val="20"/>
          <w:color w:val="auto"/>
        </w:rPr>
      </w:pPr>
      <w:r>
        <w:rPr>
          <w:rFonts w:ascii="Arial" w:cs="Arial" w:eastAsia="Arial" w:hAnsi="Arial"/>
          <w:sz w:val="13"/>
          <w:szCs w:val="13"/>
          <w:color w:val="auto"/>
        </w:rPr>
        <w:t>“Cost” means the lower of cost or market value of Inventory, based upon the Borrowers’ accounting practices, known to the Agent, which practices are in effect on the Closing Date as such calculated cost is determined from invoices received by the Borrowers, the Borrowers’ purchase journals or the Borrowers’ stock ledger. “Cost” does not include inventory capitalization costs or other non-purchase price charges (such as freight) used in the Borrowers’ calculation of cost of goods sold.</w:t>
      </w:r>
    </w:p>
    <w:p>
      <w:pPr>
        <w:spacing w:after="0" w:line="269"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22" w:name="page23"/>
    <w:bookmarkEnd w:id="22"/>
    <w:p>
      <w:pPr>
        <w:ind w:left="220" w:firstLine="808"/>
        <w:spacing w:after="0" w:line="275" w:lineRule="auto"/>
        <w:rPr>
          <w:sz w:val="20"/>
          <w:szCs w:val="20"/>
          <w:color w:val="auto"/>
        </w:rPr>
      </w:pPr>
      <w:r>
        <w:rPr>
          <w:rFonts w:ascii="Arial" w:cs="Arial" w:eastAsia="Arial" w:hAnsi="Arial"/>
          <w:sz w:val="12"/>
          <w:szCs w:val="12"/>
          <w:color w:val="auto"/>
        </w:rPr>
        <w:t>“Covenant Compliance Event” means either (a) that an Event of Default has occurred and is continuing, or (b) Availability at any time is less than the greater of (x) ten percent (10%) of the Revolving Loan Cap (calculated without giving effect to the FILO Push Down Reserve) and (y) $7,500,000. For purposes hereof, the occurrence of a Covenant Compliance Event shall be deemed continuing</w:t>
      </w:r>
    </w:p>
    <w:p>
      <w:pPr>
        <w:jc w:val="both"/>
        <w:ind w:left="220" w:firstLine="9"/>
        <w:spacing w:after="0" w:line="276" w:lineRule="auto"/>
        <w:tabs>
          <w:tab w:leader="none" w:pos="3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so long as such Event of Default has not been waived or is no longer continuing, and/or (ii) if the Covenant Compliance Event arises as a result of the Borrowers’ failure to achieve Availability as required hereunder, until Availability has exceeded the greater of (x) ten percent (10%) of the Revolving Loan Cap (calculated without giving effect to the FILO Push Down Reserve) and (y) $7,500,000 for thirty (30) consecutive days, in which case a Covenant Compliance Event shall no longer be deemed to be continuing for purposes of this Agreement. The termination of a Covenant Compliance Event as provided herein shall in no way limit, waive or delay the occurrence of a subsequent Covenant Compliance Event in the event that the conditions set forth in this definition again arise.</w:t>
      </w:r>
    </w:p>
    <w:p>
      <w:pPr>
        <w:spacing w:after="0" w:line="85" w:lineRule="exact"/>
        <w:rPr>
          <w:sz w:val="20"/>
          <w:szCs w:val="20"/>
          <w:color w:val="auto"/>
        </w:rPr>
      </w:pPr>
    </w:p>
    <w:p>
      <w:pPr>
        <w:jc w:val="both"/>
        <w:ind w:left="220" w:firstLine="808"/>
        <w:spacing w:after="0" w:line="254" w:lineRule="auto"/>
        <w:rPr>
          <w:sz w:val="20"/>
          <w:szCs w:val="20"/>
          <w:color w:val="auto"/>
        </w:rPr>
      </w:pPr>
      <w:r>
        <w:rPr>
          <w:rFonts w:ascii="Arial" w:cs="Arial" w:eastAsia="Arial" w:hAnsi="Arial"/>
          <w:sz w:val="13"/>
          <w:szCs w:val="13"/>
          <w:color w:val="auto"/>
        </w:rPr>
        <w:t>“Credit Card Issuer” shall mean any person (other than a Borrower or other Loan Party) who issues or whose members issue credit cards, including, without limitation, MasterCard or VISA bank credit or debit cards or other bank credit or debit cards issued through MasterCard International, Inc., Visa, U.S.A., Inc. or Visa International and American Express, Discover, Diners Club, Carte Blanche and other non-bank credit or debit cards, including, without limitation, credit or debit cards issued by or through American Express Travel Related Services Company, Inc., and Novus Services, Inc. and other issuers approved by the Agent.</w:t>
      </w:r>
    </w:p>
    <w:p>
      <w:pPr>
        <w:spacing w:after="0" w:line="106" w:lineRule="exact"/>
        <w:rPr>
          <w:sz w:val="20"/>
          <w:szCs w:val="20"/>
          <w:color w:val="auto"/>
        </w:rPr>
      </w:pPr>
    </w:p>
    <w:p>
      <w:pPr>
        <w:jc w:val="both"/>
        <w:ind w:left="220" w:firstLine="808"/>
        <w:spacing w:after="0" w:line="258" w:lineRule="auto"/>
        <w:rPr>
          <w:sz w:val="20"/>
          <w:szCs w:val="20"/>
          <w:color w:val="auto"/>
        </w:rPr>
      </w:pPr>
      <w:r>
        <w:rPr>
          <w:rFonts w:ascii="Arial" w:cs="Arial" w:eastAsia="Arial" w:hAnsi="Arial"/>
          <w:sz w:val="13"/>
          <w:szCs w:val="13"/>
          <w:color w:val="auto"/>
        </w:rPr>
        <w:t>“Credit Card Processor” shall mean any servicing or processing agent or any factor or financial intermediary who facilitates, services, processes or manages the credit authorization, billing transfer and/or payment procedures with respect to any Borrower’s sales transactions involving credit card or debit card purchases by customers using credit cards or debit cards issued by any Credit Card Issuer.</w:t>
      </w:r>
    </w:p>
    <w:p>
      <w:pPr>
        <w:spacing w:after="0" w:line="94" w:lineRule="exact"/>
        <w:rPr>
          <w:sz w:val="20"/>
          <w:szCs w:val="20"/>
          <w:color w:val="auto"/>
        </w:rPr>
      </w:pPr>
    </w:p>
    <w:p>
      <w:pPr>
        <w:jc w:val="both"/>
        <w:ind w:left="220" w:firstLine="808"/>
        <w:spacing w:after="0" w:line="258" w:lineRule="auto"/>
        <w:rPr>
          <w:sz w:val="20"/>
          <w:szCs w:val="20"/>
          <w:color w:val="auto"/>
        </w:rPr>
      </w:pPr>
      <w:r>
        <w:rPr>
          <w:rFonts w:ascii="Arial" w:cs="Arial" w:eastAsia="Arial" w:hAnsi="Arial"/>
          <w:sz w:val="13"/>
          <w:szCs w:val="13"/>
          <w:color w:val="auto"/>
        </w:rPr>
        <w:t>“Credit Card Receivables” means each “payment intangible” (as defined in the UCC) together with all income, payments and proceeds thereof, owed by a Credit Card Issuer or Credit Card Processor to a Loan Party resulting from charges by a customer of a Loan Party on credit or debit cards issued by such Credit Card Issuer in connection with the sale of goods by a Loan Party, or services performed by a Loan Party, in each case in the ordinary course of its business.</w:t>
      </w:r>
    </w:p>
    <w:p>
      <w:pPr>
        <w:spacing w:after="0" w:line="94"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“Credit Extensions” mean each of the following: (a) a Borrowing and (b) an L/C Credit Extension.</w:t>
      </w:r>
    </w:p>
    <w:p>
      <w:pPr>
        <w:spacing w:after="0" w:line="130" w:lineRule="exact"/>
        <w:rPr>
          <w:sz w:val="20"/>
          <w:szCs w:val="20"/>
          <w:color w:val="auto"/>
        </w:rPr>
      </w:pPr>
    </w:p>
    <w:p>
      <w:pPr>
        <w:jc w:val="both"/>
        <w:ind w:left="220" w:firstLine="808"/>
        <w:spacing w:after="0" w:line="258" w:lineRule="auto"/>
        <w:rPr>
          <w:sz w:val="20"/>
          <w:szCs w:val="20"/>
          <w:color w:val="auto"/>
        </w:rPr>
      </w:pPr>
      <w:r>
        <w:rPr>
          <w:rFonts w:ascii="Arial" w:cs="Arial" w:eastAsia="Arial" w:hAnsi="Arial"/>
          <w:sz w:val="13"/>
          <w:szCs w:val="13"/>
          <w:color w:val="auto"/>
        </w:rPr>
        <w:t>“Credit Party” or “Credit Parties” means (a) individually, (i) each Lender and its Affiliates, (ii) the Agent, (iii) each L/C Issuer, (iv) the Arranger, (v) each beneficiary of each indemnification obligation undertaken by any Loan Party under any Loan Document, (vi) any other Person to whom Obligations under this Agreement and other Loan Documents are owing, and (vii) the successors and assigns of each of the foregoing, and (b) collectively, all of the foregoing.</w:t>
      </w:r>
    </w:p>
    <w:p>
      <w:pPr>
        <w:spacing w:after="0" w:line="94" w:lineRule="exact"/>
        <w:rPr>
          <w:sz w:val="20"/>
          <w:szCs w:val="20"/>
          <w:color w:val="auto"/>
        </w:rPr>
      </w:pPr>
    </w:p>
    <w:p>
      <w:pPr>
        <w:jc w:val="both"/>
        <w:ind w:left="220" w:firstLine="808"/>
        <w:spacing w:after="0" w:line="251" w:lineRule="auto"/>
        <w:rPr>
          <w:sz w:val="20"/>
          <w:szCs w:val="20"/>
          <w:color w:val="auto"/>
        </w:rPr>
      </w:pPr>
      <w:r>
        <w:rPr>
          <w:rFonts w:ascii="Arial" w:cs="Arial" w:eastAsia="Arial" w:hAnsi="Arial"/>
          <w:sz w:val="13"/>
          <w:szCs w:val="13"/>
          <w:color w:val="auto"/>
        </w:rPr>
        <w:t>“Credit Party Expenses” means (a) all reasonable out-of-pocket expenses incurred by the Agent, the Arranger and their respective Affiliates, in connection with this Agreement and the other Loan Documents, including without limitation (i) the reasonable fees, charges and disbursements of (A) counsel for the Agent and the Arranger, (B) outside consultants for the Agent, (C) appraisers, and (D) commercial finance examiners, and (E) all such out-of-pocket expenses incurred during any workout, restructuring or negotiations in respect of the Obligations, (ii) in connection with (A) the syndication of the credit facilities provided for herein, (B) the preparation, negotiation, administration, management, execution and delivery of this Agreement and the other Loan Documents or any amendments, modifications or waivers of the provisions thereof (whether or not the transactions contemplated hereby or thereby shall be consummated), (C) the enforcement or protection of their rights in connection with</w:t>
      </w:r>
    </w:p>
    <w:p>
      <w:pPr>
        <w:spacing w:after="0" w:line="272"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65" w:right="439" w:bottom="1440" w:gutter="0" w:footer="0" w:header="0"/>
        </w:sectPr>
      </w:pPr>
    </w:p>
    <w:bookmarkStart w:id="23" w:name="page24"/>
    <w:bookmarkEnd w:id="23"/>
    <w:p>
      <w:pPr>
        <w:jc w:val="both"/>
        <w:ind w:left="220"/>
        <w:spacing w:after="0" w:line="250" w:lineRule="auto"/>
        <w:rPr>
          <w:sz w:val="20"/>
          <w:szCs w:val="20"/>
          <w:color w:val="auto"/>
        </w:rPr>
      </w:pPr>
      <w:r>
        <w:rPr>
          <w:rFonts w:ascii="Arial" w:cs="Arial" w:eastAsia="Arial" w:hAnsi="Arial"/>
          <w:sz w:val="13"/>
          <w:szCs w:val="13"/>
          <w:color w:val="auto"/>
        </w:rPr>
        <w:t>this Agreement or the Loan Documents or efforts to preserve, protect, collect, or enforce the Collateral or in connection with any proceeding under any Debtor Relief Laws, or (D) any workout, restructuring or negotiations in respect of any Obligations, and (iii) all customary fees and charges (as adjusted from time to time) of the Agent with respect to the disbursement of funds (or the receipt of funds) to or for the account of Borrowers (whether by wire transfer or otherwise), together with any out-of-pocket costs and expenses incurred in connection therewith, and (b) with respect to the L/C Issuer, and its Affiliates, all reasonable out-of-pocket expenses incurred in connection with the issuance, amendment, renewal or extension of any Letter of Credit or any demand for payment thereunder; and (c) all reasonable out-of-pocket expenses incurred by the Credit Parties who are not the Agent, the Arranger, the L/C Issuer or any Affiliate of any of them, after the occurrence and during the continuance of an Event of Default, provided that such Credit Parties shall be entitled to reimbursement for no more than one counsel representing all such Credit Parties (absent a conflict of interest in which case the Credit Parties may engage and be reimbursed for additional counsel).</w:t>
      </w:r>
    </w:p>
    <w:p>
      <w:pPr>
        <w:spacing w:after="0" w:line="100"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“Customer Credit Liabilities” means at any time, the aggregate remaining value at such time of (a) outstanding gift certificates and gift cards of the Borrowers entitling the holder thereof to use all or a portion of the certificate or gift card to pay all or a portion of the purchase price for any Inventory, and (b) outstanding merchandise credits of the Borrowers.</w:t>
      </w:r>
    </w:p>
    <w:p>
      <w:pPr>
        <w:spacing w:after="0" w:line="95" w:lineRule="exact"/>
        <w:rPr>
          <w:sz w:val="20"/>
          <w:szCs w:val="20"/>
          <w:color w:val="auto"/>
        </w:rPr>
      </w:pPr>
    </w:p>
    <w:p>
      <w:pPr>
        <w:jc w:val="both"/>
        <w:ind w:left="220" w:firstLine="808"/>
        <w:spacing w:after="0" w:line="258" w:lineRule="auto"/>
        <w:rPr>
          <w:sz w:val="20"/>
          <w:szCs w:val="20"/>
          <w:color w:val="auto"/>
        </w:rPr>
      </w:pPr>
      <w:r>
        <w:rPr>
          <w:rFonts w:ascii="Arial" w:cs="Arial" w:eastAsia="Arial" w:hAnsi="Arial"/>
          <w:sz w:val="13"/>
          <w:szCs w:val="13"/>
          <w:color w:val="auto"/>
        </w:rPr>
        <w:t>“Customs Broker/Carrier Agreement” means an agreement in form and substance satisfactory to the Agent among a Loan Party, a customs broker, freight forwarder, consolidator, or carrier, and the Agent, in which the customs broker, freight forwarder, consolidator, or carrier acknowledges that it has control over and holds the documents evidencing ownership of the subject Inventory for the benefit of the Agent and agrees, upon notice from the Agent, to hold and dispose of the subject Inventory solely as directed by the Agent.</w:t>
      </w:r>
    </w:p>
    <w:p>
      <w:pPr>
        <w:spacing w:after="0" w:line="94"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“DDA” means each checking, savings or other demand deposit account maintained by any of the Loan Parties. All funds in each DDA shall be conclusively presumed to be Collateral and proceeds of Collateral and the Agent and the Lenders shall have no duty to inquire as to the source of the amounts on deposit in any DDA.</w:t>
      </w:r>
    </w:p>
    <w:p>
      <w:pPr>
        <w:spacing w:after="0" w:line="86" w:lineRule="exact"/>
        <w:rPr>
          <w:sz w:val="20"/>
          <w:szCs w:val="20"/>
          <w:color w:val="auto"/>
        </w:rPr>
      </w:pPr>
    </w:p>
    <w:p>
      <w:pPr>
        <w:jc w:val="both"/>
        <w:ind w:left="220" w:firstLine="808"/>
        <w:spacing w:after="0" w:line="258" w:lineRule="auto"/>
        <w:rPr>
          <w:sz w:val="20"/>
          <w:szCs w:val="20"/>
          <w:color w:val="auto"/>
        </w:rPr>
      </w:pPr>
      <w:r>
        <w:rPr>
          <w:rFonts w:ascii="Arial" w:cs="Arial" w:eastAsia="Arial" w:hAnsi="Arial"/>
          <w:sz w:val="13"/>
          <w:szCs w:val="13"/>
          <w:color w:val="auto"/>
        </w:rPr>
        <w:t>“Debt Service Charges” means for any Measurement Period, the sum of (a) Consolidated Interest Charges paid or required to be paid for such Measurement Period, plus (b) principal payments made or required to be made on account of Indebtedness (excluding the Obligations and any Synthetic Lease Obligations but including, without limitation, Capital Lease Obligations) for such Measurement Period, in each case determined on a Consolidated basis in accordance with GAAP.</w:t>
      </w:r>
    </w:p>
    <w:p>
      <w:pPr>
        <w:spacing w:after="0" w:line="103"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“Debtor Relief Laws”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86"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“Default” means any event or condition that constitutes an Event of Default or that, with the giving of any notice, the passage of time, or both, would be an Event of Default.</w:t>
      </w:r>
    </w:p>
    <w:p>
      <w:pPr>
        <w:spacing w:after="0" w:line="121" w:lineRule="exact"/>
        <w:rPr>
          <w:sz w:val="20"/>
          <w:szCs w:val="20"/>
          <w:color w:val="auto"/>
        </w:rPr>
      </w:pPr>
    </w:p>
    <w:p>
      <w:pPr>
        <w:jc w:val="both"/>
        <w:ind w:left="220" w:firstLine="808"/>
        <w:spacing w:after="0" w:line="258" w:lineRule="auto"/>
        <w:rPr>
          <w:sz w:val="20"/>
          <w:szCs w:val="20"/>
          <w:color w:val="auto"/>
        </w:rPr>
      </w:pPr>
      <w:r>
        <w:rPr>
          <w:rFonts w:ascii="Arial" w:cs="Arial" w:eastAsia="Arial" w:hAnsi="Arial"/>
          <w:sz w:val="13"/>
          <w:szCs w:val="13"/>
          <w:color w:val="auto"/>
        </w:rPr>
        <w:t>“Default Rate” means (a) when used with respect to Loans, an interest rate equal to the interest rate (including the Applicable Margin) otherwise applicable to such Loan plus two percent (2%) per annum, (b) when used with respect to Letter of Credit Fees, a rate equal to the Applicable Rate for Standby Letters of Credit or Commercial Letters of Credit, as applicable, plus two percent (2%) per annum, and (c) with respect to all other Obligations, an interest rate equal to the Base Rate, plus the then Applicable Margin, plus two percent (2%) per annum.</w:t>
      </w:r>
    </w:p>
    <w:p>
      <w:pPr>
        <w:spacing w:after="0" w:line="269"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24" w:name="page25"/>
    <w:bookmarkEnd w:id="24"/>
    <w:p>
      <w:pPr>
        <w:jc w:val="both"/>
        <w:ind w:left="220" w:firstLine="808"/>
        <w:spacing w:after="0" w:line="270" w:lineRule="auto"/>
        <w:rPr>
          <w:sz w:val="20"/>
          <w:szCs w:val="20"/>
          <w:color w:val="auto"/>
        </w:rPr>
      </w:pPr>
      <w:r>
        <w:rPr>
          <w:rFonts w:ascii="Arial" w:cs="Arial" w:eastAsia="Arial" w:hAnsi="Arial"/>
          <w:sz w:val="12"/>
          <w:szCs w:val="12"/>
          <w:color w:val="auto"/>
        </w:rPr>
        <w:t xml:space="preserve">“Defaulting Lender” means, subject to </w:t>
      </w:r>
      <w:r>
        <w:rPr>
          <w:rFonts w:ascii="Arial" w:cs="Arial" w:eastAsia="Arial" w:hAnsi="Arial"/>
          <w:sz w:val="12"/>
          <w:szCs w:val="12"/>
          <w:u w:val="single" w:color="auto"/>
          <w:color w:val="auto"/>
        </w:rPr>
        <w:t>Section 2.16(b)</w:t>
      </w:r>
      <w:r>
        <w:rPr>
          <w:rFonts w:ascii="Arial" w:cs="Arial" w:eastAsia="Arial" w:hAnsi="Arial"/>
          <w:sz w:val="12"/>
          <w:szCs w:val="12"/>
          <w:color w:val="auto"/>
        </w:rPr>
        <w:t xml:space="preserve">, any Lender that (a) has failed to (i) fund all or any portion of its Loans within two (2) Business Days of the date such Loans were required to be funded hereunder, or (ii) pay to the Agent, the L/C Issuer, the Swing Line Lender or any other Lender any other amount required to be paid by it hereunder (including in respect of its participation in Letters of Credit or Swing Line Loans) within two (2) Business Days of the date when due, (b) has notified the Lead Borrower, the Agent, the L/C Issuer or the Swing Line Lender in writing that it does not intend to comply with its funding obligations hereunder, or has made a public statement to that effect, (c) has failed, within three (3) Business Days after written request by the Agent or the Lead Borrower, to confirm in writing to the Agent and the Lead Borrower that it will comply with its prospective funding obligations hereunder (provided that such Lender shall cease to be a Defaulting Lender pursuant to this clause (c) upon receipt of such written confirmation by the Agent and the Lead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Agent that a Lender is a Defaulting Lender under any one or more of clauses (a) through (d) above, and of the effective date of such status, shall be conclusive and binding absent manifest error, and such Lender shall be deemed to be a Defaulting Lender (subject to </w:t>
      </w:r>
      <w:r>
        <w:rPr>
          <w:rFonts w:ascii="Arial" w:cs="Arial" w:eastAsia="Arial" w:hAnsi="Arial"/>
          <w:sz w:val="12"/>
          <w:szCs w:val="12"/>
          <w:u w:val="single" w:color="auto"/>
          <w:color w:val="auto"/>
        </w:rPr>
        <w:t>Section 2.16(b)</w:t>
      </w:r>
      <w:r>
        <w:rPr>
          <w:rFonts w:ascii="Arial" w:cs="Arial" w:eastAsia="Arial" w:hAnsi="Arial"/>
          <w:sz w:val="12"/>
          <w:szCs w:val="12"/>
          <w:color w:val="auto"/>
        </w:rPr>
        <w:t>) as of the date established therefor by the Agent in a written notice of such determination, which shall be delivered by the Agent to the Lead Borrower, the L/C Issuer, the Swing Line Lender and each other Lender promptly following such determination.</w:t>
      </w:r>
    </w:p>
    <w:p>
      <w:pPr>
        <w:spacing w:after="0" w:line="116" w:lineRule="exact"/>
        <w:rPr>
          <w:sz w:val="20"/>
          <w:szCs w:val="20"/>
          <w:color w:val="auto"/>
        </w:rPr>
      </w:pPr>
    </w:p>
    <w:p>
      <w:pPr>
        <w:jc w:val="both"/>
        <w:ind w:left="220" w:firstLine="808"/>
        <w:spacing w:after="0" w:line="258" w:lineRule="auto"/>
        <w:rPr>
          <w:sz w:val="20"/>
          <w:szCs w:val="20"/>
          <w:color w:val="auto"/>
        </w:rPr>
      </w:pPr>
      <w:r>
        <w:rPr>
          <w:rFonts w:ascii="Arial" w:cs="Arial" w:eastAsia="Arial" w:hAnsi="Arial"/>
          <w:sz w:val="13"/>
          <w:szCs w:val="13"/>
          <w:color w:val="auto"/>
        </w:rPr>
        <w:t>“Disposition” or “Dispose” means the sale, transfer, license, lease or other disposition (including any sale and leaseback transaction), whether in one transaction or in a series of transactions, of any property (including, without limitation, any Equity Interests other than Equity Interests of the Lead Borrower) by any Person (or the granting of any option or other right to do any of the foregoing), including any sale, assignment, transfer or other disposal, with or without recourse, of any notes or accounts receivable or any rights and claims associated therewith .</w:t>
      </w:r>
    </w:p>
    <w:p>
      <w:pPr>
        <w:spacing w:after="0" w:line="121" w:lineRule="exact"/>
        <w:rPr>
          <w:sz w:val="20"/>
          <w:szCs w:val="20"/>
          <w:color w:val="auto"/>
        </w:rPr>
      </w:pPr>
    </w:p>
    <w:p>
      <w:pPr>
        <w:jc w:val="both"/>
        <w:ind w:left="220" w:firstLine="808"/>
        <w:spacing w:after="0" w:line="252" w:lineRule="auto"/>
        <w:rPr>
          <w:sz w:val="20"/>
          <w:szCs w:val="20"/>
          <w:color w:val="auto"/>
        </w:rPr>
      </w:pPr>
      <w:r>
        <w:rPr>
          <w:rFonts w:ascii="Arial" w:cs="Arial" w:eastAsia="Arial" w:hAnsi="Arial"/>
          <w:sz w:val="13"/>
          <w:szCs w:val="13"/>
          <w:color w:val="auto"/>
        </w:rPr>
        <w:t>“Disqualified Stock” means any Equity Interest that, by its terms (or by the terms of any security into which it is convertible, or for which it is exchangeable, in each case at the option of the holder thereof), or upon the happening of any event, matures or is mandatorily redeemable, pursuant to a sinking fund obligation or otherwise, or redeemable at the option of the holder thereof, in whole or in part, on or prior to the date that is ninety-one (91) days after the Maturity Date. The amount of Disqualified Stock deemed to be outstanding at any time for purposes of this Agreement will be the maximum amount that the Lead Borrower and its Subsidiaries may become obligated to pay upon maturity of, or pursuant to any mandatory redemption provisions of, such Disqualified Stock or portion thereof, plus accrued dividends.</w:t>
      </w:r>
    </w:p>
    <w:p>
      <w:pPr>
        <w:spacing w:after="0" w:line="125"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“Dollars” and “$” mean lawful money of the United States.</w:t>
      </w:r>
    </w:p>
    <w:p>
      <w:pPr>
        <w:spacing w:after="0" w:line="148"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“Domestic Subsidiary” means any Subsidiary that is organized under the laws of the United States of America, any State thereof or the District of Columbia (excluding, for the avoidance of doubt, any Subsidiary organized under the laws of Puerto Rico or any other territory).</w:t>
      </w:r>
    </w:p>
    <w:p>
      <w:pPr>
        <w:spacing w:after="0" w:line="260"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25" w:name="page26"/>
    <w:bookmarkEnd w:id="25"/>
    <w:p>
      <w:pPr>
        <w:jc w:val="both"/>
        <w:ind w:left="220" w:firstLine="808"/>
        <w:spacing w:after="0" w:line="258" w:lineRule="auto"/>
        <w:rPr>
          <w:sz w:val="20"/>
          <w:szCs w:val="20"/>
          <w:color w:val="auto"/>
        </w:rPr>
      </w:pPr>
      <w:r>
        <w:rPr>
          <w:rFonts w:ascii="Arial" w:cs="Arial" w:eastAsia="Arial" w:hAnsi="Arial"/>
          <w:sz w:val="13"/>
          <w:szCs w:val="13"/>
          <w:color w:val="auto"/>
        </w:rPr>
        <w:t>“EEA Financial Institution”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03"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“EEA Member Country” means any of the member states of the European Union, Iceland, Liechtenstein, and Norway.</w:t>
      </w:r>
    </w:p>
    <w:p>
      <w:pPr>
        <w:spacing w:after="0" w:line="121"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“EEA Resolution Authority” means any public administrative authority or any person entrusted with public administrative authority of any EEA Member Country (including any delegee) having responsibility for the resolution of any EEA Financial Institution.</w:t>
      </w:r>
    </w:p>
    <w:p>
      <w:pPr>
        <w:spacing w:after="0" w:line="86" w:lineRule="exact"/>
        <w:rPr>
          <w:sz w:val="20"/>
          <w:szCs w:val="20"/>
          <w:color w:val="auto"/>
        </w:rPr>
      </w:pPr>
    </w:p>
    <w:p>
      <w:pPr>
        <w:jc w:val="both"/>
        <w:ind w:left="220" w:firstLine="808"/>
        <w:spacing w:after="0" w:line="278" w:lineRule="auto"/>
        <w:rPr>
          <w:sz w:val="20"/>
          <w:szCs w:val="20"/>
          <w:color w:val="auto"/>
        </w:rPr>
      </w:pPr>
      <w:r>
        <w:rPr>
          <w:rFonts w:ascii="Arial" w:cs="Arial" w:eastAsia="Arial" w:hAnsi="Arial"/>
          <w:sz w:val="12"/>
          <w:szCs w:val="12"/>
          <w:color w:val="auto"/>
        </w:rPr>
        <w:t>“Eligible Assignee” means (a) a Credit Party or any of its Affiliates; (b) a bank, insurance company, or company engaged in the business of making commercial loans, which Person, together with its Affiliates, has a combined capital and surplus in excess of $250,000,000; (c) an Approved Fund; (d) any Person to whom a Credit Party assigns its rights and obligations under this Agreement as part of an assignment and transfer of such Credit Party’s rights in and to a material portion of such Credit Party’s portfolio of asset based credit facilities, and (e) any other Person (other than a natural Person) approved by (i)(x) in the case of an assignment of the Revolving Commitment, the Agent, the L/C Issuer and the Swing Line Lender and (y) in the case of an assignment of the outstanding FILO Loan, the Agent and (ii) unless a Default or Event of Default has occurred and is continuing, the Lead Borrower (each such approval not to be unreasonably withheld or delayed).</w:t>
      </w:r>
    </w:p>
    <w:p>
      <w:pPr>
        <w:spacing w:after="0" w:line="92" w:lineRule="exact"/>
        <w:rPr>
          <w:sz w:val="20"/>
          <w:szCs w:val="20"/>
          <w:color w:val="auto"/>
        </w:rPr>
      </w:pPr>
    </w:p>
    <w:p>
      <w:pPr>
        <w:jc w:val="both"/>
        <w:ind w:left="220" w:firstLine="808"/>
        <w:spacing w:after="0" w:line="272" w:lineRule="auto"/>
        <w:rPr>
          <w:sz w:val="20"/>
          <w:szCs w:val="20"/>
          <w:color w:val="auto"/>
        </w:rPr>
      </w:pPr>
      <w:r>
        <w:rPr>
          <w:rFonts w:ascii="Arial" w:cs="Arial" w:eastAsia="Arial" w:hAnsi="Arial"/>
          <w:sz w:val="12"/>
          <w:szCs w:val="12"/>
          <w:color w:val="auto"/>
        </w:rPr>
        <w:t>“Eligible Credit Card Receivables” means at the time of any determination thereof, each Credit Card Receivable that satisfies the following criteria at the time of creation and continues to meet the same at the time of such determination: such Credit Card Receivable (i) has been earned by performance and represents the bona fide amounts due to a Loan Party from a Credit Card Issuer or Credit Card Processor, and in each case is originated in the ordinary course of business of such Loan Party, and (ii) in each case is acceptable to the Agent in its reasonable discretion, and is not ineligible for inclusion in the calculation of the Borrowing Base and the FILO Borrowing Base pursuant to any of clauses (a) through (i) below. Without limiting the foregoing, to qualify as an Eligible Credit Card Receivable, such Credit Card Receivable shall indicate no Person other than a Loan Party as payee or remittance party. In determining the amount to be so included, the face amount of a Credit Card Receivable shall be reduced by, without duplication, to the extent not reflected in such face amount, (i) the amount of all accrued and actual discounts, claims, credits or credits pending, promotional program allowances, price adjustments, finance charges or other allowances (including any amount that a Loan Party may be obligated to rebate to a customer, a Credit Card Issuer or Credit Card Processor pursuant to the terms of any agreement or understanding (written or oral)) and (ii) the aggregate amount of all cash received in respect of such Credit Card Receivable but not yet applied by the Loan Parties to reduce the amount of such Credit Card Receivable. Except as otherwise agreed by the Agent, any Credit Card Receivable included within any of the following categories shall not constitute an Eligible Credit Card Receivable:</w:t>
      </w:r>
    </w:p>
    <w:p>
      <w:pPr>
        <w:spacing w:after="0" w:line="115" w:lineRule="exact"/>
        <w:rPr>
          <w:sz w:val="20"/>
          <w:szCs w:val="20"/>
          <w:color w:val="auto"/>
        </w:rPr>
      </w:pPr>
    </w:p>
    <w:p>
      <w:pPr>
        <w:ind w:left="2400" w:hanging="585"/>
        <w:spacing w:after="0"/>
        <w:tabs>
          <w:tab w:leader="none" w:pos="24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Credit Card Receivables which do not constitute a “payment intangible” (as defined in the UCC);</w:t>
      </w:r>
    </w:p>
    <w:p>
      <w:pPr>
        <w:spacing w:after="0" w:line="147" w:lineRule="exact"/>
        <w:rPr>
          <w:rFonts w:ascii="Arial" w:cs="Arial" w:eastAsia="Arial" w:hAnsi="Arial"/>
          <w:sz w:val="13"/>
          <w:szCs w:val="13"/>
          <w:color w:val="auto"/>
        </w:rPr>
      </w:pPr>
    </w:p>
    <w:p>
      <w:pPr>
        <w:ind w:left="2400" w:hanging="585"/>
        <w:spacing w:after="0"/>
        <w:tabs>
          <w:tab w:leader="none" w:pos="24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Credit Card Receivables that have been outstanding for more than five (5) Business Days from the date of sale;</w:t>
      </w:r>
    </w:p>
    <w:p>
      <w:pPr>
        <w:spacing w:after="0" w:line="295"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246" w:right="439" w:bottom="1440" w:gutter="0" w:footer="0" w:header="0"/>
        </w:sectPr>
      </w:pPr>
    </w:p>
    <w:bookmarkStart w:id="26" w:name="page27"/>
    <w:bookmarkEnd w:id="26"/>
    <w:p>
      <w:pPr>
        <w:ind w:left="1060" w:firstLine="755"/>
        <w:spacing w:after="0" w:line="271" w:lineRule="auto"/>
        <w:tabs>
          <w:tab w:leader="none" w:pos="2385" w:val="left"/>
        </w:tabs>
        <w:numPr>
          <w:ilvl w:val="0"/>
          <w:numId w:val="13"/>
        </w:numPr>
        <w:rPr>
          <w:rFonts w:ascii="Arial" w:cs="Arial" w:eastAsia="Arial" w:hAnsi="Arial"/>
          <w:sz w:val="13"/>
          <w:szCs w:val="13"/>
          <w:color w:val="auto"/>
        </w:rPr>
      </w:pPr>
      <w:r>
        <w:rPr>
          <w:rFonts w:ascii="Arial" w:cs="Arial" w:eastAsia="Arial" w:hAnsi="Arial"/>
          <w:sz w:val="13"/>
          <w:szCs w:val="13"/>
          <w:color w:val="auto"/>
        </w:rPr>
        <w:t>Credit Card Receivables (i) that are not subject to a perfected first-priority security interest in favor of the Agent, or (ii) with respect to which a Loan Party does not have good and valid title thereto, free and clear of any Lien (other than Liens granted to the Agent pursuant to the Security Documents);</w:t>
      </w:r>
    </w:p>
    <w:p>
      <w:pPr>
        <w:spacing w:after="0" w:line="94" w:lineRule="exact"/>
        <w:rPr>
          <w:rFonts w:ascii="Arial" w:cs="Arial" w:eastAsia="Arial" w:hAnsi="Arial"/>
          <w:sz w:val="13"/>
          <w:szCs w:val="13"/>
          <w:color w:val="auto"/>
        </w:rPr>
      </w:pPr>
    </w:p>
    <w:p>
      <w:pPr>
        <w:ind w:left="1060" w:firstLine="755"/>
        <w:spacing w:after="0" w:line="271" w:lineRule="auto"/>
        <w:tabs>
          <w:tab w:leader="none" w:pos="2392" w:val="left"/>
        </w:tabs>
        <w:numPr>
          <w:ilvl w:val="0"/>
          <w:numId w:val="13"/>
        </w:numPr>
        <w:rPr>
          <w:rFonts w:ascii="Arial" w:cs="Arial" w:eastAsia="Arial" w:hAnsi="Arial"/>
          <w:sz w:val="13"/>
          <w:szCs w:val="13"/>
          <w:color w:val="auto"/>
        </w:rPr>
      </w:pPr>
      <w:r>
        <w:rPr>
          <w:rFonts w:ascii="Arial" w:cs="Arial" w:eastAsia="Arial" w:hAnsi="Arial"/>
          <w:sz w:val="13"/>
          <w:szCs w:val="13"/>
          <w:color w:val="auto"/>
        </w:rPr>
        <w:t>Credit Card Receivables which are disputed, are with recourse, or with respect to which a claim, counterclaim, offset or chargeback has been asserted (to the extent of such claim, counterclaim, offset or chargeback);</w:t>
      </w:r>
    </w:p>
    <w:p>
      <w:pPr>
        <w:spacing w:after="0" w:line="85" w:lineRule="exact"/>
        <w:rPr>
          <w:rFonts w:ascii="Arial" w:cs="Arial" w:eastAsia="Arial" w:hAnsi="Arial"/>
          <w:sz w:val="13"/>
          <w:szCs w:val="13"/>
          <w:color w:val="auto"/>
        </w:rPr>
      </w:pPr>
    </w:p>
    <w:p>
      <w:pPr>
        <w:ind w:left="1060" w:firstLine="755"/>
        <w:spacing w:after="0" w:line="271" w:lineRule="auto"/>
        <w:tabs>
          <w:tab w:leader="none" w:pos="2385" w:val="left"/>
        </w:tabs>
        <w:numPr>
          <w:ilvl w:val="0"/>
          <w:numId w:val="13"/>
        </w:numPr>
        <w:rPr>
          <w:rFonts w:ascii="Arial" w:cs="Arial" w:eastAsia="Arial" w:hAnsi="Arial"/>
          <w:sz w:val="13"/>
          <w:szCs w:val="13"/>
          <w:color w:val="auto"/>
        </w:rPr>
      </w:pPr>
      <w:r>
        <w:rPr>
          <w:rFonts w:ascii="Arial" w:cs="Arial" w:eastAsia="Arial" w:hAnsi="Arial"/>
          <w:sz w:val="13"/>
          <w:szCs w:val="13"/>
          <w:color w:val="auto"/>
        </w:rPr>
        <w:t>Credit Card Receivables as to which a Credit Card Issuer or a Credit Card Processor has the right under certain circumstances to require a Loan Party to repurchase the Credit Card Receivables from such Credit Card Issuer or Credit Card Processor;</w:t>
      </w:r>
    </w:p>
    <w:p>
      <w:pPr>
        <w:spacing w:after="0" w:line="85" w:lineRule="exact"/>
        <w:rPr>
          <w:rFonts w:ascii="Arial" w:cs="Arial" w:eastAsia="Arial" w:hAnsi="Arial"/>
          <w:sz w:val="13"/>
          <w:szCs w:val="13"/>
          <w:color w:val="auto"/>
        </w:rPr>
      </w:pPr>
    </w:p>
    <w:p>
      <w:pPr>
        <w:ind w:left="2380" w:hanging="565"/>
        <w:spacing w:after="0"/>
        <w:tabs>
          <w:tab w:leader="none" w:pos="23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Credit Card Receivables due from a Credit Card Issuer or a Credit Card Processor of the applicable credit card which is the subject of any bankruptcy or insolvency</w:t>
      </w:r>
    </w:p>
    <w:p>
      <w:pPr>
        <w:spacing w:after="0" w:line="25" w:lineRule="exact"/>
        <w:rPr>
          <w:rFonts w:ascii="Arial" w:cs="Arial" w:eastAsia="Arial" w:hAnsi="Arial"/>
          <w:sz w:val="12"/>
          <w:szCs w:val="12"/>
          <w:color w:val="auto"/>
        </w:rPr>
      </w:pPr>
    </w:p>
    <w:p>
      <w:pPr>
        <w:ind w:left="1060"/>
        <w:spacing w:after="0"/>
        <w:rPr>
          <w:rFonts w:ascii="Arial" w:cs="Arial" w:eastAsia="Arial" w:hAnsi="Arial"/>
          <w:sz w:val="12"/>
          <w:szCs w:val="12"/>
          <w:color w:val="auto"/>
        </w:rPr>
      </w:pPr>
      <w:r>
        <w:rPr>
          <w:rFonts w:ascii="Arial" w:cs="Arial" w:eastAsia="Arial" w:hAnsi="Arial"/>
          <w:sz w:val="13"/>
          <w:szCs w:val="13"/>
          <w:color w:val="auto"/>
        </w:rPr>
        <w:t>proceedings;</w:t>
      </w:r>
    </w:p>
    <w:p>
      <w:pPr>
        <w:spacing w:after="0" w:line="119" w:lineRule="exact"/>
        <w:rPr>
          <w:rFonts w:ascii="Arial" w:cs="Arial" w:eastAsia="Arial" w:hAnsi="Arial"/>
          <w:sz w:val="12"/>
          <w:szCs w:val="12"/>
          <w:color w:val="auto"/>
        </w:rPr>
      </w:pPr>
    </w:p>
    <w:p>
      <w:pPr>
        <w:ind w:left="2400" w:hanging="585"/>
        <w:spacing w:after="0"/>
        <w:tabs>
          <w:tab w:leader="none" w:pos="2400" w:val="left"/>
        </w:tabs>
        <w:numPr>
          <w:ilvl w:val="0"/>
          <w:numId w:val="13"/>
        </w:numPr>
        <w:rPr>
          <w:rFonts w:ascii="Arial" w:cs="Arial" w:eastAsia="Arial" w:hAnsi="Arial"/>
          <w:sz w:val="12"/>
          <w:szCs w:val="12"/>
          <w:color w:val="auto"/>
        </w:rPr>
      </w:pPr>
      <w:r>
        <w:rPr>
          <w:rFonts w:ascii="Arial" w:cs="Arial" w:eastAsia="Arial" w:hAnsi="Arial"/>
          <w:sz w:val="12"/>
          <w:szCs w:val="12"/>
          <w:color w:val="auto"/>
        </w:rPr>
        <w:t>Credit Card Receivables which are not a valid, legally enforceable obligation of the applicable Credit Card Issuer or a Credit Card Processor with respect thereto;</w:t>
      </w:r>
    </w:p>
    <w:p>
      <w:pPr>
        <w:spacing w:after="0" w:line="132" w:lineRule="exact"/>
        <w:rPr>
          <w:rFonts w:ascii="Arial" w:cs="Arial" w:eastAsia="Arial" w:hAnsi="Arial"/>
          <w:sz w:val="12"/>
          <w:szCs w:val="12"/>
          <w:color w:val="auto"/>
        </w:rPr>
      </w:pPr>
    </w:p>
    <w:p>
      <w:pPr>
        <w:ind w:left="2400" w:hanging="585"/>
        <w:spacing w:after="0"/>
        <w:tabs>
          <w:tab w:leader="none" w:pos="2400" w:val="left"/>
        </w:tabs>
        <w:numPr>
          <w:ilvl w:val="0"/>
          <w:numId w:val="13"/>
        </w:numPr>
        <w:rPr>
          <w:rFonts w:ascii="Arial" w:cs="Arial" w:eastAsia="Arial" w:hAnsi="Arial"/>
          <w:sz w:val="12"/>
          <w:szCs w:val="12"/>
          <w:color w:val="auto"/>
        </w:rPr>
      </w:pPr>
      <w:r>
        <w:rPr>
          <w:rFonts w:ascii="Arial" w:cs="Arial" w:eastAsia="Arial" w:hAnsi="Arial"/>
          <w:sz w:val="12"/>
          <w:szCs w:val="12"/>
          <w:color w:val="auto"/>
        </w:rPr>
        <w:t>Credit Card Receivables which do not conform to all representations, warranties or other provisions in the Loan Documents relating to Credit Card Receivables;</w:t>
      </w:r>
    </w:p>
    <w:p>
      <w:pPr>
        <w:spacing w:after="0" w:line="132" w:lineRule="exact"/>
        <w:rPr>
          <w:rFonts w:ascii="Arial" w:cs="Arial" w:eastAsia="Arial" w:hAnsi="Arial"/>
          <w:sz w:val="12"/>
          <w:szCs w:val="12"/>
          <w:color w:val="auto"/>
        </w:rPr>
      </w:pPr>
    </w:p>
    <w:p>
      <w:pPr>
        <w:ind w:left="1060" w:firstLine="755"/>
        <w:spacing w:after="0" w:line="271" w:lineRule="auto"/>
        <w:tabs>
          <w:tab w:leader="none" w:pos="2363" w:val="left"/>
        </w:tabs>
        <w:numPr>
          <w:ilvl w:val="0"/>
          <w:numId w:val="13"/>
        </w:numPr>
        <w:rPr>
          <w:rFonts w:ascii="Arial" w:cs="Arial" w:eastAsia="Arial" w:hAnsi="Arial"/>
          <w:sz w:val="13"/>
          <w:szCs w:val="13"/>
          <w:color w:val="auto"/>
        </w:rPr>
      </w:pPr>
      <w:r>
        <w:rPr>
          <w:rFonts w:ascii="Arial" w:cs="Arial" w:eastAsia="Arial" w:hAnsi="Arial"/>
          <w:sz w:val="13"/>
          <w:szCs w:val="13"/>
          <w:color w:val="auto"/>
        </w:rPr>
        <w:t>Credit Card Receivables which are evidenced by “chattel paper” or an “instrument” of any kind unless such “chattel paper” or “instrument” is in the possession of the Agent, and to the extent necessary or appropriate, endorsed to the Agent; or</w:t>
      </w:r>
    </w:p>
    <w:p>
      <w:pPr>
        <w:spacing w:after="0" w:line="94" w:lineRule="exact"/>
        <w:rPr>
          <w:rFonts w:ascii="Arial" w:cs="Arial" w:eastAsia="Arial" w:hAnsi="Arial"/>
          <w:sz w:val="13"/>
          <w:szCs w:val="13"/>
          <w:color w:val="auto"/>
        </w:rPr>
      </w:pPr>
    </w:p>
    <w:p>
      <w:pPr>
        <w:ind w:left="1060" w:firstLine="755"/>
        <w:spacing w:after="0" w:line="271" w:lineRule="auto"/>
        <w:tabs>
          <w:tab w:leader="none" w:pos="2363" w:val="left"/>
        </w:tabs>
        <w:numPr>
          <w:ilvl w:val="0"/>
          <w:numId w:val="13"/>
        </w:numPr>
        <w:rPr>
          <w:rFonts w:ascii="Arial" w:cs="Arial" w:eastAsia="Arial" w:hAnsi="Arial"/>
          <w:sz w:val="13"/>
          <w:szCs w:val="13"/>
          <w:color w:val="auto"/>
        </w:rPr>
      </w:pPr>
      <w:r>
        <w:rPr>
          <w:rFonts w:ascii="Arial" w:cs="Arial" w:eastAsia="Arial" w:hAnsi="Arial"/>
          <w:sz w:val="13"/>
          <w:szCs w:val="13"/>
          <w:color w:val="auto"/>
        </w:rPr>
        <w:t>Credit Card Receivables which the Agent determines in its reasonable discretion to be uncertain of collection or which do not meet such other reasonable eligibility criteria for Credit Card Receivables as the Agent may determine.</w:t>
      </w:r>
    </w:p>
    <w:p>
      <w:pPr>
        <w:spacing w:after="0" w:line="86"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“Eligible In-Transit Inventory” means, as of any date of determination thereof, without duplication of other Eligible Inventory, In-Transit Inventory:</w:t>
      </w:r>
    </w:p>
    <w:p>
      <w:pPr>
        <w:spacing w:after="0" w:line="121" w:lineRule="exact"/>
        <w:rPr>
          <w:sz w:val="20"/>
          <w:szCs w:val="20"/>
          <w:color w:val="auto"/>
        </w:rPr>
      </w:pPr>
    </w:p>
    <w:p>
      <w:pPr>
        <w:ind w:left="1060" w:firstLine="755"/>
        <w:spacing w:after="0" w:line="271" w:lineRule="auto"/>
        <w:tabs>
          <w:tab w:leader="none" w:pos="2385" w:val="left"/>
        </w:tabs>
        <w:numPr>
          <w:ilvl w:val="0"/>
          <w:numId w:val="14"/>
        </w:numPr>
        <w:rPr>
          <w:rFonts w:ascii="Arial" w:cs="Arial" w:eastAsia="Arial" w:hAnsi="Arial"/>
          <w:sz w:val="13"/>
          <w:szCs w:val="13"/>
          <w:color w:val="auto"/>
        </w:rPr>
      </w:pPr>
      <w:r>
        <w:rPr>
          <w:rFonts w:ascii="Arial" w:cs="Arial" w:eastAsia="Arial" w:hAnsi="Arial"/>
          <w:sz w:val="13"/>
          <w:szCs w:val="13"/>
          <w:color w:val="auto"/>
        </w:rPr>
        <w:t>Which has been shipped from a foreign location for receipt by a Loan Party, but which has not yet been delivered to such Loan Party, which In-Transit Inventory has been in transit for forty-five (45) days or less from the date of shipment of such Inventory;</w:t>
      </w:r>
    </w:p>
    <w:p>
      <w:pPr>
        <w:spacing w:after="0" w:line="94" w:lineRule="exact"/>
        <w:rPr>
          <w:rFonts w:ascii="Arial" w:cs="Arial" w:eastAsia="Arial" w:hAnsi="Arial"/>
          <w:sz w:val="13"/>
          <w:szCs w:val="13"/>
          <w:color w:val="auto"/>
        </w:rPr>
      </w:pPr>
    </w:p>
    <w:p>
      <w:pPr>
        <w:ind w:left="2400" w:hanging="585"/>
        <w:spacing w:after="0"/>
        <w:tabs>
          <w:tab w:leader="none" w:pos="24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For which the purchase order is in the name of a Loan Party and title and risk of loss has passed to such Loan Party;</w:t>
      </w:r>
    </w:p>
    <w:p>
      <w:pPr>
        <w:spacing w:after="0" w:line="120" w:lineRule="exact"/>
        <w:rPr>
          <w:rFonts w:ascii="Arial" w:cs="Arial" w:eastAsia="Arial" w:hAnsi="Arial"/>
          <w:sz w:val="13"/>
          <w:szCs w:val="13"/>
          <w:color w:val="auto"/>
        </w:rPr>
      </w:pPr>
    </w:p>
    <w:p>
      <w:pPr>
        <w:ind w:left="1060" w:firstLine="755"/>
        <w:spacing w:after="0" w:line="271" w:lineRule="auto"/>
        <w:tabs>
          <w:tab w:leader="none" w:pos="2385" w:val="left"/>
        </w:tabs>
        <w:numPr>
          <w:ilvl w:val="0"/>
          <w:numId w:val="14"/>
        </w:numPr>
        <w:rPr>
          <w:rFonts w:ascii="Arial" w:cs="Arial" w:eastAsia="Arial" w:hAnsi="Arial"/>
          <w:sz w:val="13"/>
          <w:szCs w:val="13"/>
          <w:color w:val="auto"/>
        </w:rPr>
      </w:pPr>
      <w:r>
        <w:rPr>
          <w:rFonts w:ascii="Arial" w:cs="Arial" w:eastAsia="Arial" w:hAnsi="Arial"/>
          <w:sz w:val="13"/>
          <w:szCs w:val="13"/>
          <w:color w:val="auto"/>
        </w:rPr>
        <w:t>For which an Acceptable Document of Title has been issued, and in each case as to which the Agent has control (as defined in the UCC) over the documents of title which evidence ownership of the subject Inventory (including, if requested by the Agent, by the delivery of a Customs Broker/Carrier Agreement);</w:t>
      </w:r>
    </w:p>
    <w:p>
      <w:pPr>
        <w:spacing w:after="0" w:line="85" w:lineRule="exact"/>
        <w:rPr>
          <w:rFonts w:ascii="Arial" w:cs="Arial" w:eastAsia="Arial" w:hAnsi="Arial"/>
          <w:sz w:val="13"/>
          <w:szCs w:val="13"/>
          <w:color w:val="auto"/>
        </w:rPr>
      </w:pPr>
    </w:p>
    <w:p>
      <w:pPr>
        <w:ind w:left="2400" w:hanging="585"/>
        <w:spacing w:after="0"/>
        <w:tabs>
          <w:tab w:leader="none" w:pos="24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Which is insured to the reasonable satisfaction of the Agent (including, without limitation, marine cargo insurance);</w:t>
      </w:r>
    </w:p>
    <w:p>
      <w:pPr>
        <w:spacing w:after="0" w:line="129" w:lineRule="exact"/>
        <w:rPr>
          <w:rFonts w:ascii="Arial" w:cs="Arial" w:eastAsia="Arial" w:hAnsi="Arial"/>
          <w:sz w:val="13"/>
          <w:szCs w:val="13"/>
          <w:color w:val="auto"/>
        </w:rPr>
      </w:pPr>
    </w:p>
    <w:p>
      <w:pPr>
        <w:ind w:left="2400" w:hanging="585"/>
        <w:spacing w:after="0"/>
        <w:tabs>
          <w:tab w:leader="none" w:pos="24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Foreign Vendor with respect to such In-Transit Inventory is an Approved Foreign Vendor;</w:t>
      </w:r>
    </w:p>
    <w:p>
      <w:pPr>
        <w:spacing w:after="0" w:line="295"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246" w:right="439" w:bottom="1440" w:gutter="0" w:footer="0" w:header="0"/>
        </w:sectPr>
      </w:pPr>
    </w:p>
    <w:bookmarkStart w:id="27" w:name="page28"/>
    <w:bookmarkEnd w:id="27"/>
    <w:p>
      <w:pPr>
        <w:ind w:left="2380" w:hanging="565"/>
        <w:spacing w:after="0"/>
        <w:tabs>
          <w:tab w:leader="none" w:pos="23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For which payment of the purchase price has been made by the Borrowers or the purchase price is supported by a Commercial Letter of Credit; and</w:t>
      </w:r>
    </w:p>
    <w:p>
      <w:pPr>
        <w:spacing w:after="0" w:line="129" w:lineRule="exact"/>
        <w:rPr>
          <w:rFonts w:ascii="Arial" w:cs="Arial" w:eastAsia="Arial" w:hAnsi="Arial"/>
          <w:sz w:val="13"/>
          <w:szCs w:val="13"/>
          <w:color w:val="auto"/>
        </w:rPr>
      </w:pPr>
    </w:p>
    <w:p>
      <w:pPr>
        <w:ind w:left="2400" w:hanging="585"/>
        <w:spacing w:after="0"/>
        <w:tabs>
          <w:tab w:leader="none" w:pos="24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Which otherwise would constitute Eligible Inventory;</w:t>
      </w:r>
    </w:p>
    <w:p>
      <w:pPr>
        <w:spacing w:after="0" w:line="148" w:lineRule="exact"/>
        <w:rPr>
          <w:sz w:val="20"/>
          <w:szCs w:val="20"/>
          <w:color w:val="auto"/>
        </w:rPr>
      </w:pPr>
    </w:p>
    <w:p>
      <w:pPr>
        <w:jc w:val="both"/>
        <w:ind w:left="1060"/>
        <w:spacing w:after="0" w:line="258" w:lineRule="auto"/>
        <w:rPr>
          <w:sz w:val="20"/>
          <w:szCs w:val="20"/>
          <w:color w:val="auto"/>
        </w:rPr>
      </w:pPr>
      <w:r>
        <w:rPr>
          <w:rFonts w:ascii="Arial" w:cs="Arial" w:eastAsia="Arial" w:hAnsi="Arial"/>
          <w:sz w:val="13"/>
          <w:szCs w:val="13"/>
          <w:color w:val="auto"/>
        </w:rPr>
        <w:t>provided that the Agent may, in its discretion, exclude any particular Inventory from the definition of “Eligible In-Transit Inventory” in the event the Agent determines that such Inventory is subject to any Person’s right of reclamation, repudiation, stoppage in transit or any event has occurred or is reasonably anticipated by the Agent to arise which may otherwise adversely impact the value of such Inventory or the ability of the Agent to realize upon such Inventory.</w:t>
      </w:r>
    </w:p>
    <w:p>
      <w:pPr>
        <w:spacing w:after="0" w:line="121" w:lineRule="exact"/>
        <w:rPr>
          <w:sz w:val="20"/>
          <w:szCs w:val="20"/>
          <w:color w:val="auto"/>
        </w:rPr>
      </w:pPr>
    </w:p>
    <w:p>
      <w:pPr>
        <w:jc w:val="both"/>
        <w:ind w:left="220" w:firstLine="808"/>
        <w:spacing w:after="0" w:line="252" w:lineRule="auto"/>
        <w:rPr>
          <w:sz w:val="20"/>
          <w:szCs w:val="20"/>
          <w:color w:val="auto"/>
        </w:rPr>
      </w:pPr>
      <w:r>
        <w:rPr>
          <w:rFonts w:ascii="Arial" w:cs="Arial" w:eastAsia="Arial" w:hAnsi="Arial"/>
          <w:sz w:val="13"/>
          <w:szCs w:val="13"/>
          <w:color w:val="auto"/>
        </w:rPr>
        <w:t>“Eligible Inventory” means, as of the date of determination thereof, without duplication, (i) Eligible In-Transit Inventory, (ii) Eligible Letters of Credit and (iii) items of Inventory of a Loan Party that are finished goods, merchantable and readily saleable to the public in the ordinary course of the Loan Party’s business deemed by the Agent in its reasonable discretion to be eligible for inclusion in the calculation of the Borrowing Base and the FILO Borrowing Base, in each case that, except as otherwise agreed by the Agent, (A) complies with each of the representations and warranties respecting Inventory made by the Loan Parties in the Loan Documents, and (B) is not excluded as ineligible by virtue of one or more of the criteria set forth below. Except as otherwise agreed by the Agent, in its reasonable discretion, the following items of Inventory shall not be included in Eligible Inventory:</w:t>
      </w:r>
    </w:p>
    <w:p>
      <w:pPr>
        <w:spacing w:after="0" w:line="98" w:lineRule="exact"/>
        <w:rPr>
          <w:sz w:val="20"/>
          <w:szCs w:val="20"/>
          <w:color w:val="auto"/>
        </w:rPr>
      </w:pPr>
    </w:p>
    <w:p>
      <w:pPr>
        <w:ind w:left="1060" w:firstLine="755"/>
        <w:spacing w:after="0" w:line="271" w:lineRule="auto"/>
        <w:tabs>
          <w:tab w:leader="none" w:pos="2385" w:val="left"/>
        </w:tabs>
        <w:numPr>
          <w:ilvl w:val="1"/>
          <w:numId w:val="16"/>
        </w:numPr>
        <w:rPr>
          <w:rFonts w:ascii="Arial" w:cs="Arial" w:eastAsia="Arial" w:hAnsi="Arial"/>
          <w:sz w:val="13"/>
          <w:szCs w:val="13"/>
          <w:color w:val="auto"/>
        </w:rPr>
      </w:pPr>
      <w:r>
        <w:rPr>
          <w:rFonts w:ascii="Arial" w:cs="Arial" w:eastAsia="Arial" w:hAnsi="Arial"/>
          <w:sz w:val="13"/>
          <w:szCs w:val="13"/>
          <w:color w:val="auto"/>
        </w:rPr>
        <w:t>Inventory that is not solely owned by a Loan Party or a Loan Party does not have good and valid title thereto free and clear of any Lien (other than Liens granted to the Agent pursuant to the Security Documents);</w:t>
      </w:r>
    </w:p>
    <w:p>
      <w:pPr>
        <w:spacing w:after="0" w:line="85" w:lineRule="exact"/>
        <w:rPr>
          <w:rFonts w:ascii="Arial" w:cs="Arial" w:eastAsia="Arial" w:hAnsi="Arial"/>
          <w:sz w:val="13"/>
          <w:szCs w:val="13"/>
          <w:color w:val="auto"/>
        </w:rPr>
      </w:pPr>
    </w:p>
    <w:p>
      <w:pPr>
        <w:ind w:left="2400" w:hanging="585"/>
        <w:spacing w:after="0"/>
        <w:tabs>
          <w:tab w:leader="none" w:pos="2400" w:val="left"/>
        </w:tabs>
        <w:numPr>
          <w:ilvl w:val="1"/>
          <w:numId w:val="16"/>
        </w:numPr>
        <w:rPr>
          <w:rFonts w:ascii="Arial" w:cs="Arial" w:eastAsia="Arial" w:hAnsi="Arial"/>
          <w:sz w:val="13"/>
          <w:szCs w:val="13"/>
          <w:color w:val="auto"/>
        </w:rPr>
      </w:pPr>
      <w:r>
        <w:rPr>
          <w:rFonts w:ascii="Arial" w:cs="Arial" w:eastAsia="Arial" w:hAnsi="Arial"/>
          <w:sz w:val="13"/>
          <w:szCs w:val="13"/>
          <w:color w:val="auto"/>
        </w:rPr>
        <w:t>Inventory that is leased by or is on consignment to a Loan Party or which is consigned by a Loan Party to a Person which is not a Loan Party;</w:t>
      </w:r>
    </w:p>
    <w:p>
      <w:pPr>
        <w:spacing w:after="0" w:line="129" w:lineRule="exact"/>
        <w:rPr>
          <w:rFonts w:ascii="Arial" w:cs="Arial" w:eastAsia="Arial" w:hAnsi="Arial"/>
          <w:sz w:val="13"/>
          <w:szCs w:val="13"/>
          <w:color w:val="auto"/>
        </w:rPr>
      </w:pPr>
    </w:p>
    <w:p>
      <w:pPr>
        <w:jc w:val="both"/>
        <w:ind w:left="1060" w:firstLine="755"/>
        <w:spacing w:after="0" w:line="275" w:lineRule="auto"/>
        <w:tabs>
          <w:tab w:leader="none" w:pos="2385" w:val="left"/>
        </w:tabs>
        <w:numPr>
          <w:ilvl w:val="1"/>
          <w:numId w:val="16"/>
        </w:numPr>
        <w:rPr>
          <w:rFonts w:ascii="Arial" w:cs="Arial" w:eastAsia="Arial" w:hAnsi="Arial"/>
          <w:sz w:val="12"/>
          <w:szCs w:val="12"/>
          <w:color w:val="auto"/>
        </w:rPr>
      </w:pPr>
      <w:r>
        <w:rPr>
          <w:rFonts w:ascii="Arial" w:cs="Arial" w:eastAsia="Arial" w:hAnsi="Arial"/>
          <w:sz w:val="12"/>
          <w:szCs w:val="12"/>
          <w:color w:val="auto"/>
        </w:rPr>
        <w:t>Inventory (other than Eligible In-Transit Inventory) that is not located in the United States of America (excluding territories or possessions of the United States) at a location that is owned or leased by a Loan Party, except (i) Inventory in transit between such owned or leased locations, or (ii) to the extent that the Loan Parties have furnished the Agent with</w:t>
      </w:r>
    </w:p>
    <w:p>
      <w:pPr>
        <w:ind w:left="1060" w:firstLine="9"/>
        <w:spacing w:after="0" w:line="255" w:lineRule="auto"/>
        <w:tabs>
          <w:tab w:leader="none" w:pos="1287" w:val="left"/>
        </w:tabs>
        <w:numPr>
          <w:ilvl w:val="0"/>
          <w:numId w:val="17"/>
        </w:numPr>
        <w:rPr>
          <w:rFonts w:ascii="Arial" w:cs="Arial" w:eastAsia="Arial" w:hAnsi="Arial"/>
          <w:sz w:val="13"/>
          <w:szCs w:val="13"/>
          <w:color w:val="auto"/>
        </w:rPr>
      </w:pPr>
      <w:r>
        <w:rPr>
          <w:rFonts w:ascii="Arial" w:cs="Arial" w:eastAsia="Arial" w:hAnsi="Arial"/>
          <w:sz w:val="13"/>
          <w:szCs w:val="13"/>
          <w:color w:val="auto"/>
        </w:rPr>
        <w:t>any UCC financing statements or other documents that the Agent may determine to be necessary to perfect its security interest in such Inventory at such location, and (B) a Collateral Access Agreement executed by the Person owning any such location to the extent required by the Agent;</w:t>
      </w:r>
    </w:p>
    <w:p>
      <w:pPr>
        <w:spacing w:after="0" w:line="95" w:lineRule="exact"/>
        <w:rPr>
          <w:rFonts w:ascii="Arial" w:cs="Arial" w:eastAsia="Arial" w:hAnsi="Arial"/>
          <w:sz w:val="13"/>
          <w:szCs w:val="13"/>
          <w:color w:val="auto"/>
        </w:rPr>
      </w:pPr>
    </w:p>
    <w:p>
      <w:pPr>
        <w:ind w:left="2400" w:hanging="585"/>
        <w:spacing w:after="0"/>
        <w:tabs>
          <w:tab w:leader="none" w:pos="2400" w:val="left"/>
        </w:tabs>
        <w:numPr>
          <w:ilvl w:val="1"/>
          <w:numId w:val="17"/>
        </w:numPr>
        <w:rPr>
          <w:rFonts w:ascii="Arial" w:cs="Arial" w:eastAsia="Arial" w:hAnsi="Arial"/>
          <w:sz w:val="12"/>
          <w:szCs w:val="12"/>
          <w:color w:val="auto"/>
        </w:rPr>
      </w:pPr>
      <w:r>
        <w:rPr>
          <w:rFonts w:ascii="Arial" w:cs="Arial" w:eastAsia="Arial" w:hAnsi="Arial"/>
          <w:sz w:val="12"/>
          <w:szCs w:val="12"/>
          <w:color w:val="auto"/>
        </w:rPr>
        <w:t>Inventory that is located in a distribution center leased by a Loan Party unless the applicable lessor has delivered to the Agent a Collateral Access Agreement;</w:t>
      </w:r>
    </w:p>
    <w:p>
      <w:pPr>
        <w:spacing w:after="0" w:line="132" w:lineRule="exact"/>
        <w:rPr>
          <w:rFonts w:ascii="Arial" w:cs="Arial" w:eastAsia="Arial" w:hAnsi="Arial"/>
          <w:sz w:val="12"/>
          <w:szCs w:val="12"/>
          <w:color w:val="auto"/>
        </w:rPr>
      </w:pPr>
    </w:p>
    <w:p>
      <w:pPr>
        <w:jc w:val="both"/>
        <w:ind w:left="1060" w:firstLine="755"/>
        <w:spacing w:after="0" w:line="282" w:lineRule="auto"/>
        <w:tabs>
          <w:tab w:leader="none" w:pos="2385" w:val="left"/>
        </w:tabs>
        <w:numPr>
          <w:ilvl w:val="1"/>
          <w:numId w:val="17"/>
        </w:numPr>
        <w:rPr>
          <w:rFonts w:ascii="Arial" w:cs="Arial" w:eastAsia="Arial" w:hAnsi="Arial"/>
          <w:sz w:val="12"/>
          <w:szCs w:val="12"/>
          <w:color w:val="auto"/>
        </w:rPr>
      </w:pPr>
      <w:r>
        <w:rPr>
          <w:rFonts w:ascii="Arial" w:cs="Arial" w:eastAsia="Arial" w:hAnsi="Arial"/>
          <w:sz w:val="12"/>
          <w:szCs w:val="12"/>
          <w:color w:val="auto"/>
        </w:rPr>
        <w:t>Inventory that is comprised of goods which (i) are damaged, defective, “seconds,” or otherwise unmerchantable, (ii) are to be returned to the vendor, (iii) are obsolete or slow moving, or custom items, work-in-process, raw materials, or that constitute samples, spare parts, promotional, marketing, labels, bags and other packaging and shipping materials or supplies used or consumed in a Loan Party’s business, (iv) are seasonal in nature and which have been packed away for sale in the subsequent season, (v) not in compliance with all standards imposed by any Governmental Authority having regulatory authority over such Inventory, its use or sale, or (vi) are bill and hold goods;</w:t>
      </w:r>
    </w:p>
    <w:p>
      <w:pPr>
        <w:spacing w:after="0" w:line="90" w:lineRule="exact"/>
        <w:rPr>
          <w:rFonts w:ascii="Arial" w:cs="Arial" w:eastAsia="Arial" w:hAnsi="Arial"/>
          <w:sz w:val="12"/>
          <w:szCs w:val="12"/>
          <w:color w:val="auto"/>
        </w:rPr>
      </w:pPr>
    </w:p>
    <w:p>
      <w:pPr>
        <w:ind w:left="2380" w:hanging="565"/>
        <w:spacing w:after="0"/>
        <w:tabs>
          <w:tab w:leader="none" w:pos="2380" w:val="left"/>
        </w:tabs>
        <w:numPr>
          <w:ilvl w:val="1"/>
          <w:numId w:val="17"/>
        </w:numPr>
        <w:rPr>
          <w:rFonts w:ascii="Arial" w:cs="Arial" w:eastAsia="Arial" w:hAnsi="Arial"/>
          <w:sz w:val="13"/>
          <w:szCs w:val="13"/>
          <w:color w:val="auto"/>
        </w:rPr>
      </w:pPr>
      <w:r>
        <w:rPr>
          <w:rFonts w:ascii="Arial" w:cs="Arial" w:eastAsia="Arial" w:hAnsi="Arial"/>
          <w:sz w:val="13"/>
          <w:szCs w:val="13"/>
          <w:color w:val="auto"/>
        </w:rPr>
        <w:t>Inventory that is not subject to a perfected first-priority security interest in favor of the Agent;</w:t>
      </w:r>
    </w:p>
    <w:p>
      <w:pPr>
        <w:spacing w:after="0" w:line="295"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246" w:right="439" w:bottom="1440" w:gutter="0" w:footer="0" w:header="0"/>
        </w:sectPr>
      </w:pPr>
    </w:p>
    <w:bookmarkStart w:id="28" w:name="page29"/>
    <w:bookmarkEnd w:id="28"/>
    <w:p>
      <w:pPr>
        <w:ind w:left="2400" w:hanging="585"/>
        <w:spacing w:after="0"/>
        <w:tabs>
          <w:tab w:leader="none" w:pos="24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 xml:space="preserve">Inventory that is not insured in compliance with the provisions of </w:t>
      </w:r>
      <w:r>
        <w:rPr>
          <w:rFonts w:ascii="Arial" w:cs="Arial" w:eastAsia="Arial" w:hAnsi="Arial"/>
          <w:sz w:val="13"/>
          <w:szCs w:val="13"/>
          <w:u w:val="single" w:color="auto"/>
          <w:color w:val="auto"/>
        </w:rPr>
        <w:t>Section 5.10</w:t>
      </w:r>
      <w:r>
        <w:rPr>
          <w:rFonts w:ascii="Arial" w:cs="Arial" w:eastAsia="Arial" w:hAnsi="Arial"/>
          <w:sz w:val="13"/>
          <w:szCs w:val="13"/>
          <w:color w:val="auto"/>
        </w:rPr>
        <w:t xml:space="preserve"> hereof;</w:t>
      </w:r>
    </w:p>
    <w:p>
      <w:pPr>
        <w:spacing w:after="0" w:line="122" w:lineRule="exact"/>
        <w:rPr>
          <w:rFonts w:ascii="Arial" w:cs="Arial" w:eastAsia="Arial" w:hAnsi="Arial"/>
          <w:sz w:val="13"/>
          <w:szCs w:val="13"/>
          <w:color w:val="auto"/>
        </w:rPr>
      </w:pPr>
    </w:p>
    <w:p>
      <w:pPr>
        <w:ind w:left="2400" w:hanging="585"/>
        <w:spacing w:after="0"/>
        <w:tabs>
          <w:tab w:leader="none" w:pos="24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Inventory that has been sold but not yet delivered or as to which a Loan Party has accepted a deposit;</w:t>
      </w:r>
    </w:p>
    <w:p>
      <w:pPr>
        <w:spacing w:after="0" w:line="129" w:lineRule="exact"/>
        <w:rPr>
          <w:rFonts w:ascii="Arial" w:cs="Arial" w:eastAsia="Arial" w:hAnsi="Arial"/>
          <w:sz w:val="13"/>
          <w:szCs w:val="13"/>
          <w:color w:val="auto"/>
        </w:rPr>
      </w:pPr>
    </w:p>
    <w:p>
      <w:pPr>
        <w:ind w:left="1060" w:firstLine="755"/>
        <w:spacing w:after="0" w:line="271" w:lineRule="auto"/>
        <w:tabs>
          <w:tab w:leader="none" w:pos="2363"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Inventory that is subject to any licensing, patent, royalty, trademark, trade name or copyright agreement with any third party from which any Loan Party or any of its Subsidiaries has received notice of a dispute in respect of any such agreement; or</w:t>
      </w:r>
    </w:p>
    <w:p>
      <w:pPr>
        <w:spacing w:after="0" w:line="85" w:lineRule="exact"/>
        <w:rPr>
          <w:rFonts w:ascii="Arial" w:cs="Arial" w:eastAsia="Arial" w:hAnsi="Arial"/>
          <w:sz w:val="13"/>
          <w:szCs w:val="13"/>
          <w:color w:val="auto"/>
        </w:rPr>
      </w:pPr>
    </w:p>
    <w:p>
      <w:pPr>
        <w:jc w:val="both"/>
        <w:ind w:left="1060" w:firstLine="755"/>
        <w:spacing w:after="0" w:line="290" w:lineRule="auto"/>
        <w:tabs>
          <w:tab w:leader="none" w:pos="2363"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Inventory acquired in a Permitted Acquisition or which is not of the type usually sold in the ordinary course of the Borrowers’ business, unless and until the Agent has completed or received (A) an appraisal of such Inventory from appraisers satisfactory to the Agent and establishes Inventory Reserves (if applicable) therefor, and otherwise agrees that such Inventory shall be deemed Eligible Inventory, and (B) such other due diligence as the Agent may require, all of the results of the foregoing to be reasonably satisfactory to the Agent.</w:t>
      </w:r>
    </w:p>
    <w:p>
      <w:pPr>
        <w:spacing w:after="0" w:line="103" w:lineRule="exact"/>
        <w:rPr>
          <w:sz w:val="20"/>
          <w:szCs w:val="20"/>
          <w:color w:val="auto"/>
        </w:rPr>
      </w:pPr>
    </w:p>
    <w:p>
      <w:pPr>
        <w:jc w:val="both"/>
        <w:ind w:left="220" w:firstLine="808"/>
        <w:spacing w:after="0" w:line="278" w:lineRule="auto"/>
        <w:rPr>
          <w:sz w:val="20"/>
          <w:szCs w:val="20"/>
          <w:color w:val="auto"/>
        </w:rPr>
      </w:pPr>
      <w:r>
        <w:rPr>
          <w:rFonts w:ascii="Arial" w:cs="Arial" w:eastAsia="Arial" w:hAnsi="Arial"/>
          <w:sz w:val="12"/>
          <w:szCs w:val="12"/>
          <w:color w:val="auto"/>
        </w:rPr>
        <w:t>“Eligible Letter of Credit” means, as of any date of determination thereof, a Commercial Letter of Credit which supports the purchase of Inventory, (a) which Inventory does not constitute Eligible In- Transit Inventory and for which no documents of title have then been issued; (b) which Inventory otherwise would constitute Eligible Inventory when completed, (c) which Commercial Letter of Credit has an expiry within one hundred and eighty (180) days of the date of initial issuance of such Commercial Letter of Credit, (d) which Inventory has been in transit for forty-five (45) days or less from the date of shipment of such Inventory, (e) which Commercial Letter of Credit provides that it may be drawn only after the Inventory is completed and after an Acceptable Document of Title has been issued for such Inventory reflecting a Loan Party or the Agent as consignee of such Inventory, and (f) which will constitute Eligible In-Transit Inventory upon satisfaction of the requirements of clause (e) hereof.</w:t>
      </w:r>
    </w:p>
    <w:p>
      <w:pPr>
        <w:spacing w:after="0" w:line="111"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“Eligible Trade Names” means each Trademark of the Loan Parties deemed by the Agent in its reasonable discretion to be eligible for inclusion in the calculation of the FILO Borrowing Base that, except as otherwise agreed by the Agent, complies with the following criteria:</w:t>
      </w:r>
    </w:p>
    <w:p>
      <w:pPr>
        <w:spacing w:after="0" w:line="86" w:lineRule="exact"/>
        <w:rPr>
          <w:sz w:val="20"/>
          <w:szCs w:val="20"/>
          <w:color w:val="auto"/>
        </w:rPr>
      </w:pPr>
    </w:p>
    <w:p>
      <w:pPr>
        <w:ind w:left="2400" w:hanging="585"/>
        <w:spacing w:after="0"/>
        <w:tabs>
          <w:tab w:leader="none" w:pos="24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such Trademark is validly registered with the United States Patent and Trademark Office;</w:t>
      </w:r>
    </w:p>
    <w:p>
      <w:pPr>
        <w:spacing w:after="0" w:line="129" w:lineRule="exact"/>
        <w:rPr>
          <w:rFonts w:ascii="Arial" w:cs="Arial" w:eastAsia="Arial" w:hAnsi="Arial"/>
          <w:sz w:val="13"/>
          <w:szCs w:val="13"/>
          <w:color w:val="auto"/>
        </w:rPr>
      </w:pPr>
    </w:p>
    <w:p>
      <w:pPr>
        <w:ind w:left="2400" w:hanging="585"/>
        <w:spacing w:after="0"/>
        <w:tabs>
          <w:tab w:leader="none" w:pos="24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 Loan Party owns such Trademark, free and clear of any Liens other than Liens granted to the Agent;</w:t>
      </w:r>
    </w:p>
    <w:p>
      <w:pPr>
        <w:spacing w:after="0" w:line="120" w:lineRule="exact"/>
        <w:rPr>
          <w:rFonts w:ascii="Arial" w:cs="Arial" w:eastAsia="Arial" w:hAnsi="Arial"/>
          <w:sz w:val="13"/>
          <w:szCs w:val="13"/>
          <w:color w:val="auto"/>
        </w:rPr>
      </w:pPr>
    </w:p>
    <w:p>
      <w:pPr>
        <w:ind w:left="1060" w:firstLine="755"/>
        <w:spacing w:after="0" w:line="271" w:lineRule="auto"/>
        <w:tabs>
          <w:tab w:leader="none" w:pos="2385" w:val="left"/>
        </w:tabs>
        <w:numPr>
          <w:ilvl w:val="0"/>
          <w:numId w:val="19"/>
        </w:numPr>
        <w:rPr>
          <w:rFonts w:ascii="Arial" w:cs="Arial" w:eastAsia="Arial" w:hAnsi="Arial"/>
          <w:sz w:val="13"/>
          <w:szCs w:val="13"/>
          <w:color w:val="auto"/>
        </w:rPr>
      </w:pPr>
      <w:r>
        <w:rPr>
          <w:rFonts w:ascii="Arial" w:cs="Arial" w:eastAsia="Arial" w:hAnsi="Arial"/>
          <w:sz w:val="13"/>
          <w:szCs w:val="13"/>
          <w:color w:val="auto"/>
        </w:rPr>
        <w:t>such Loan Party is in compliance in all material respects (subject to any materiality requirements set forth therein) with the representations, warranties and covenants set forth in the Loan Documents relating to such Trademark;</w:t>
      </w:r>
    </w:p>
    <w:p>
      <w:pPr>
        <w:spacing w:after="0" w:line="85" w:lineRule="exact"/>
        <w:rPr>
          <w:rFonts w:ascii="Arial" w:cs="Arial" w:eastAsia="Arial" w:hAnsi="Arial"/>
          <w:sz w:val="13"/>
          <w:szCs w:val="13"/>
          <w:color w:val="auto"/>
        </w:rPr>
      </w:pPr>
    </w:p>
    <w:p>
      <w:pPr>
        <w:ind w:left="1060" w:firstLine="755"/>
        <w:spacing w:after="0" w:line="271" w:lineRule="auto"/>
        <w:tabs>
          <w:tab w:leader="none" w:pos="2392"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Agent shall have received an appraisal (based upon Appraised Value) of such Trademark by a third party appraiser reasonably acceptable to the Agent and otherwise in form and substance reasonably satisfactory to the Agent; and</w:t>
      </w:r>
    </w:p>
    <w:p>
      <w:pPr>
        <w:spacing w:after="0" w:line="94" w:lineRule="exact"/>
        <w:rPr>
          <w:rFonts w:ascii="Arial" w:cs="Arial" w:eastAsia="Arial" w:hAnsi="Arial"/>
          <w:sz w:val="13"/>
          <w:szCs w:val="13"/>
          <w:color w:val="auto"/>
        </w:rPr>
      </w:pPr>
    </w:p>
    <w:p>
      <w:pPr>
        <w:jc w:val="both"/>
        <w:ind w:left="1060" w:firstLine="755"/>
        <w:spacing w:after="0" w:line="258" w:lineRule="auto"/>
        <w:tabs>
          <w:tab w:leader="none" w:pos="2385"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Agent shall have received evidence reasonably satisfactory to the Agent that (i) all actions have been taken that the Agent may reasonably deem necessary or appropriate in order to create valid first and subsisting Liens in favor of the Agent, and (ii) all filings reasonably requested by the Agent have been filed with the United States Patent and Trademark Office to further evidence the Agent’s Lien on such Trademark.</w:t>
      </w:r>
    </w:p>
    <w:p>
      <w:pPr>
        <w:spacing w:after="0" w:line="269"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29" w:name="page30"/>
    <w:bookmarkEnd w:id="29"/>
    <w:p>
      <w:pPr>
        <w:jc w:val="both"/>
        <w:ind w:left="220" w:firstLine="808"/>
        <w:spacing w:after="0" w:line="259" w:lineRule="auto"/>
        <w:rPr>
          <w:sz w:val="20"/>
          <w:szCs w:val="20"/>
          <w:color w:val="auto"/>
        </w:rPr>
      </w:pPr>
      <w:r>
        <w:rPr>
          <w:rFonts w:ascii="Arial" w:cs="Arial" w:eastAsia="Arial" w:hAnsi="Arial"/>
          <w:sz w:val="13"/>
          <w:szCs w:val="13"/>
          <w:color w:val="auto"/>
        </w:rPr>
        <w:t>“Environmental Laws”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94" w:lineRule="exact"/>
        <w:rPr>
          <w:sz w:val="20"/>
          <w:szCs w:val="20"/>
          <w:color w:val="auto"/>
        </w:rPr>
      </w:pPr>
    </w:p>
    <w:p>
      <w:pPr>
        <w:jc w:val="both"/>
        <w:ind w:left="220" w:firstLine="808"/>
        <w:spacing w:after="0" w:line="272" w:lineRule="auto"/>
        <w:rPr>
          <w:sz w:val="20"/>
          <w:szCs w:val="20"/>
          <w:color w:val="auto"/>
        </w:rPr>
      </w:pPr>
      <w:r>
        <w:rPr>
          <w:rFonts w:ascii="Arial" w:cs="Arial" w:eastAsia="Arial" w:hAnsi="Arial"/>
          <w:sz w:val="12"/>
          <w:szCs w:val="12"/>
          <w:color w:val="auto"/>
        </w:rPr>
        <w:t>“Environmental Liability” means any liability, obligation, damage, loss, claim, action, suit, judgment, order, fine, penalty, fee, expense, or cost, contingent or otherwise (including any liability for damages, costs of environmental remediation, fines, penalties or indemnities), of any Borrower, any other Loan Party or any of their respective Subsidiaries directly or indirectly resulting from or based upon (a) violation of any Environmental Law, (b) the generation, use, handling, transportation, storage, treatment or disposal or presence of any Hazardous Materials, (c) exposure to any Hazardous Materials,</w:t>
      </w:r>
    </w:p>
    <w:p>
      <w:pPr>
        <w:ind w:left="220" w:firstLine="5"/>
        <w:spacing w:after="0" w:line="255" w:lineRule="auto"/>
        <w:tabs>
          <w:tab w:leader="none" w:pos="413"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release or threatened release of any Hazardous Materials into the environment or (e) any contract, agreement or other consensual arrangement pursuant to which liability is assumed or imposed with respect to any of the foregoing.</w:t>
      </w:r>
    </w:p>
    <w:p>
      <w:pPr>
        <w:spacing w:after="0" w:line="105"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“Equipment” has the meaning set forth in the UCC.</w:t>
      </w:r>
    </w:p>
    <w:p>
      <w:pPr>
        <w:spacing w:after="0" w:line="121" w:lineRule="exact"/>
        <w:rPr>
          <w:sz w:val="20"/>
          <w:szCs w:val="20"/>
          <w:color w:val="auto"/>
        </w:rPr>
      </w:pPr>
    </w:p>
    <w:p>
      <w:pPr>
        <w:jc w:val="both"/>
        <w:ind w:left="220" w:firstLine="808"/>
        <w:spacing w:after="0" w:line="252" w:lineRule="auto"/>
        <w:rPr>
          <w:sz w:val="20"/>
          <w:szCs w:val="20"/>
          <w:color w:val="auto"/>
        </w:rPr>
      </w:pPr>
      <w:r>
        <w:rPr>
          <w:rFonts w:ascii="Arial" w:cs="Arial" w:eastAsia="Arial" w:hAnsi="Arial"/>
          <w:sz w:val="13"/>
          <w:szCs w:val="13"/>
          <w:color w:val="auto"/>
        </w:rPr>
        <w:t>“Equity Interests”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“ERISA” means the Employee Retirement Income Security Act of 1974, as amended.</w:t>
      </w:r>
    </w:p>
    <w:p>
      <w:pPr>
        <w:spacing w:after="0" w:line="130"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“ERISA Affiliate” means any trade or business (whether or not incorporated) under common control with the Borrowers within the meaning of Section 414(b) or (c) of the Code (and Sections 414(m) and (o) of the Code for purposes of provisions relating to Section 412 of the Code).</w:t>
      </w:r>
    </w:p>
    <w:p>
      <w:pPr>
        <w:spacing w:after="0" w:line="86" w:lineRule="exact"/>
        <w:rPr>
          <w:sz w:val="20"/>
          <w:szCs w:val="20"/>
          <w:color w:val="auto"/>
        </w:rPr>
      </w:pPr>
    </w:p>
    <w:p>
      <w:pPr>
        <w:jc w:val="both"/>
        <w:ind w:left="220" w:firstLine="808"/>
        <w:spacing w:after="0" w:line="274" w:lineRule="auto"/>
        <w:rPr>
          <w:sz w:val="20"/>
          <w:szCs w:val="20"/>
          <w:color w:val="auto"/>
        </w:rPr>
      </w:pPr>
      <w:r>
        <w:rPr>
          <w:rFonts w:ascii="Arial" w:cs="Arial" w:eastAsia="Arial" w:hAnsi="Arial"/>
          <w:sz w:val="12"/>
          <w:szCs w:val="12"/>
          <w:color w:val="auto"/>
        </w:rPr>
        <w:t>“ERISA Event” means (a) a Reportable Event with respect to a Pension Plan; (b) the withdrawal of the Borrowers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Borrowers or any ERISA Affiliate from a Multiemployer Plan or notification that a Multiemployer Plan is in reorganization;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or (h) the imposition of any liability under Title IV of ERISA, other than for PBGC premiums due but not delinquent under Section 4007 of ERISA, upon the Borrowers or any ERISA Affiliate.</w:t>
      </w:r>
    </w:p>
    <w:p>
      <w:pPr>
        <w:spacing w:after="0" w:line="86"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“EU Bail-In Legislation Schedule” means the EU Bail-In Legislation Schedule published by the Loan Market Association (or any successor person), as in effect from time to time.</w:t>
      </w:r>
    </w:p>
    <w:p>
      <w:pPr>
        <w:spacing w:after="0" w:line="295"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30" w:name="page31"/>
    <w:bookmarkEnd w:id="30"/>
    <w:p>
      <w:pPr>
        <w:jc w:val="both"/>
        <w:ind w:left="220" w:firstLine="808"/>
        <w:spacing w:after="0" w:line="274" w:lineRule="auto"/>
        <w:rPr>
          <w:sz w:val="20"/>
          <w:szCs w:val="20"/>
          <w:color w:val="auto"/>
        </w:rPr>
      </w:pPr>
      <w:r>
        <w:rPr>
          <w:rFonts w:ascii="Arial" w:cs="Arial" w:eastAsia="Arial" w:hAnsi="Arial"/>
          <w:sz w:val="13"/>
          <w:szCs w:val="13"/>
          <w:color w:val="auto"/>
        </w:rPr>
        <w:t xml:space="preserve">“Event of Default” has the meaning specified in </w:t>
      </w:r>
      <w:r>
        <w:rPr>
          <w:rFonts w:ascii="Arial" w:cs="Arial" w:eastAsia="Arial" w:hAnsi="Arial"/>
          <w:sz w:val="13"/>
          <w:szCs w:val="13"/>
          <w:u w:val="single" w:color="auto"/>
          <w:color w:val="auto"/>
        </w:rPr>
        <w:t>Section 8.01</w:t>
      </w:r>
      <w:r>
        <w:rPr>
          <w:rFonts w:ascii="Arial" w:cs="Arial" w:eastAsia="Arial" w:hAnsi="Arial"/>
          <w:sz w:val="13"/>
          <w:szCs w:val="13"/>
          <w:color w:val="auto"/>
        </w:rPr>
        <w:t xml:space="preserve">. An Event of Default shall be deemed to be continuing unless and until that Event of Default has been duly waived as provided in </w:t>
      </w:r>
      <w:r>
        <w:rPr>
          <w:rFonts w:ascii="Arial" w:cs="Arial" w:eastAsia="Arial" w:hAnsi="Arial"/>
          <w:sz w:val="13"/>
          <w:szCs w:val="13"/>
          <w:u w:val="single" w:color="auto"/>
          <w:color w:val="auto"/>
        </w:rPr>
        <w:t>Section 10.01</w:t>
      </w:r>
      <w:r>
        <w:rPr>
          <w:rFonts w:ascii="Arial" w:cs="Arial" w:eastAsia="Arial" w:hAnsi="Arial"/>
          <w:sz w:val="13"/>
          <w:szCs w:val="13"/>
          <w:color w:val="auto"/>
        </w:rPr>
        <w:t xml:space="preserve"> hereof.</w:t>
      </w:r>
    </w:p>
    <w:p>
      <w:pPr>
        <w:spacing w:after="0" w:line="83" w:lineRule="exact"/>
        <w:rPr>
          <w:sz w:val="20"/>
          <w:szCs w:val="20"/>
          <w:color w:val="auto"/>
        </w:rPr>
      </w:pPr>
    </w:p>
    <w:p>
      <w:pPr>
        <w:jc w:val="both"/>
        <w:ind w:left="220" w:firstLine="808"/>
        <w:spacing w:after="0" w:line="275" w:lineRule="auto"/>
        <w:rPr>
          <w:sz w:val="20"/>
          <w:szCs w:val="20"/>
          <w:color w:val="auto"/>
        </w:rPr>
      </w:pPr>
      <w:r>
        <w:rPr>
          <w:rFonts w:ascii="Arial" w:cs="Arial" w:eastAsia="Arial" w:hAnsi="Arial"/>
          <w:sz w:val="12"/>
          <w:szCs w:val="12"/>
          <w:color w:val="auto"/>
        </w:rPr>
        <w:t xml:space="preserve">“Excluded Swap Obligation” means, with respect to any Loan Party, any Swap Obligation if, and to the extent that, all or a portion of the guaranty of such Loan Party under the Facility Guaranty of, or the grant under a Loan Document by such Loan Party of a security interest to secure, such Swap Obligation (or any guaranty thereof) is or becomes illegal under the Commodity Exchange Act (or the application or official interpretation thereof) by virtue of such Loan Party’s failure for any reason to constitute an “eligible contract participant” as defined in the Commodity Exchange Act (determined after giving effect to </w:t>
      </w:r>
      <w:r>
        <w:rPr>
          <w:rFonts w:ascii="Arial" w:cs="Arial" w:eastAsia="Arial" w:hAnsi="Arial"/>
          <w:sz w:val="12"/>
          <w:szCs w:val="12"/>
          <w:u w:val="single" w:color="auto"/>
          <w:color w:val="auto"/>
        </w:rPr>
        <w:t>Section 10.25</w:t>
      </w:r>
      <w:r>
        <w:rPr>
          <w:rFonts w:ascii="Arial" w:cs="Arial" w:eastAsia="Arial" w:hAnsi="Arial"/>
          <w:sz w:val="12"/>
          <w:szCs w:val="12"/>
          <w:color w:val="auto"/>
        </w:rPr>
        <w:t xml:space="preserve"> hereof and any and all guarantees of such Loan Party’s Swap Obligations by other Loan Parties) at the time the guaranty of such Loan Party, or grant by such Loan Party of a security interest, becomes effective with respect to such Swap Obligation. If a Swap Obligation arises under a Master Agreement governing more than one Swap Contract, such exclusion shall apply only to the portion of such Swap Obligation that is attributable to Swap Contracts for which such guaranty or security interest becomes illegal.</w:t>
      </w:r>
    </w:p>
    <w:p>
      <w:pPr>
        <w:spacing w:after="0" w:line="96" w:lineRule="exact"/>
        <w:rPr>
          <w:sz w:val="20"/>
          <w:szCs w:val="20"/>
          <w:color w:val="auto"/>
        </w:rPr>
      </w:pPr>
    </w:p>
    <w:p>
      <w:pPr>
        <w:jc w:val="both"/>
        <w:ind w:left="220" w:firstLine="808"/>
        <w:spacing w:after="0" w:line="249" w:lineRule="auto"/>
        <w:rPr>
          <w:sz w:val="20"/>
          <w:szCs w:val="20"/>
          <w:color w:val="auto"/>
        </w:rPr>
      </w:pPr>
      <w:r>
        <w:rPr>
          <w:rFonts w:ascii="Arial" w:cs="Arial" w:eastAsia="Arial" w:hAnsi="Arial"/>
          <w:sz w:val="13"/>
          <w:szCs w:val="13"/>
          <w:color w:val="auto"/>
        </w:rPr>
        <w:t xml:space="preserve">“Excluded Taxes”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Borrowers under </w:t>
      </w:r>
      <w:r>
        <w:rPr>
          <w:rFonts w:ascii="Arial" w:cs="Arial" w:eastAsia="Arial" w:hAnsi="Arial"/>
          <w:sz w:val="13"/>
          <w:szCs w:val="13"/>
          <w:u w:val="single" w:color="auto"/>
          <w:color w:val="auto"/>
        </w:rPr>
        <w:t>Section 10.13</w:t>
      </w:r>
      <w:r>
        <w:rPr>
          <w:rFonts w:ascii="Arial" w:cs="Arial" w:eastAsia="Arial" w:hAnsi="Arial"/>
          <w:sz w:val="13"/>
          <w:szCs w:val="13"/>
          <w:color w:val="auto"/>
        </w:rPr>
        <w:t xml:space="preserve">) or (ii) such Lender changes its Lending Office, except in each case to the extent that, pursuant to </w:t>
      </w:r>
      <w:r>
        <w:rPr>
          <w:rFonts w:ascii="Arial" w:cs="Arial" w:eastAsia="Arial" w:hAnsi="Arial"/>
          <w:sz w:val="13"/>
          <w:szCs w:val="13"/>
          <w:u w:val="single" w:color="auto"/>
          <w:color w:val="auto"/>
        </w:rPr>
        <w:t>Section 3.01(a)(ii)</w:t>
      </w:r>
      <w:r>
        <w:rPr>
          <w:rFonts w:ascii="Arial" w:cs="Arial" w:eastAsia="Arial" w:hAnsi="Arial"/>
          <w:sz w:val="13"/>
          <w:szCs w:val="13"/>
          <w:color w:val="auto"/>
        </w:rPr>
        <w:t xml:space="preserve"> or (c),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3"/>
          <w:szCs w:val="13"/>
          <w:u w:val="single" w:color="auto"/>
          <w:color w:val="auto"/>
        </w:rPr>
        <w:t>Section 3.01(e)</w:t>
      </w:r>
      <w:r>
        <w:rPr>
          <w:rFonts w:ascii="Arial" w:cs="Arial" w:eastAsia="Arial" w:hAnsi="Arial"/>
          <w:sz w:val="13"/>
          <w:szCs w:val="13"/>
          <w:color w:val="auto"/>
        </w:rPr>
        <w:t xml:space="preserve"> and (d) any U.S. federal withholding Taxes imposed pursuant to FATCA.</w:t>
      </w:r>
    </w:p>
    <w:p>
      <w:pPr>
        <w:spacing w:after="0" w:line="101"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 xml:space="preserve">“Executive Order” has the meaning set forth in </w:t>
      </w:r>
      <w:r>
        <w:rPr>
          <w:rFonts w:ascii="Arial" w:cs="Arial" w:eastAsia="Arial" w:hAnsi="Arial"/>
          <w:sz w:val="13"/>
          <w:szCs w:val="13"/>
          <w:u w:val="single" w:color="auto"/>
          <w:color w:val="auto"/>
        </w:rPr>
        <w:t>Section 10.18</w:t>
      </w:r>
      <w:r>
        <w:rPr>
          <w:rFonts w:ascii="Arial" w:cs="Arial" w:eastAsia="Arial" w:hAnsi="Arial"/>
          <w:sz w:val="13"/>
          <w:szCs w:val="13"/>
          <w:color w:val="auto"/>
        </w:rPr>
        <w:t>.</w:t>
      </w:r>
    </w:p>
    <w:p>
      <w:pPr>
        <w:spacing w:after="0" w:line="121"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“Existing Credit Agreement” means that certain Sixth Amended and Restated Loan and Security Agreement, dated as of November 10, 2010, among the Loan Parties, Bank of America, as agent, and a syndicate of lenders.</w:t>
      </w:r>
    </w:p>
    <w:p>
      <w:pPr>
        <w:spacing w:after="0" w:line="356"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 xml:space="preserve">“Existing Letters of Credit” means the letters of credit issued under the Existing Credit Agreement and set forth on </w:t>
      </w:r>
      <w:r>
        <w:rPr>
          <w:rFonts w:ascii="Arial" w:cs="Arial" w:eastAsia="Arial" w:hAnsi="Arial"/>
          <w:sz w:val="13"/>
          <w:szCs w:val="13"/>
          <w:u w:val="single" w:color="auto"/>
          <w:color w:val="auto"/>
        </w:rPr>
        <w:t>Schedule 2.03</w:t>
      </w:r>
      <w:r>
        <w:rPr>
          <w:rFonts w:ascii="Arial" w:cs="Arial" w:eastAsia="Arial" w:hAnsi="Arial"/>
          <w:sz w:val="13"/>
          <w:szCs w:val="13"/>
          <w:color w:val="auto"/>
        </w:rPr>
        <w:t xml:space="preserve"> hereto.</w:t>
      </w:r>
    </w:p>
    <w:p>
      <w:pPr>
        <w:spacing w:after="0" w:line="121"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“Existing Term Loan Agreement” means that certain Term Loan Agreement, dated as of October 29, 2014, by and among the Borrowers, the lenders party thereto, and Wells Fargo Bank, National Association, as agent (the “Term Loan Agent”).</w:t>
      </w:r>
    </w:p>
    <w:p>
      <w:pPr>
        <w:spacing w:after="0" w:line="95"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“Facility Guaranty” means the Second Amended and Restated Guaranty dated as of the Closing Date and made by the Guarantors in favor of the Agent and the other Credit Parties, in form reasonably satisfactory to the Agent.</w:t>
      </w:r>
    </w:p>
    <w:p>
      <w:pPr>
        <w:spacing w:after="0" w:line="260"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31" w:name="page32"/>
    <w:bookmarkEnd w:id="31"/>
    <w:p>
      <w:pPr>
        <w:ind w:left="1040"/>
        <w:spacing w:after="0"/>
        <w:rPr>
          <w:sz w:val="20"/>
          <w:szCs w:val="20"/>
          <w:color w:val="auto"/>
        </w:rPr>
      </w:pPr>
      <w:r>
        <w:rPr>
          <w:rFonts w:ascii="Arial" w:cs="Arial" w:eastAsia="Arial" w:hAnsi="Arial"/>
          <w:sz w:val="13"/>
          <w:szCs w:val="13"/>
          <w:color w:val="auto"/>
        </w:rPr>
        <w:t>“FASB” means the Financial Accounting Standards Board, which promulgates accounting standards.</w:t>
      </w:r>
    </w:p>
    <w:p>
      <w:pPr>
        <w:spacing w:after="0" w:line="122" w:lineRule="exact"/>
        <w:rPr>
          <w:sz w:val="20"/>
          <w:szCs w:val="20"/>
          <w:color w:val="auto"/>
        </w:rPr>
      </w:pPr>
    </w:p>
    <w:p>
      <w:pPr>
        <w:jc w:val="both"/>
        <w:ind w:left="220" w:firstLine="808"/>
        <w:spacing w:after="0" w:line="258" w:lineRule="auto"/>
        <w:rPr>
          <w:sz w:val="20"/>
          <w:szCs w:val="20"/>
          <w:color w:val="auto"/>
        </w:rPr>
      </w:pPr>
      <w:r>
        <w:rPr>
          <w:rFonts w:ascii="Arial" w:cs="Arial" w:eastAsia="Arial" w:hAnsi="Arial"/>
          <w:sz w:val="13"/>
          <w:szCs w:val="13"/>
          <w:color w:val="auto"/>
        </w:rPr>
        <w:t>“FATCA”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entered into in connection with the implementation of such Sections of the Code.</w:t>
      </w:r>
    </w:p>
    <w:p>
      <w:pPr>
        <w:spacing w:after="0" w:line="103"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“FCPA” means the Foreign Corrupt Practices Act of 1977, as amended, and the rules and regulations thereunder.</w:t>
      </w:r>
    </w:p>
    <w:p>
      <w:pPr>
        <w:spacing w:after="0" w:line="121" w:lineRule="exact"/>
        <w:rPr>
          <w:sz w:val="20"/>
          <w:szCs w:val="20"/>
          <w:color w:val="auto"/>
        </w:rPr>
      </w:pPr>
    </w:p>
    <w:p>
      <w:pPr>
        <w:jc w:val="both"/>
        <w:ind w:left="220" w:firstLine="808"/>
        <w:spacing w:after="0" w:line="252" w:lineRule="auto"/>
        <w:rPr>
          <w:sz w:val="20"/>
          <w:szCs w:val="20"/>
          <w:color w:val="auto"/>
        </w:rPr>
      </w:pPr>
      <w:r>
        <w:rPr>
          <w:rFonts w:ascii="Arial" w:cs="Arial" w:eastAsia="Arial" w:hAnsi="Arial"/>
          <w:sz w:val="13"/>
          <w:szCs w:val="13"/>
          <w:color w:val="auto"/>
        </w:rPr>
        <w:t>“Federal Funds Rate” 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provided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the Agent.</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“Fee Letter” means the letter agreement, dated May 7, 2018, among the Lead Borrower, the Agent and the Arranger.</w:t>
      </w:r>
    </w:p>
    <w:p>
      <w:pPr>
        <w:spacing w:after="0" w:line="130"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“FILO Advance Rate” shall mean the percentages set forth below:</w:t>
      </w:r>
    </w:p>
    <w:p>
      <w:pPr>
        <w:spacing w:after="0" w:line="138" w:lineRule="exact"/>
        <w:rPr>
          <w:sz w:val="20"/>
          <w:szCs w:val="20"/>
          <w:color w:val="auto"/>
        </w:rPr>
      </w:pPr>
    </w:p>
    <w:tbl>
      <w:tblPr>
        <w:tblLayout w:type="fixed"/>
        <w:tblInd w:w="1190" w:type="dxa"/>
        <w:tblCellMar>
          <w:top w:w="0" w:type="dxa"/>
          <w:left w:w="0" w:type="dxa"/>
          <w:bottom w:w="0" w:type="dxa"/>
          <w:right w:w="0" w:type="dxa"/>
        </w:tblCellMar>
      </w:tblPr>
      <w:tr>
        <w:trPr>
          <w:trHeight w:val="175"/>
        </w:trPr>
        <w:tc>
          <w:tcPr>
            <w:tcW w:w="426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Period</w:t>
            </w:r>
          </w:p>
        </w:tc>
        <w:tc>
          <w:tcPr>
            <w:tcW w:w="28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FILO Advance Rate</w:t>
            </w:r>
          </w:p>
        </w:tc>
      </w:tr>
      <w:tr>
        <w:trPr>
          <w:trHeight w:val="123"/>
        </w:trPr>
        <w:tc>
          <w:tcPr>
            <w:tcW w:w="4260" w:type="dxa"/>
            <w:vAlign w:val="bottom"/>
            <w:tcBorders>
              <w:left w:val="single" w:sz="8" w:color="auto"/>
              <w:bottom w:val="single" w:sz="8" w:color="auto"/>
              <w:right w:val="single" w:sz="8" w:color="auto"/>
            </w:tcBorders>
          </w:tcPr>
          <w:p>
            <w:pPr>
              <w:spacing w:after="0"/>
              <w:rPr>
                <w:sz w:val="10"/>
                <w:szCs w:val="10"/>
                <w:color w:val="auto"/>
              </w:rPr>
            </w:pPr>
          </w:p>
        </w:tc>
        <w:tc>
          <w:tcPr>
            <w:tcW w:w="2820" w:type="dxa"/>
            <w:vAlign w:val="bottom"/>
            <w:tcBorders>
              <w:bottom w:val="single" w:sz="8" w:color="auto"/>
              <w:right w:val="single" w:sz="8" w:color="auto"/>
            </w:tcBorders>
          </w:tcPr>
          <w:p>
            <w:pPr>
              <w:spacing w:after="0"/>
              <w:rPr>
                <w:sz w:val="10"/>
                <w:szCs w:val="10"/>
                <w:color w:val="auto"/>
              </w:rPr>
            </w:pPr>
          </w:p>
        </w:tc>
      </w:tr>
      <w:tr>
        <w:trPr>
          <w:trHeight w:val="155"/>
        </w:trPr>
        <w:tc>
          <w:tcPr>
            <w:tcW w:w="42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From the Closing Date until the first anniversary of the Closing Date</w:t>
            </w:r>
          </w:p>
        </w:tc>
        <w:tc>
          <w:tcPr>
            <w:tcW w:w="28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10%</w:t>
            </w:r>
          </w:p>
        </w:tc>
      </w:tr>
      <w:tr>
        <w:trPr>
          <w:trHeight w:val="276"/>
        </w:trPr>
        <w:tc>
          <w:tcPr>
            <w:tcW w:w="4260" w:type="dxa"/>
            <w:vAlign w:val="bottom"/>
            <w:tcBorders>
              <w:left w:val="single" w:sz="8" w:color="auto"/>
              <w:bottom w:val="single" w:sz="8" w:color="auto"/>
              <w:right w:val="single" w:sz="8" w:color="auto"/>
            </w:tcBorders>
          </w:tcPr>
          <w:p>
            <w:pPr>
              <w:spacing w:after="0"/>
              <w:rPr>
                <w:sz w:val="23"/>
                <w:szCs w:val="23"/>
                <w:color w:val="auto"/>
              </w:rPr>
            </w:pPr>
          </w:p>
        </w:tc>
        <w:tc>
          <w:tcPr>
            <w:tcW w:w="2820" w:type="dxa"/>
            <w:vAlign w:val="bottom"/>
            <w:tcBorders>
              <w:bottom w:val="single" w:sz="8" w:color="auto"/>
              <w:right w:val="single" w:sz="8" w:color="auto"/>
            </w:tcBorders>
          </w:tcPr>
          <w:p>
            <w:pPr>
              <w:spacing w:after="0"/>
              <w:rPr>
                <w:sz w:val="23"/>
                <w:szCs w:val="23"/>
                <w:color w:val="auto"/>
              </w:rPr>
            </w:pPr>
          </w:p>
        </w:tc>
      </w:tr>
      <w:tr>
        <w:trPr>
          <w:trHeight w:val="132"/>
        </w:trPr>
        <w:tc>
          <w:tcPr>
            <w:tcW w:w="4260" w:type="dxa"/>
            <w:vAlign w:val="bottom"/>
            <w:tcBorders>
              <w:left w:val="single" w:sz="8" w:color="auto"/>
              <w:right w:val="single" w:sz="8" w:color="auto"/>
            </w:tcBorders>
          </w:tcPr>
          <w:p>
            <w:pPr>
              <w:ind w:left="80"/>
              <w:spacing w:after="0" w:line="132" w:lineRule="exact"/>
              <w:rPr>
                <w:sz w:val="20"/>
                <w:szCs w:val="20"/>
                <w:color w:val="auto"/>
              </w:rPr>
            </w:pPr>
            <w:r>
              <w:rPr>
                <w:rFonts w:ascii="Arial" w:cs="Arial" w:eastAsia="Arial" w:hAnsi="Arial"/>
                <w:sz w:val="13"/>
                <w:szCs w:val="13"/>
                <w:color w:val="auto"/>
                <w:w w:val="93"/>
              </w:rPr>
              <w:t>From the first anniversary of the Closing Date until the second anniversary of</w:t>
            </w:r>
          </w:p>
        </w:tc>
        <w:tc>
          <w:tcPr>
            <w:tcW w:w="2820" w:type="dxa"/>
            <w:vAlign w:val="bottom"/>
            <w:tcBorders>
              <w:right w:val="single" w:sz="8" w:color="auto"/>
            </w:tcBorders>
          </w:tcPr>
          <w:p>
            <w:pPr>
              <w:ind w:left="60"/>
              <w:spacing w:after="0" w:line="132" w:lineRule="exact"/>
              <w:rPr>
                <w:sz w:val="20"/>
                <w:szCs w:val="20"/>
                <w:color w:val="auto"/>
              </w:rPr>
            </w:pPr>
            <w:r>
              <w:rPr>
                <w:rFonts w:ascii="Arial" w:cs="Arial" w:eastAsia="Arial" w:hAnsi="Arial"/>
                <w:sz w:val="13"/>
                <w:szCs w:val="13"/>
                <w:color w:val="auto"/>
              </w:rPr>
              <w:t>7.5%</w:t>
            </w:r>
          </w:p>
        </w:tc>
      </w:tr>
      <w:tr>
        <w:trPr>
          <w:trHeight w:val="166"/>
        </w:trPr>
        <w:tc>
          <w:tcPr>
            <w:tcW w:w="42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the Closing Date</w:t>
            </w:r>
          </w:p>
        </w:tc>
        <w:tc>
          <w:tcPr>
            <w:tcW w:w="2820" w:type="dxa"/>
            <w:vAlign w:val="bottom"/>
            <w:tcBorders>
              <w:right w:val="single" w:sz="8" w:color="auto"/>
            </w:tcBorders>
          </w:tcPr>
          <w:p>
            <w:pPr>
              <w:spacing w:after="0"/>
              <w:rPr>
                <w:sz w:val="14"/>
                <w:szCs w:val="14"/>
                <w:color w:val="auto"/>
              </w:rPr>
            </w:pPr>
          </w:p>
        </w:tc>
      </w:tr>
      <w:tr>
        <w:trPr>
          <w:trHeight w:val="286"/>
        </w:trPr>
        <w:tc>
          <w:tcPr>
            <w:tcW w:w="426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spacing w:after="0"/>
              <w:rPr>
                <w:sz w:val="24"/>
                <w:szCs w:val="24"/>
                <w:color w:val="auto"/>
              </w:rPr>
            </w:pPr>
          </w:p>
        </w:tc>
      </w:tr>
      <w:tr>
        <w:trPr>
          <w:trHeight w:val="155"/>
        </w:trPr>
        <w:tc>
          <w:tcPr>
            <w:tcW w:w="42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From the second anniversary of the Closing Date until the Maturity Date</w:t>
            </w:r>
          </w:p>
        </w:tc>
        <w:tc>
          <w:tcPr>
            <w:tcW w:w="28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5%</w:t>
            </w:r>
          </w:p>
        </w:tc>
      </w:tr>
      <w:tr>
        <w:trPr>
          <w:trHeight w:val="276"/>
        </w:trPr>
        <w:tc>
          <w:tcPr>
            <w:tcW w:w="4260" w:type="dxa"/>
            <w:vAlign w:val="bottom"/>
            <w:tcBorders>
              <w:left w:val="single" w:sz="8" w:color="auto"/>
              <w:bottom w:val="single" w:sz="8" w:color="auto"/>
              <w:right w:val="single" w:sz="8" w:color="auto"/>
            </w:tcBorders>
          </w:tcPr>
          <w:p>
            <w:pPr>
              <w:spacing w:after="0"/>
              <w:rPr>
                <w:sz w:val="23"/>
                <w:szCs w:val="23"/>
                <w:color w:val="auto"/>
              </w:rPr>
            </w:pPr>
          </w:p>
        </w:tc>
        <w:tc>
          <w:tcPr>
            <w:tcW w:w="2820" w:type="dxa"/>
            <w:vAlign w:val="bottom"/>
            <w:tcBorders>
              <w:bottom w:val="single" w:sz="8" w:color="auto"/>
              <w:right w:val="single" w:sz="8" w:color="auto"/>
            </w:tcBorders>
          </w:tcPr>
          <w:p>
            <w:pPr>
              <w:spacing w:after="0"/>
              <w:rPr>
                <w:sz w:val="23"/>
                <w:szCs w:val="23"/>
                <w:color w:val="auto"/>
              </w:rPr>
            </w:pPr>
          </w:p>
        </w:tc>
      </w:tr>
    </w:tbl>
    <w:p>
      <w:pPr>
        <w:spacing w:after="0" w:line="15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“FILO Borrowing Base” means, at any time of calculation, an amount equal to:</w:t>
      </w:r>
    </w:p>
    <w:p>
      <w:pPr>
        <w:spacing w:after="0" w:line="148" w:lineRule="exact"/>
        <w:rPr>
          <w:sz w:val="20"/>
          <w:szCs w:val="20"/>
          <w:color w:val="auto"/>
        </w:rPr>
      </w:pPr>
    </w:p>
    <w:p>
      <w:pPr>
        <w:ind w:left="2400" w:hanging="585"/>
        <w:spacing w:after="0"/>
        <w:tabs>
          <w:tab w:leader="none" w:pos="24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 xml:space="preserve">the lesser of (i) the product of the FILO IP Advance Rate </w:t>
      </w:r>
      <w:r>
        <w:rPr>
          <w:rFonts w:ascii="Arial" w:cs="Arial" w:eastAsia="Arial" w:hAnsi="Arial"/>
          <w:sz w:val="12"/>
          <w:szCs w:val="12"/>
          <w:i w:val="1"/>
          <w:iCs w:val="1"/>
          <w:color w:val="auto"/>
        </w:rPr>
        <w:t>multiplied by</w:t>
      </w:r>
      <w:r>
        <w:rPr>
          <w:rFonts w:ascii="Arial" w:cs="Arial" w:eastAsia="Arial" w:hAnsi="Arial"/>
          <w:sz w:val="12"/>
          <w:szCs w:val="12"/>
          <w:color w:val="auto"/>
        </w:rPr>
        <w:t xml:space="preserve"> the Appraised Value of Eligible Trade Names of the Loan Parties, and (ii) $4,000,000;</w:t>
      </w:r>
    </w:p>
    <w:p>
      <w:pPr>
        <w:spacing w:after="0" w:line="159" w:lineRule="exact"/>
        <w:rPr>
          <w:rFonts w:ascii="Arial" w:cs="Arial" w:eastAsia="Arial" w:hAnsi="Arial"/>
          <w:sz w:val="12"/>
          <w:szCs w:val="12"/>
          <w:color w:val="auto"/>
        </w:rPr>
      </w:pPr>
    </w:p>
    <w:p>
      <w:pPr>
        <w:ind w:left="1920"/>
        <w:spacing w:after="0"/>
        <w:rPr>
          <w:rFonts w:ascii="Arial" w:cs="Arial" w:eastAsia="Arial" w:hAnsi="Arial"/>
          <w:sz w:val="12"/>
          <w:szCs w:val="12"/>
          <w:color w:val="auto"/>
        </w:rPr>
      </w:pPr>
      <w:r>
        <w:rPr>
          <w:rFonts w:ascii="Arial" w:cs="Arial" w:eastAsia="Arial" w:hAnsi="Arial"/>
          <w:sz w:val="13"/>
          <w:szCs w:val="13"/>
          <w:u w:val="single" w:color="auto"/>
          <w:color w:val="auto"/>
        </w:rPr>
        <w:t>plus</w:t>
      </w:r>
    </w:p>
    <w:p>
      <w:pPr>
        <w:spacing w:after="0" w:line="147" w:lineRule="exact"/>
        <w:rPr>
          <w:rFonts w:ascii="Arial" w:cs="Arial" w:eastAsia="Arial" w:hAnsi="Arial"/>
          <w:sz w:val="12"/>
          <w:szCs w:val="12"/>
          <w:color w:val="auto"/>
        </w:rPr>
      </w:pPr>
    </w:p>
    <w:p>
      <w:pPr>
        <w:ind w:left="2400" w:hanging="585"/>
        <w:spacing w:after="0"/>
        <w:tabs>
          <w:tab w:leader="none" w:pos="24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 xml:space="preserve">the product of (i) the FILO Advance Rate </w:t>
      </w:r>
      <w:r>
        <w:rPr>
          <w:rFonts w:ascii="Arial" w:cs="Arial" w:eastAsia="Arial" w:hAnsi="Arial"/>
          <w:sz w:val="13"/>
          <w:szCs w:val="13"/>
          <w:i w:val="1"/>
          <w:iCs w:val="1"/>
          <w:color w:val="auto"/>
        </w:rPr>
        <w:t>multiplied by</w:t>
      </w:r>
      <w:r>
        <w:rPr>
          <w:rFonts w:ascii="Arial" w:cs="Arial" w:eastAsia="Arial" w:hAnsi="Arial"/>
          <w:sz w:val="13"/>
          <w:szCs w:val="13"/>
          <w:color w:val="auto"/>
        </w:rPr>
        <w:t xml:space="preserve"> the face amount of Eligible Credit Card Receivables;</w:t>
      </w:r>
    </w:p>
    <w:p>
      <w:pPr>
        <w:spacing w:after="0" w:line="295"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32" w:name="page33"/>
    <w:bookmarkEnd w:id="32"/>
    <w:p>
      <w:pPr>
        <w:ind w:left="1920"/>
        <w:spacing w:after="0"/>
        <w:rPr>
          <w:sz w:val="20"/>
          <w:szCs w:val="20"/>
          <w:color w:val="auto"/>
        </w:rPr>
      </w:pPr>
      <w:r>
        <w:rPr>
          <w:rFonts w:ascii="Arial" w:cs="Arial" w:eastAsia="Arial" w:hAnsi="Arial"/>
          <w:sz w:val="13"/>
          <w:szCs w:val="13"/>
          <w:u w:val="single" w:color="auto"/>
          <w:color w:val="auto"/>
        </w:rPr>
        <w:t>plus</w:t>
      </w:r>
    </w:p>
    <w:p>
      <w:pPr>
        <w:spacing w:after="0" w:line="149" w:lineRule="exact"/>
        <w:rPr>
          <w:sz w:val="20"/>
          <w:szCs w:val="20"/>
          <w:color w:val="auto"/>
        </w:rPr>
      </w:pPr>
    </w:p>
    <w:p>
      <w:pPr>
        <w:ind w:left="1060" w:firstLine="755"/>
        <w:spacing w:after="0" w:line="271" w:lineRule="auto"/>
        <w:tabs>
          <w:tab w:leader="none" w:pos="2385" w:val="left"/>
        </w:tabs>
        <w:numPr>
          <w:ilvl w:val="0"/>
          <w:numId w:val="22"/>
        </w:numPr>
        <w:rPr>
          <w:rFonts w:ascii="Arial" w:cs="Arial" w:eastAsia="Arial" w:hAnsi="Arial"/>
          <w:sz w:val="13"/>
          <w:szCs w:val="13"/>
          <w:color w:val="auto"/>
        </w:rPr>
      </w:pPr>
      <w:r>
        <w:rPr>
          <w:rFonts w:ascii="Arial" w:cs="Arial" w:eastAsia="Arial" w:hAnsi="Arial"/>
          <w:sz w:val="13"/>
          <w:szCs w:val="13"/>
          <w:color w:val="auto"/>
        </w:rPr>
        <w:t xml:space="preserve">the product of (i) the FILO Advance Rate </w:t>
      </w:r>
      <w:r>
        <w:rPr>
          <w:rFonts w:ascii="Arial" w:cs="Arial" w:eastAsia="Arial" w:hAnsi="Arial"/>
          <w:sz w:val="13"/>
          <w:szCs w:val="13"/>
          <w:i w:val="1"/>
          <w:iCs w:val="1"/>
          <w:color w:val="auto"/>
        </w:rPr>
        <w:t>multiplied by</w:t>
      </w:r>
      <w:r>
        <w:rPr>
          <w:rFonts w:ascii="Arial" w:cs="Arial" w:eastAsia="Arial" w:hAnsi="Arial"/>
          <w:sz w:val="13"/>
          <w:szCs w:val="13"/>
          <w:color w:val="auto"/>
        </w:rPr>
        <w:t xml:space="preserve"> (ii) the Appraised Value of Eligible Inventory (excluding any Eligible Letters of Credit) of the Loan Parties, </w:t>
      </w:r>
      <w:r>
        <w:rPr>
          <w:rFonts w:ascii="Arial" w:cs="Arial" w:eastAsia="Arial" w:hAnsi="Arial"/>
          <w:sz w:val="13"/>
          <w:szCs w:val="13"/>
          <w:i w:val="1"/>
          <w:iCs w:val="1"/>
          <w:color w:val="auto"/>
        </w:rPr>
        <w:t xml:space="preserve">multiplied by </w:t>
      </w:r>
      <w:r>
        <w:rPr>
          <w:rFonts w:ascii="Arial" w:cs="Arial" w:eastAsia="Arial" w:hAnsi="Arial"/>
          <w:sz w:val="13"/>
          <w:szCs w:val="13"/>
          <w:color w:val="auto"/>
        </w:rPr>
        <w:t>(iii) the Cost of Eligible Inventory (excluding any Eligible Letters of Credit) of the Loan Parties, net of Inventory Reserves;</w:t>
      </w:r>
    </w:p>
    <w:p>
      <w:pPr>
        <w:spacing w:after="0" w:line="113" w:lineRule="exact"/>
        <w:rPr>
          <w:sz w:val="20"/>
          <w:szCs w:val="20"/>
          <w:color w:val="auto"/>
        </w:rPr>
      </w:pPr>
    </w:p>
    <w:p>
      <w:pPr>
        <w:ind w:left="1920"/>
        <w:spacing w:after="0"/>
        <w:rPr>
          <w:sz w:val="20"/>
          <w:szCs w:val="20"/>
          <w:color w:val="auto"/>
        </w:rPr>
      </w:pPr>
      <w:r>
        <w:rPr>
          <w:rFonts w:ascii="Arial" w:cs="Arial" w:eastAsia="Arial" w:hAnsi="Arial"/>
          <w:sz w:val="13"/>
          <w:szCs w:val="13"/>
          <w:u w:val="single" w:color="auto"/>
          <w:color w:val="auto"/>
        </w:rPr>
        <w:t>minus</w:t>
      </w:r>
    </w:p>
    <w:p>
      <w:pPr>
        <w:spacing w:after="0" w:line="148" w:lineRule="exact"/>
        <w:rPr>
          <w:sz w:val="20"/>
          <w:szCs w:val="20"/>
          <w:color w:val="auto"/>
        </w:rPr>
      </w:pPr>
    </w:p>
    <w:p>
      <w:pPr>
        <w:ind w:left="2400" w:hanging="585"/>
        <w:spacing w:after="0"/>
        <w:tabs>
          <w:tab w:leader="none" w:pos="24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then amount of all Availability Reserves relating to Eligible Trade Names.</w:t>
      </w:r>
    </w:p>
    <w:p>
      <w:pPr>
        <w:spacing w:after="0" w:line="121" w:lineRule="exact"/>
        <w:rPr>
          <w:sz w:val="20"/>
          <w:szCs w:val="20"/>
          <w:color w:val="auto"/>
        </w:rPr>
      </w:pPr>
    </w:p>
    <w:p>
      <w:pPr>
        <w:ind w:left="220" w:firstLine="808"/>
        <w:spacing w:after="0" w:line="271" w:lineRule="auto"/>
        <w:rPr>
          <w:sz w:val="20"/>
          <w:szCs w:val="20"/>
          <w:color w:val="auto"/>
        </w:rPr>
      </w:pPr>
      <w:r>
        <w:rPr>
          <w:rFonts w:ascii="Arial" w:cs="Arial" w:eastAsia="Arial" w:hAnsi="Arial"/>
          <w:sz w:val="13"/>
          <w:szCs w:val="13"/>
          <w:color w:val="auto"/>
        </w:rPr>
        <w:t>“FILO Commitment” means, as to each FILO Lender, its obligation to make the FILO Loan to the Borrowers on the Closing Date pursuant to Article II in the amount set forth opposite such FILO Lender’s name on Schedule 2.01.</w:t>
      </w:r>
    </w:p>
    <w:p>
      <w:pPr>
        <w:spacing w:after="0" w:line="95"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“FILO IP Advance Rate” shall mean the percentages set forth below:</w:t>
      </w:r>
    </w:p>
    <w:p>
      <w:pPr>
        <w:spacing w:after="0" w:line="138" w:lineRule="exact"/>
        <w:rPr>
          <w:sz w:val="20"/>
          <w:szCs w:val="20"/>
          <w:color w:val="auto"/>
        </w:rPr>
      </w:pPr>
    </w:p>
    <w:tbl>
      <w:tblPr>
        <w:tblLayout w:type="fixed"/>
        <w:tblInd w:w="1290" w:type="dxa"/>
        <w:tblCellMar>
          <w:top w:w="0" w:type="dxa"/>
          <w:left w:w="0" w:type="dxa"/>
          <w:bottom w:w="0" w:type="dxa"/>
          <w:right w:w="0" w:type="dxa"/>
        </w:tblCellMar>
      </w:tblPr>
      <w:tr>
        <w:trPr>
          <w:trHeight w:val="175"/>
        </w:trPr>
        <w:tc>
          <w:tcPr>
            <w:tcW w:w="20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Period</w:t>
            </w:r>
          </w:p>
        </w:tc>
        <w:tc>
          <w:tcPr>
            <w:tcW w:w="21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FILO IP Advance Rate</w:t>
            </w:r>
          </w:p>
        </w:tc>
      </w:tr>
      <w:tr>
        <w:trPr>
          <w:trHeight w:val="123"/>
        </w:trPr>
        <w:tc>
          <w:tcPr>
            <w:tcW w:w="2080" w:type="dxa"/>
            <w:vAlign w:val="bottom"/>
            <w:tcBorders>
              <w:left w:val="single" w:sz="8" w:color="auto"/>
              <w:bottom w:val="single" w:sz="8" w:color="auto"/>
              <w:right w:val="single" w:sz="8" w:color="auto"/>
            </w:tcBorders>
          </w:tcPr>
          <w:p>
            <w:pPr>
              <w:spacing w:after="0"/>
              <w:rPr>
                <w:sz w:val="10"/>
                <w:szCs w:val="10"/>
                <w:color w:val="auto"/>
              </w:rPr>
            </w:pPr>
          </w:p>
        </w:tc>
        <w:tc>
          <w:tcPr>
            <w:tcW w:w="2160" w:type="dxa"/>
            <w:vAlign w:val="bottom"/>
            <w:tcBorders>
              <w:bottom w:val="single" w:sz="8" w:color="auto"/>
              <w:right w:val="single" w:sz="8" w:color="auto"/>
            </w:tcBorders>
          </w:tcPr>
          <w:p>
            <w:pPr>
              <w:spacing w:after="0"/>
              <w:rPr>
                <w:sz w:val="10"/>
                <w:szCs w:val="10"/>
                <w:color w:val="auto"/>
              </w:rPr>
            </w:pPr>
          </w:p>
        </w:tc>
      </w:tr>
      <w:tr>
        <w:trPr>
          <w:trHeight w:val="132"/>
        </w:trPr>
        <w:tc>
          <w:tcPr>
            <w:tcW w:w="2080" w:type="dxa"/>
            <w:vAlign w:val="bottom"/>
            <w:tcBorders>
              <w:left w:val="single" w:sz="8" w:color="auto"/>
              <w:right w:val="single" w:sz="8" w:color="auto"/>
            </w:tcBorders>
          </w:tcPr>
          <w:p>
            <w:pPr>
              <w:ind w:left="80"/>
              <w:spacing w:after="0" w:line="132" w:lineRule="exact"/>
              <w:rPr>
                <w:sz w:val="20"/>
                <w:szCs w:val="20"/>
                <w:color w:val="auto"/>
              </w:rPr>
            </w:pPr>
            <w:r>
              <w:rPr>
                <w:rFonts w:ascii="Arial" w:cs="Arial" w:eastAsia="Arial" w:hAnsi="Arial"/>
                <w:sz w:val="13"/>
                <w:szCs w:val="13"/>
                <w:color w:val="auto"/>
                <w:w w:val="96"/>
              </w:rPr>
              <w:t>From the Closing Date until the first</w:t>
            </w:r>
          </w:p>
        </w:tc>
        <w:tc>
          <w:tcPr>
            <w:tcW w:w="2160" w:type="dxa"/>
            <w:vAlign w:val="bottom"/>
            <w:tcBorders>
              <w:right w:val="single" w:sz="8" w:color="auto"/>
            </w:tcBorders>
          </w:tcPr>
          <w:p>
            <w:pPr>
              <w:ind w:left="60"/>
              <w:spacing w:after="0" w:line="132" w:lineRule="exact"/>
              <w:rPr>
                <w:sz w:val="20"/>
                <w:szCs w:val="20"/>
                <w:color w:val="auto"/>
              </w:rPr>
            </w:pPr>
            <w:r>
              <w:rPr>
                <w:rFonts w:ascii="Arial" w:cs="Arial" w:eastAsia="Arial" w:hAnsi="Arial"/>
                <w:sz w:val="13"/>
                <w:szCs w:val="13"/>
                <w:color w:val="auto"/>
              </w:rPr>
              <w:t>50%</w:t>
            </w:r>
          </w:p>
        </w:tc>
      </w:tr>
      <w:tr>
        <w:trPr>
          <w:trHeight w:val="166"/>
        </w:trPr>
        <w:tc>
          <w:tcPr>
            <w:tcW w:w="2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anniversary of the Closing Date</w:t>
            </w:r>
          </w:p>
        </w:tc>
        <w:tc>
          <w:tcPr>
            <w:tcW w:w="2160" w:type="dxa"/>
            <w:vAlign w:val="bottom"/>
            <w:tcBorders>
              <w:right w:val="single" w:sz="8" w:color="auto"/>
            </w:tcBorders>
          </w:tcPr>
          <w:p>
            <w:pPr>
              <w:spacing w:after="0"/>
              <w:rPr>
                <w:sz w:val="14"/>
                <w:szCs w:val="14"/>
                <w:color w:val="auto"/>
              </w:rPr>
            </w:pPr>
          </w:p>
        </w:tc>
      </w:tr>
      <w:tr>
        <w:trPr>
          <w:trHeight w:val="286"/>
        </w:trPr>
        <w:tc>
          <w:tcPr>
            <w:tcW w:w="2080" w:type="dxa"/>
            <w:vAlign w:val="bottom"/>
            <w:tcBorders>
              <w:left w:val="single" w:sz="8" w:color="auto"/>
              <w:bottom w:val="single" w:sz="8" w:color="auto"/>
              <w:right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spacing w:after="0"/>
              <w:rPr>
                <w:sz w:val="24"/>
                <w:szCs w:val="24"/>
                <w:color w:val="auto"/>
              </w:rPr>
            </w:pPr>
          </w:p>
        </w:tc>
      </w:tr>
      <w:tr>
        <w:trPr>
          <w:trHeight w:val="132"/>
        </w:trPr>
        <w:tc>
          <w:tcPr>
            <w:tcW w:w="2080" w:type="dxa"/>
            <w:vAlign w:val="bottom"/>
            <w:tcBorders>
              <w:left w:val="single" w:sz="8" w:color="auto"/>
              <w:right w:val="single" w:sz="8" w:color="auto"/>
            </w:tcBorders>
          </w:tcPr>
          <w:p>
            <w:pPr>
              <w:ind w:left="80"/>
              <w:spacing w:after="0" w:line="132" w:lineRule="exact"/>
              <w:rPr>
                <w:sz w:val="20"/>
                <w:szCs w:val="20"/>
                <w:color w:val="auto"/>
              </w:rPr>
            </w:pPr>
            <w:r>
              <w:rPr>
                <w:rFonts w:ascii="Arial" w:cs="Arial" w:eastAsia="Arial" w:hAnsi="Arial"/>
                <w:sz w:val="13"/>
                <w:szCs w:val="13"/>
                <w:color w:val="auto"/>
                <w:w w:val="97"/>
              </w:rPr>
              <w:t>From  the  first  anniversary  of  the</w:t>
            </w:r>
          </w:p>
        </w:tc>
        <w:tc>
          <w:tcPr>
            <w:tcW w:w="2160" w:type="dxa"/>
            <w:vAlign w:val="bottom"/>
            <w:tcBorders>
              <w:right w:val="single" w:sz="8" w:color="auto"/>
            </w:tcBorders>
          </w:tcPr>
          <w:p>
            <w:pPr>
              <w:ind w:left="60"/>
              <w:spacing w:after="0" w:line="132" w:lineRule="exact"/>
              <w:rPr>
                <w:sz w:val="20"/>
                <w:szCs w:val="20"/>
                <w:color w:val="auto"/>
              </w:rPr>
            </w:pPr>
            <w:r>
              <w:rPr>
                <w:rFonts w:ascii="Arial" w:cs="Arial" w:eastAsia="Arial" w:hAnsi="Arial"/>
                <w:sz w:val="13"/>
                <w:szCs w:val="13"/>
                <w:color w:val="auto"/>
              </w:rPr>
              <w:t>45%</w:t>
            </w:r>
          </w:p>
        </w:tc>
      </w:tr>
      <w:tr>
        <w:trPr>
          <w:trHeight w:val="153"/>
        </w:trPr>
        <w:tc>
          <w:tcPr>
            <w:tcW w:w="2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Closing  Date  until  the  second</w:t>
            </w:r>
          </w:p>
        </w:tc>
        <w:tc>
          <w:tcPr>
            <w:tcW w:w="2160" w:type="dxa"/>
            <w:vAlign w:val="bottom"/>
            <w:tcBorders>
              <w:right w:val="single" w:sz="8" w:color="auto"/>
            </w:tcBorders>
          </w:tcPr>
          <w:p>
            <w:pPr>
              <w:spacing w:after="0"/>
              <w:rPr>
                <w:sz w:val="13"/>
                <w:szCs w:val="13"/>
                <w:color w:val="auto"/>
              </w:rPr>
            </w:pPr>
          </w:p>
        </w:tc>
      </w:tr>
      <w:tr>
        <w:trPr>
          <w:trHeight w:val="166"/>
        </w:trPr>
        <w:tc>
          <w:tcPr>
            <w:tcW w:w="2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anniversary of the Closing Date</w:t>
            </w:r>
          </w:p>
        </w:tc>
        <w:tc>
          <w:tcPr>
            <w:tcW w:w="2160" w:type="dxa"/>
            <w:vAlign w:val="bottom"/>
            <w:tcBorders>
              <w:right w:val="single" w:sz="8" w:color="auto"/>
            </w:tcBorders>
          </w:tcPr>
          <w:p>
            <w:pPr>
              <w:spacing w:after="0"/>
              <w:rPr>
                <w:sz w:val="14"/>
                <w:szCs w:val="14"/>
                <w:color w:val="auto"/>
              </w:rPr>
            </w:pPr>
          </w:p>
        </w:tc>
      </w:tr>
      <w:tr>
        <w:trPr>
          <w:trHeight w:val="133"/>
        </w:trPr>
        <w:tc>
          <w:tcPr>
            <w:tcW w:w="2080" w:type="dxa"/>
            <w:vAlign w:val="bottom"/>
            <w:tcBorders>
              <w:left w:val="single" w:sz="8" w:color="auto"/>
              <w:bottom w:val="single" w:sz="8" w:color="auto"/>
              <w:right w:val="single" w:sz="8" w:color="auto"/>
            </w:tcBorders>
          </w:tcPr>
          <w:p>
            <w:pPr>
              <w:spacing w:after="0"/>
              <w:rPr>
                <w:sz w:val="11"/>
                <w:szCs w:val="11"/>
                <w:color w:val="auto"/>
              </w:rPr>
            </w:pPr>
          </w:p>
        </w:tc>
        <w:tc>
          <w:tcPr>
            <w:tcW w:w="2160" w:type="dxa"/>
            <w:vAlign w:val="bottom"/>
            <w:tcBorders>
              <w:bottom w:val="single" w:sz="8" w:color="auto"/>
              <w:right w:val="single" w:sz="8" w:color="auto"/>
            </w:tcBorders>
          </w:tcPr>
          <w:p>
            <w:pPr>
              <w:spacing w:after="0"/>
              <w:rPr>
                <w:sz w:val="11"/>
                <w:szCs w:val="11"/>
                <w:color w:val="auto"/>
              </w:rPr>
            </w:pPr>
          </w:p>
        </w:tc>
      </w:tr>
      <w:tr>
        <w:trPr>
          <w:trHeight w:val="132"/>
        </w:trPr>
        <w:tc>
          <w:tcPr>
            <w:tcW w:w="2080" w:type="dxa"/>
            <w:vAlign w:val="bottom"/>
            <w:tcBorders>
              <w:left w:val="single" w:sz="8" w:color="auto"/>
              <w:right w:val="single" w:sz="8" w:color="auto"/>
            </w:tcBorders>
          </w:tcPr>
          <w:p>
            <w:pPr>
              <w:ind w:left="80"/>
              <w:spacing w:after="0" w:line="132" w:lineRule="exact"/>
              <w:rPr>
                <w:sz w:val="20"/>
                <w:szCs w:val="20"/>
                <w:color w:val="auto"/>
              </w:rPr>
            </w:pPr>
            <w:r>
              <w:rPr>
                <w:rFonts w:ascii="Arial" w:cs="Arial" w:eastAsia="Arial" w:hAnsi="Arial"/>
                <w:sz w:val="13"/>
                <w:szCs w:val="13"/>
                <w:color w:val="auto"/>
                <w:w w:val="95"/>
              </w:rPr>
              <w:t>From the second anniversary of the</w:t>
            </w:r>
          </w:p>
        </w:tc>
        <w:tc>
          <w:tcPr>
            <w:tcW w:w="2160" w:type="dxa"/>
            <w:vAlign w:val="bottom"/>
            <w:tcBorders>
              <w:right w:val="single" w:sz="8" w:color="auto"/>
            </w:tcBorders>
          </w:tcPr>
          <w:p>
            <w:pPr>
              <w:ind w:left="60"/>
              <w:spacing w:after="0" w:line="132" w:lineRule="exact"/>
              <w:rPr>
                <w:sz w:val="20"/>
                <w:szCs w:val="20"/>
                <w:color w:val="auto"/>
              </w:rPr>
            </w:pPr>
            <w:r>
              <w:rPr>
                <w:rFonts w:ascii="Arial" w:cs="Arial" w:eastAsia="Arial" w:hAnsi="Arial"/>
                <w:sz w:val="13"/>
                <w:szCs w:val="13"/>
                <w:color w:val="auto"/>
              </w:rPr>
              <w:t>40%</w:t>
            </w:r>
          </w:p>
        </w:tc>
      </w:tr>
      <w:tr>
        <w:trPr>
          <w:trHeight w:val="153"/>
        </w:trPr>
        <w:tc>
          <w:tcPr>
            <w:tcW w:w="2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Closing   Date   until   the   third</w:t>
            </w:r>
          </w:p>
        </w:tc>
        <w:tc>
          <w:tcPr>
            <w:tcW w:w="2160" w:type="dxa"/>
            <w:vAlign w:val="bottom"/>
            <w:tcBorders>
              <w:right w:val="single" w:sz="8" w:color="auto"/>
            </w:tcBorders>
          </w:tcPr>
          <w:p>
            <w:pPr>
              <w:spacing w:after="0"/>
              <w:rPr>
                <w:sz w:val="13"/>
                <w:szCs w:val="13"/>
                <w:color w:val="auto"/>
              </w:rPr>
            </w:pPr>
          </w:p>
        </w:tc>
      </w:tr>
      <w:tr>
        <w:trPr>
          <w:trHeight w:val="166"/>
        </w:trPr>
        <w:tc>
          <w:tcPr>
            <w:tcW w:w="2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anniversary of the Closing Date</w:t>
            </w:r>
          </w:p>
        </w:tc>
        <w:tc>
          <w:tcPr>
            <w:tcW w:w="2160" w:type="dxa"/>
            <w:vAlign w:val="bottom"/>
            <w:tcBorders>
              <w:right w:val="single" w:sz="8" w:color="auto"/>
            </w:tcBorders>
          </w:tcPr>
          <w:p>
            <w:pPr>
              <w:spacing w:after="0"/>
              <w:rPr>
                <w:sz w:val="14"/>
                <w:szCs w:val="14"/>
                <w:color w:val="auto"/>
              </w:rPr>
            </w:pPr>
          </w:p>
        </w:tc>
      </w:tr>
      <w:tr>
        <w:trPr>
          <w:trHeight w:val="124"/>
        </w:trPr>
        <w:tc>
          <w:tcPr>
            <w:tcW w:w="2080" w:type="dxa"/>
            <w:vAlign w:val="bottom"/>
            <w:tcBorders>
              <w:left w:val="single" w:sz="8" w:color="auto"/>
              <w:bottom w:val="single" w:sz="8" w:color="auto"/>
              <w:right w:val="single" w:sz="8" w:color="auto"/>
            </w:tcBorders>
          </w:tcPr>
          <w:p>
            <w:pPr>
              <w:spacing w:after="0"/>
              <w:rPr>
                <w:sz w:val="10"/>
                <w:szCs w:val="10"/>
                <w:color w:val="auto"/>
              </w:rPr>
            </w:pPr>
          </w:p>
        </w:tc>
        <w:tc>
          <w:tcPr>
            <w:tcW w:w="2160" w:type="dxa"/>
            <w:vAlign w:val="bottom"/>
            <w:tcBorders>
              <w:bottom w:val="single" w:sz="8" w:color="auto"/>
              <w:right w:val="single" w:sz="8" w:color="auto"/>
            </w:tcBorders>
          </w:tcPr>
          <w:p>
            <w:pPr>
              <w:spacing w:after="0"/>
              <w:rPr>
                <w:sz w:val="10"/>
                <w:szCs w:val="10"/>
                <w:color w:val="auto"/>
              </w:rPr>
            </w:pPr>
          </w:p>
        </w:tc>
      </w:tr>
      <w:tr>
        <w:trPr>
          <w:trHeight w:val="132"/>
        </w:trPr>
        <w:tc>
          <w:tcPr>
            <w:tcW w:w="2080" w:type="dxa"/>
            <w:vAlign w:val="bottom"/>
            <w:tcBorders>
              <w:left w:val="single" w:sz="8" w:color="auto"/>
              <w:right w:val="single" w:sz="8" w:color="auto"/>
            </w:tcBorders>
          </w:tcPr>
          <w:p>
            <w:pPr>
              <w:ind w:left="80"/>
              <w:spacing w:after="0" w:line="132" w:lineRule="exact"/>
              <w:rPr>
                <w:sz w:val="20"/>
                <w:szCs w:val="20"/>
                <w:color w:val="auto"/>
              </w:rPr>
            </w:pPr>
            <w:r>
              <w:rPr>
                <w:rFonts w:ascii="Arial" w:cs="Arial" w:eastAsia="Arial" w:hAnsi="Arial"/>
                <w:sz w:val="13"/>
                <w:szCs w:val="13"/>
                <w:color w:val="auto"/>
              </w:rPr>
              <w:t>From the third anniversary of the</w:t>
            </w:r>
          </w:p>
        </w:tc>
        <w:tc>
          <w:tcPr>
            <w:tcW w:w="2160" w:type="dxa"/>
            <w:vAlign w:val="bottom"/>
            <w:tcBorders>
              <w:right w:val="single" w:sz="8" w:color="auto"/>
            </w:tcBorders>
          </w:tcPr>
          <w:p>
            <w:pPr>
              <w:ind w:left="60"/>
              <w:spacing w:after="0" w:line="132" w:lineRule="exact"/>
              <w:rPr>
                <w:sz w:val="20"/>
                <w:szCs w:val="20"/>
                <w:color w:val="auto"/>
              </w:rPr>
            </w:pPr>
            <w:r>
              <w:rPr>
                <w:rFonts w:ascii="Arial" w:cs="Arial" w:eastAsia="Arial" w:hAnsi="Arial"/>
                <w:sz w:val="13"/>
                <w:szCs w:val="13"/>
                <w:color w:val="auto"/>
              </w:rPr>
              <w:t>35%</w:t>
            </w:r>
          </w:p>
        </w:tc>
      </w:tr>
      <w:tr>
        <w:trPr>
          <w:trHeight w:val="153"/>
        </w:trPr>
        <w:tc>
          <w:tcPr>
            <w:tcW w:w="2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Closing  Date  until  the  fourth</w:t>
            </w:r>
          </w:p>
        </w:tc>
        <w:tc>
          <w:tcPr>
            <w:tcW w:w="2160" w:type="dxa"/>
            <w:vAlign w:val="bottom"/>
            <w:tcBorders>
              <w:right w:val="single" w:sz="8" w:color="auto"/>
            </w:tcBorders>
          </w:tcPr>
          <w:p>
            <w:pPr>
              <w:spacing w:after="0"/>
              <w:rPr>
                <w:sz w:val="13"/>
                <w:szCs w:val="13"/>
                <w:color w:val="auto"/>
              </w:rPr>
            </w:pPr>
          </w:p>
        </w:tc>
      </w:tr>
      <w:tr>
        <w:trPr>
          <w:trHeight w:val="166"/>
        </w:trPr>
        <w:tc>
          <w:tcPr>
            <w:tcW w:w="2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anniversary of the Closing Date</w:t>
            </w:r>
          </w:p>
        </w:tc>
        <w:tc>
          <w:tcPr>
            <w:tcW w:w="2160" w:type="dxa"/>
            <w:vAlign w:val="bottom"/>
            <w:tcBorders>
              <w:right w:val="single" w:sz="8" w:color="auto"/>
            </w:tcBorders>
          </w:tcPr>
          <w:p>
            <w:pPr>
              <w:spacing w:after="0"/>
              <w:rPr>
                <w:sz w:val="14"/>
                <w:szCs w:val="14"/>
                <w:color w:val="auto"/>
              </w:rPr>
            </w:pPr>
          </w:p>
        </w:tc>
      </w:tr>
      <w:tr>
        <w:trPr>
          <w:trHeight w:val="133"/>
        </w:trPr>
        <w:tc>
          <w:tcPr>
            <w:tcW w:w="2080" w:type="dxa"/>
            <w:vAlign w:val="bottom"/>
            <w:tcBorders>
              <w:left w:val="single" w:sz="8" w:color="auto"/>
              <w:bottom w:val="single" w:sz="8" w:color="auto"/>
              <w:right w:val="single" w:sz="8" w:color="auto"/>
            </w:tcBorders>
          </w:tcPr>
          <w:p>
            <w:pPr>
              <w:spacing w:after="0"/>
              <w:rPr>
                <w:sz w:val="11"/>
                <w:szCs w:val="11"/>
                <w:color w:val="auto"/>
              </w:rPr>
            </w:pPr>
          </w:p>
        </w:tc>
        <w:tc>
          <w:tcPr>
            <w:tcW w:w="2160" w:type="dxa"/>
            <w:vAlign w:val="bottom"/>
            <w:tcBorders>
              <w:bottom w:val="single" w:sz="8" w:color="auto"/>
              <w:right w:val="single" w:sz="8" w:color="auto"/>
            </w:tcBorders>
          </w:tcPr>
          <w:p>
            <w:pPr>
              <w:spacing w:after="0"/>
              <w:rPr>
                <w:sz w:val="11"/>
                <w:szCs w:val="11"/>
                <w:color w:val="auto"/>
              </w:rPr>
            </w:pPr>
          </w:p>
        </w:tc>
      </w:tr>
      <w:tr>
        <w:trPr>
          <w:trHeight w:val="132"/>
        </w:trPr>
        <w:tc>
          <w:tcPr>
            <w:tcW w:w="2080" w:type="dxa"/>
            <w:vAlign w:val="bottom"/>
            <w:tcBorders>
              <w:left w:val="single" w:sz="8" w:color="auto"/>
              <w:right w:val="single" w:sz="8" w:color="auto"/>
            </w:tcBorders>
          </w:tcPr>
          <w:p>
            <w:pPr>
              <w:ind w:left="80"/>
              <w:spacing w:after="0" w:line="132" w:lineRule="exact"/>
              <w:rPr>
                <w:sz w:val="20"/>
                <w:szCs w:val="20"/>
                <w:color w:val="auto"/>
              </w:rPr>
            </w:pPr>
            <w:r>
              <w:rPr>
                <w:rFonts w:ascii="Arial" w:cs="Arial" w:eastAsia="Arial" w:hAnsi="Arial"/>
                <w:sz w:val="13"/>
                <w:szCs w:val="13"/>
                <w:color w:val="auto"/>
              </w:rPr>
              <w:t>From the fourth anniversary of the</w:t>
            </w:r>
          </w:p>
        </w:tc>
        <w:tc>
          <w:tcPr>
            <w:tcW w:w="2160" w:type="dxa"/>
            <w:vAlign w:val="bottom"/>
            <w:tcBorders>
              <w:right w:val="single" w:sz="8" w:color="auto"/>
            </w:tcBorders>
          </w:tcPr>
          <w:p>
            <w:pPr>
              <w:ind w:left="60"/>
              <w:spacing w:after="0" w:line="132" w:lineRule="exact"/>
              <w:rPr>
                <w:sz w:val="20"/>
                <w:szCs w:val="20"/>
                <w:color w:val="auto"/>
              </w:rPr>
            </w:pPr>
            <w:r>
              <w:rPr>
                <w:rFonts w:ascii="Arial" w:cs="Arial" w:eastAsia="Arial" w:hAnsi="Arial"/>
                <w:sz w:val="13"/>
                <w:szCs w:val="13"/>
                <w:color w:val="auto"/>
              </w:rPr>
              <w:t>30%</w:t>
            </w:r>
          </w:p>
        </w:tc>
      </w:tr>
      <w:tr>
        <w:trPr>
          <w:trHeight w:val="166"/>
        </w:trPr>
        <w:tc>
          <w:tcPr>
            <w:tcW w:w="2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w w:val="95"/>
              </w:rPr>
              <w:t>Closing Date until the Maturity Date</w:t>
            </w:r>
          </w:p>
        </w:tc>
        <w:tc>
          <w:tcPr>
            <w:tcW w:w="2160" w:type="dxa"/>
            <w:vAlign w:val="bottom"/>
            <w:tcBorders>
              <w:right w:val="single" w:sz="8" w:color="auto"/>
            </w:tcBorders>
          </w:tcPr>
          <w:p>
            <w:pPr>
              <w:spacing w:after="0"/>
              <w:rPr>
                <w:sz w:val="14"/>
                <w:szCs w:val="14"/>
                <w:color w:val="auto"/>
              </w:rPr>
            </w:pPr>
          </w:p>
        </w:tc>
      </w:tr>
      <w:tr>
        <w:trPr>
          <w:trHeight w:val="286"/>
        </w:trPr>
        <w:tc>
          <w:tcPr>
            <w:tcW w:w="2080" w:type="dxa"/>
            <w:vAlign w:val="bottom"/>
            <w:tcBorders>
              <w:left w:val="single" w:sz="8" w:color="auto"/>
              <w:bottom w:val="single" w:sz="8" w:color="auto"/>
              <w:right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spacing w:after="0"/>
              <w:rPr>
                <w:sz w:val="24"/>
                <w:szCs w:val="24"/>
                <w:color w:val="auto"/>
              </w:rPr>
            </w:pPr>
          </w:p>
        </w:tc>
      </w:tr>
    </w:tbl>
    <w:p>
      <w:pPr>
        <w:spacing w:after="0" w:line="143"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“FILO Lenders” means Lenders having FILO Commitments from time to time or at any time.</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“FILO Loan” means the extension of credit by the FILO Lenders to the Borrowers under Article II on the Closing Date in the original principal amount of $15,000,000.</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2"/>
          <w:szCs w:val="12"/>
          <w:color w:val="auto"/>
        </w:rPr>
        <w:t>“FILO Note” means a promissory note made by the Borrowers in favor of a FILO Lender evidencing the portion of the FILO Loan made by such FILO Lender, substantially in the form of</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3"/>
          <w:szCs w:val="13"/>
          <w:color w:val="auto"/>
        </w:rPr>
        <w:t>Exhibit C-3.</w:t>
      </w:r>
    </w:p>
    <w:p>
      <w:pPr>
        <w:spacing w:after="0" w:line="285"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33" w:name="page34"/>
    <w:bookmarkEnd w:id="33"/>
    <w:p>
      <w:pPr>
        <w:ind w:left="1040"/>
        <w:spacing w:after="0"/>
        <w:rPr>
          <w:sz w:val="20"/>
          <w:szCs w:val="20"/>
          <w:color w:val="auto"/>
        </w:rPr>
      </w:pPr>
      <w:r>
        <w:rPr>
          <w:rFonts w:ascii="Arial" w:cs="Arial" w:eastAsia="Arial" w:hAnsi="Arial"/>
          <w:sz w:val="12"/>
          <w:szCs w:val="12"/>
          <w:color w:val="auto"/>
        </w:rPr>
        <w:t>“FILO Push Down Reserve” means the amount, if any, by which the outstanding amount of the FILO Loan exceeds the FILO Borrowing Base as the Agent determines in its reasonable</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3"/>
          <w:szCs w:val="13"/>
          <w:color w:val="auto"/>
        </w:rPr>
        <w:t>discretion.</w:t>
      </w:r>
    </w:p>
    <w:p>
      <w:pPr>
        <w:spacing w:after="0" w:line="111"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“Fiscal Month” means any fiscal month of any Fiscal Year, which month shall generally end on the last Saturday of each calendar month in accordance with the fiscal accounting calendar of the Loan Parties.</w:t>
      </w:r>
    </w:p>
    <w:p>
      <w:pPr>
        <w:spacing w:after="0" w:line="95"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“Fiscal Quarter” means any fiscal quarter of any Fiscal Year, which quarters shall generally end on the last Saturday of each April, July, October and January of such Fiscal Year in accordance with the fiscal accounting calendar of the Loan Parties.</w:t>
      </w:r>
    </w:p>
    <w:p>
      <w:pPr>
        <w:spacing w:after="0" w:line="86"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“Fiscal Year” means any period of twelve consecutive months ending on the Saturday closest to January 31 of any calendar year.</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 xml:space="preserve">“Foreign Asset Control Regulations” has the meaning set forth in </w:t>
      </w:r>
      <w:r>
        <w:rPr>
          <w:rFonts w:ascii="Arial" w:cs="Arial" w:eastAsia="Arial" w:hAnsi="Arial"/>
          <w:sz w:val="13"/>
          <w:szCs w:val="13"/>
          <w:u w:val="single" w:color="auto"/>
          <w:color w:val="auto"/>
        </w:rPr>
        <w:t>Section 10.18</w:t>
      </w:r>
      <w:r>
        <w:rPr>
          <w:rFonts w:ascii="Arial" w:cs="Arial" w:eastAsia="Arial" w:hAnsi="Arial"/>
          <w:sz w:val="13"/>
          <w:szCs w:val="13"/>
          <w:color w:val="auto"/>
        </w:rPr>
        <w:t>.</w:t>
      </w:r>
    </w:p>
    <w:p>
      <w:pPr>
        <w:spacing w:after="0" w:line="130"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“Foreign Lender” means any Lender that is organized under the laws of a jurisdiction other than that in which the Lead Borrower is resident for tax purposes. For purposes of this definition, the United States, each State thereof and the District of Columbia shall be deemed to constitute a single jurisdiction.</w:t>
      </w:r>
    </w:p>
    <w:p>
      <w:pPr>
        <w:spacing w:after="0" w:line="86"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“Foreign Vendor” means a Person that sells In-Transit Inventory to a Loan Party.</w:t>
      </w:r>
    </w:p>
    <w:p>
      <w:pPr>
        <w:spacing w:after="0" w:line="121"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“Foreign Vendor Agreement” means an agreement between a Foreign Vendor and the Agent in form and substance satisfactory to the Agent and pursuant to which, among other things, the parties shall agree upon their relative rights with respect to In-Transit Inventory of a Loan Party purchased from such Foreign Vendor.</w:t>
      </w:r>
    </w:p>
    <w:p>
      <w:pPr>
        <w:spacing w:after="0" w:line="95"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“FRB” means the Board of Governors of the Federal Reserve System of the United States.</w:t>
      </w:r>
    </w:p>
    <w:p>
      <w:pPr>
        <w:spacing w:after="0" w:line="121" w:lineRule="exact"/>
        <w:rPr>
          <w:sz w:val="20"/>
          <w:szCs w:val="20"/>
          <w:color w:val="auto"/>
        </w:rPr>
      </w:pPr>
    </w:p>
    <w:p>
      <w:pPr>
        <w:jc w:val="both"/>
        <w:ind w:left="220" w:firstLine="808"/>
        <w:spacing w:after="0" w:line="254" w:lineRule="auto"/>
        <w:rPr>
          <w:sz w:val="20"/>
          <w:szCs w:val="20"/>
          <w:color w:val="auto"/>
        </w:rPr>
      </w:pPr>
      <w:r>
        <w:rPr>
          <w:rFonts w:ascii="Arial" w:cs="Arial" w:eastAsia="Arial" w:hAnsi="Arial"/>
          <w:sz w:val="13"/>
          <w:szCs w:val="13"/>
          <w:color w:val="auto"/>
        </w:rPr>
        <w:t>“Fronting Exposure” means, at any time there is a Defaulting Lender, (a) with respect to the L/C Issuer, such Defaulting Lender’s Applicable Percentage of the outstanding L/C Obligations other than L/C Obligations as to which such Defaulting Lender’s participation obligation has been reallocated to other Revolving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Revolving Lenders in accordance with the terms hereof.</w:t>
      </w:r>
    </w:p>
    <w:p>
      <w:pPr>
        <w:spacing w:after="0" w:line="97"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“Fund” means any Person (other than a natural person) that is (or will be) engaged in making, purchasing, holding or otherwise investing in commercial loans and similar extensions of credit in the ordinary course of its business.</w:t>
      </w:r>
    </w:p>
    <w:p>
      <w:pPr>
        <w:spacing w:after="0" w:line="95" w:lineRule="exact"/>
        <w:rPr>
          <w:sz w:val="20"/>
          <w:szCs w:val="20"/>
          <w:color w:val="auto"/>
        </w:rPr>
      </w:pPr>
    </w:p>
    <w:p>
      <w:pPr>
        <w:jc w:val="both"/>
        <w:ind w:left="220" w:firstLine="808"/>
        <w:spacing w:after="0" w:line="258" w:lineRule="auto"/>
        <w:rPr>
          <w:sz w:val="20"/>
          <w:szCs w:val="20"/>
          <w:color w:val="auto"/>
        </w:rPr>
      </w:pPr>
      <w:r>
        <w:rPr>
          <w:rFonts w:ascii="Arial" w:cs="Arial" w:eastAsia="Arial" w:hAnsi="Arial"/>
          <w:sz w:val="13"/>
          <w:szCs w:val="13"/>
          <w:color w:val="auto"/>
        </w:rPr>
        <w:t>“GAAP” means generally accepted accounting principles in the United States set forth in the opinions and pronouncements of the FASB and the American Institute of Certified Public Accountants and statements and pronouncements of the FASB or such other principles as may be approved by a significant segment of the accounting profession in the United States, that are applicable to the circumstances as of the date of determination, consistently applied.</w:t>
      </w:r>
    </w:p>
    <w:p>
      <w:pPr>
        <w:spacing w:after="0" w:line="94"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“Governmental Authority” means the government of the United States or any other nation, or of any political subdivision thereof, whether state or local, and any agency, authority, instrumentality, regulatory body, court, central bank or other entity exercising executive, legislative, judicial, taxing,</w:t>
      </w:r>
    </w:p>
    <w:p>
      <w:pPr>
        <w:spacing w:after="0" w:line="260"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34" w:name="page35"/>
    <w:bookmarkEnd w:id="34"/>
    <w:p>
      <w:pPr>
        <w:ind w:left="220"/>
        <w:spacing w:after="0"/>
        <w:rPr>
          <w:sz w:val="20"/>
          <w:szCs w:val="20"/>
          <w:color w:val="auto"/>
        </w:rPr>
      </w:pPr>
      <w:r>
        <w:rPr>
          <w:rFonts w:ascii="Arial" w:cs="Arial" w:eastAsia="Arial" w:hAnsi="Arial"/>
          <w:sz w:val="13"/>
          <w:szCs w:val="13"/>
          <w:color w:val="auto"/>
        </w:rPr>
        <w:t>regulatory or administrative powers or functions of or pertaining to government (including any supra- national bodies such as the European Union or the European Central Bank).</w:t>
      </w:r>
    </w:p>
    <w:p>
      <w:pPr>
        <w:spacing w:after="0" w:line="122" w:lineRule="exact"/>
        <w:rPr>
          <w:sz w:val="20"/>
          <w:szCs w:val="20"/>
          <w:color w:val="auto"/>
        </w:rPr>
      </w:pPr>
    </w:p>
    <w:p>
      <w:pPr>
        <w:jc w:val="both"/>
        <w:ind w:left="220" w:firstLine="808"/>
        <w:spacing w:after="0" w:line="248" w:lineRule="auto"/>
        <w:rPr>
          <w:sz w:val="20"/>
          <w:szCs w:val="20"/>
          <w:color w:val="auto"/>
        </w:rPr>
      </w:pPr>
      <w:r>
        <w:rPr>
          <w:rFonts w:ascii="Arial" w:cs="Arial" w:eastAsia="Arial" w:hAnsi="Arial"/>
          <w:sz w:val="13"/>
          <w:szCs w:val="13"/>
          <w:color w:val="auto"/>
        </w:rPr>
        <w:t>“Guarantee”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The term “Guarantee” as a verb has a corresponding meaning.</w:t>
      </w:r>
    </w:p>
    <w:p>
      <w:pPr>
        <w:spacing w:after="0" w:line="113"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 xml:space="preserve">“Guarantor” means (a) each Domestic Subsidiary of the Lead Borrower (other than any CFC, the Immaterial Subsidiary or any Borrower) existing on the Closing Date and (b) each other Subsidiary of the Lead Borrower that shall be required to execute and deliver a Facility Guaranty pursuant to </w:t>
      </w:r>
      <w:r>
        <w:rPr>
          <w:rFonts w:ascii="Arial" w:cs="Arial" w:eastAsia="Arial" w:hAnsi="Arial"/>
          <w:sz w:val="13"/>
          <w:szCs w:val="13"/>
          <w:u w:val="single" w:color="auto"/>
          <w:color w:val="auto"/>
        </w:rPr>
        <w:t>Section 6.11</w:t>
      </w:r>
      <w:r>
        <w:rPr>
          <w:rFonts w:ascii="Arial" w:cs="Arial" w:eastAsia="Arial" w:hAnsi="Arial"/>
          <w:sz w:val="13"/>
          <w:szCs w:val="13"/>
          <w:color w:val="auto"/>
        </w:rPr>
        <w:t>.</w:t>
      </w:r>
    </w:p>
    <w:p>
      <w:pPr>
        <w:spacing w:after="0" w:line="86" w:lineRule="exact"/>
        <w:rPr>
          <w:sz w:val="20"/>
          <w:szCs w:val="20"/>
          <w:color w:val="auto"/>
        </w:rPr>
      </w:pPr>
    </w:p>
    <w:p>
      <w:pPr>
        <w:jc w:val="both"/>
        <w:ind w:left="220" w:firstLine="808"/>
        <w:spacing w:after="0" w:line="314" w:lineRule="auto"/>
        <w:rPr>
          <w:sz w:val="20"/>
          <w:szCs w:val="20"/>
          <w:color w:val="auto"/>
        </w:rPr>
      </w:pPr>
      <w:r>
        <w:rPr>
          <w:rFonts w:ascii="Arial" w:cs="Arial" w:eastAsia="Arial" w:hAnsi="Arial"/>
          <w:sz w:val="12"/>
          <w:szCs w:val="12"/>
          <w:color w:val="auto"/>
        </w:rPr>
        <w:t>“Hazardous Materials”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62"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 xml:space="preserve">“Honor Date” has the meaning specified in </w:t>
      </w:r>
      <w:r>
        <w:rPr>
          <w:rFonts w:ascii="Arial" w:cs="Arial" w:eastAsia="Arial" w:hAnsi="Arial"/>
          <w:sz w:val="13"/>
          <w:szCs w:val="13"/>
          <w:u w:val="single" w:color="auto"/>
          <w:color w:val="auto"/>
        </w:rPr>
        <w:t>Section 2.03(c)(i)</w:t>
      </w:r>
      <w:r>
        <w:rPr>
          <w:rFonts w:ascii="Arial" w:cs="Arial" w:eastAsia="Arial" w:hAnsi="Arial"/>
          <w:sz w:val="13"/>
          <w:szCs w:val="13"/>
          <w:color w:val="auto"/>
        </w:rPr>
        <w:t>.</w:t>
      </w:r>
    </w:p>
    <w:p>
      <w:pPr>
        <w:spacing w:after="0" w:line="130" w:lineRule="exact"/>
        <w:rPr>
          <w:sz w:val="20"/>
          <w:szCs w:val="20"/>
          <w:color w:val="auto"/>
        </w:rPr>
      </w:pPr>
    </w:p>
    <w:p>
      <w:pPr>
        <w:jc w:val="both"/>
        <w:ind w:left="220" w:firstLine="808"/>
        <w:spacing w:after="0" w:line="258" w:lineRule="auto"/>
        <w:rPr>
          <w:sz w:val="20"/>
          <w:szCs w:val="20"/>
          <w:color w:val="auto"/>
        </w:rPr>
      </w:pPr>
      <w:r>
        <w:rPr>
          <w:rFonts w:ascii="Arial" w:cs="Arial" w:eastAsia="Arial" w:hAnsi="Arial"/>
          <w:sz w:val="13"/>
          <w:szCs w:val="13"/>
          <w:color w:val="auto"/>
        </w:rPr>
        <w:t>“Immaterial Subsidiary” means Canton PL Liquidating Corp., a Nevada corporation, so long as (a) it does not have assets in an amount equal to at least 3.0% of the consolidated assets of the Lead Borrower and its Subsidiaries as of the last day of the most recently completed Fiscal Quarter, as determined in accordance with GAAP for such period, and (b) does not hold legal or beneficial title to any assets of the type included in the Borrowing Base or the FILO Borrowing Base.</w:t>
      </w:r>
    </w:p>
    <w:p>
      <w:pPr>
        <w:spacing w:after="0" w:line="94"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 xml:space="preserve">“Increase Effective Date” shall have the meaning provided therefor in </w:t>
      </w:r>
      <w:r>
        <w:rPr>
          <w:rFonts w:ascii="Arial" w:cs="Arial" w:eastAsia="Arial" w:hAnsi="Arial"/>
          <w:sz w:val="13"/>
          <w:szCs w:val="13"/>
          <w:u w:val="single" w:color="auto"/>
          <w:color w:val="auto"/>
        </w:rPr>
        <w:t>Section 2.15(d)</w:t>
      </w:r>
      <w:r>
        <w:rPr>
          <w:rFonts w:ascii="Arial" w:cs="Arial" w:eastAsia="Arial" w:hAnsi="Arial"/>
          <w:sz w:val="13"/>
          <w:szCs w:val="13"/>
          <w:color w:val="auto"/>
        </w:rPr>
        <w:t>.</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2"/>
          <w:szCs w:val="12"/>
          <w:color w:val="auto"/>
        </w:rPr>
        <w:t>“Indebtedness” means, as to any Person at a particular time, without duplication, all of the following, whether or not included as indebtedness or liabilities in accordance with GAAP:</w:t>
      </w:r>
    </w:p>
    <w:p>
      <w:pPr>
        <w:spacing w:after="0" w:line="159" w:lineRule="exact"/>
        <w:rPr>
          <w:sz w:val="20"/>
          <w:szCs w:val="20"/>
          <w:color w:val="auto"/>
        </w:rPr>
      </w:pPr>
    </w:p>
    <w:p>
      <w:pPr>
        <w:ind w:left="2400" w:hanging="581"/>
        <w:spacing w:after="0"/>
        <w:tabs>
          <w:tab w:leader="none" w:pos="2400" w:val="left"/>
        </w:tabs>
        <w:numPr>
          <w:ilvl w:val="0"/>
          <w:numId w:val="24"/>
        </w:numPr>
        <w:rPr>
          <w:rFonts w:ascii="Arial" w:cs="Arial" w:eastAsia="Arial" w:hAnsi="Arial"/>
          <w:sz w:val="12"/>
          <w:szCs w:val="12"/>
          <w:color w:val="auto"/>
        </w:rPr>
      </w:pPr>
      <w:r>
        <w:rPr>
          <w:rFonts w:ascii="Arial" w:cs="Arial" w:eastAsia="Arial" w:hAnsi="Arial"/>
          <w:sz w:val="12"/>
          <w:szCs w:val="12"/>
          <w:color w:val="auto"/>
        </w:rPr>
        <w:t>all obligations of such Person for borrowed money and all obligations of such Person evidenced by bonds, debentures, notes, loan agreements or other similar</w:t>
      </w:r>
    </w:p>
    <w:p>
      <w:pPr>
        <w:spacing w:after="0" w:line="2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instruments;</w:t>
      </w:r>
    </w:p>
    <w:p>
      <w:pPr>
        <w:spacing w:after="0" w:line="138" w:lineRule="exact"/>
        <w:rPr>
          <w:sz w:val="20"/>
          <w:szCs w:val="20"/>
          <w:color w:val="auto"/>
        </w:rPr>
      </w:pPr>
    </w:p>
    <w:p>
      <w:pPr>
        <w:ind w:left="1080" w:right="120" w:firstLine="739"/>
        <w:spacing w:after="0" w:line="271" w:lineRule="auto"/>
        <w:tabs>
          <w:tab w:leader="none" w:pos="2412"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maximum amount of all direct or contingent obligations of such Person arising under letters of credit (including standby and commercial), bankers’ acceptances, bank guaranties, surety bonds and similar instruments;</w:t>
      </w:r>
    </w:p>
    <w:p>
      <w:pPr>
        <w:spacing w:after="0" w:line="260"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35" w:name="page36"/>
    <w:bookmarkEnd w:id="35"/>
    <w:p>
      <w:pPr>
        <w:ind w:left="2400" w:hanging="585"/>
        <w:spacing w:after="0"/>
        <w:tabs>
          <w:tab w:leader="none" w:pos="24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net obligations of such Person under any Swap Contract;</w:t>
      </w:r>
    </w:p>
    <w:p>
      <w:pPr>
        <w:spacing w:after="0" w:line="122" w:lineRule="exact"/>
        <w:rPr>
          <w:rFonts w:ascii="Arial" w:cs="Arial" w:eastAsia="Arial" w:hAnsi="Arial"/>
          <w:sz w:val="13"/>
          <w:szCs w:val="13"/>
          <w:color w:val="auto"/>
        </w:rPr>
      </w:pPr>
    </w:p>
    <w:p>
      <w:pPr>
        <w:ind w:left="1060" w:right="120" w:firstLine="755"/>
        <w:spacing w:after="0" w:line="271" w:lineRule="auto"/>
        <w:tabs>
          <w:tab w:leader="none" w:pos="2392" w:val="left"/>
        </w:tabs>
        <w:numPr>
          <w:ilvl w:val="0"/>
          <w:numId w:val="26"/>
        </w:numPr>
        <w:rPr>
          <w:rFonts w:ascii="Arial" w:cs="Arial" w:eastAsia="Arial" w:hAnsi="Arial"/>
          <w:sz w:val="13"/>
          <w:szCs w:val="13"/>
          <w:color w:val="auto"/>
        </w:rPr>
      </w:pPr>
      <w:r>
        <w:rPr>
          <w:rFonts w:ascii="Arial" w:cs="Arial" w:eastAsia="Arial" w:hAnsi="Arial"/>
          <w:sz w:val="13"/>
          <w:szCs w:val="13"/>
          <w:color w:val="auto"/>
        </w:rPr>
        <w:t>all obligations of such Person to pay the deferred purchase price of property or services (other than trade accounts payable in the ordinary course of business) and, in each case, not past due for more than 60 days after the date on which such trade account payable was created;</w:t>
      </w:r>
    </w:p>
    <w:p>
      <w:pPr>
        <w:spacing w:after="0" w:line="94" w:lineRule="exact"/>
        <w:rPr>
          <w:rFonts w:ascii="Arial" w:cs="Arial" w:eastAsia="Arial" w:hAnsi="Arial"/>
          <w:sz w:val="13"/>
          <w:szCs w:val="13"/>
          <w:color w:val="auto"/>
        </w:rPr>
      </w:pPr>
    </w:p>
    <w:p>
      <w:pPr>
        <w:ind w:left="1060" w:right="340" w:firstLine="755"/>
        <w:spacing w:after="0" w:line="314" w:lineRule="auto"/>
        <w:tabs>
          <w:tab w:leader="none" w:pos="2385" w:val="left"/>
        </w:tabs>
        <w:numPr>
          <w:ilvl w:val="0"/>
          <w:numId w:val="26"/>
        </w:numPr>
        <w:rPr>
          <w:rFonts w:ascii="Arial" w:cs="Arial" w:eastAsia="Arial" w:hAnsi="Arial"/>
          <w:sz w:val="12"/>
          <w:szCs w:val="12"/>
          <w:color w:val="auto"/>
        </w:rPr>
      </w:pPr>
      <w:r>
        <w:rPr>
          <w:rFonts w:ascii="Arial" w:cs="Arial" w:eastAsia="Arial" w:hAnsi="Arial"/>
          <w:sz w:val="12"/>
          <w:szCs w:val="12"/>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62" w:lineRule="exact"/>
        <w:rPr>
          <w:rFonts w:ascii="Arial" w:cs="Arial" w:eastAsia="Arial" w:hAnsi="Arial"/>
          <w:sz w:val="12"/>
          <w:szCs w:val="12"/>
          <w:color w:val="auto"/>
        </w:rPr>
      </w:pPr>
    </w:p>
    <w:p>
      <w:pPr>
        <w:ind w:left="2380" w:hanging="565"/>
        <w:spacing w:after="0"/>
        <w:tabs>
          <w:tab w:leader="none" w:pos="23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All Attributable Indebtedness of such Person;</w:t>
      </w:r>
    </w:p>
    <w:p>
      <w:pPr>
        <w:spacing w:after="0" w:line="120" w:lineRule="exact"/>
        <w:rPr>
          <w:rFonts w:ascii="Arial" w:cs="Arial" w:eastAsia="Arial" w:hAnsi="Arial"/>
          <w:sz w:val="13"/>
          <w:szCs w:val="13"/>
          <w:color w:val="auto"/>
        </w:rPr>
      </w:pPr>
    </w:p>
    <w:p>
      <w:pPr>
        <w:ind w:left="1060" w:right="60" w:firstLine="755"/>
        <w:spacing w:after="0" w:line="258" w:lineRule="auto"/>
        <w:tabs>
          <w:tab w:leader="none" w:pos="2392" w:val="left"/>
        </w:tabs>
        <w:numPr>
          <w:ilvl w:val="0"/>
          <w:numId w:val="26"/>
        </w:numPr>
        <w:rPr>
          <w:rFonts w:ascii="Arial" w:cs="Arial" w:eastAsia="Arial" w:hAnsi="Arial"/>
          <w:sz w:val="13"/>
          <w:szCs w:val="13"/>
          <w:color w:val="auto"/>
        </w:rPr>
      </w:pPr>
      <w:r>
        <w:rPr>
          <w:rFonts w:ascii="Arial" w:cs="Arial" w:eastAsia="Arial" w:hAnsi="Arial"/>
          <w:sz w:val="13"/>
          <w:szCs w:val="13"/>
          <w:color w:val="auto"/>
        </w:rPr>
        <w:t xml:space="preserve">all obligations of such Person to purchase, redeem, retire, defease or otherwise make any payment in respect of any Equity Interest in such Person or any other Person (including, without limitation, Disqualified Stock), or any warrant, right or option to acquire such Equity Interest, valued, in the case of a redeemable preferred interest, at the greater of its voluntary or involuntary liquidation preference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accrued and unpaid dividends; and</w:t>
      </w:r>
    </w:p>
    <w:p>
      <w:pPr>
        <w:spacing w:after="0" w:line="103" w:lineRule="exact"/>
        <w:rPr>
          <w:rFonts w:ascii="Arial" w:cs="Arial" w:eastAsia="Arial" w:hAnsi="Arial"/>
          <w:sz w:val="13"/>
          <w:szCs w:val="13"/>
          <w:color w:val="auto"/>
        </w:rPr>
      </w:pPr>
    </w:p>
    <w:p>
      <w:pPr>
        <w:ind w:left="2400" w:hanging="585"/>
        <w:spacing w:after="0"/>
        <w:tabs>
          <w:tab w:leader="none" w:pos="24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all Guarantees of such Person in respect of any of the foregoing.</w:t>
      </w:r>
    </w:p>
    <w:p>
      <w:pPr>
        <w:spacing w:after="0" w:line="121" w:lineRule="exact"/>
        <w:rPr>
          <w:sz w:val="20"/>
          <w:szCs w:val="20"/>
          <w:color w:val="auto"/>
        </w:rPr>
      </w:pPr>
    </w:p>
    <w:p>
      <w:pPr>
        <w:jc w:val="both"/>
        <w:ind w:left="220" w:firstLine="808"/>
        <w:spacing w:after="0" w:line="258" w:lineRule="auto"/>
        <w:rPr>
          <w:sz w:val="20"/>
          <w:szCs w:val="20"/>
          <w:color w:val="auto"/>
        </w:rPr>
      </w:pPr>
      <w:r>
        <w:rPr>
          <w:rFonts w:ascii="Arial" w:cs="Arial" w:eastAsia="Arial" w:hAnsi="Arial"/>
          <w:sz w:val="13"/>
          <w:szCs w:val="13"/>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w:t>
      </w:r>
    </w:p>
    <w:p>
      <w:pPr>
        <w:spacing w:after="0" w:line="94"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 xml:space="preserve">“Indemnified Taxes” means (a) Taxes, other than Excluded Taxes, imposed on or with respect to any payment made by or on account of any obligation of any Loan Party under any Loan Document and (b) to the extent not otherwise described in (a), Other Taxes. “Indemnitees” has the meaning specified in </w:t>
      </w:r>
      <w:r>
        <w:rPr>
          <w:rFonts w:ascii="Arial" w:cs="Arial" w:eastAsia="Arial" w:hAnsi="Arial"/>
          <w:sz w:val="13"/>
          <w:szCs w:val="13"/>
          <w:u w:val="single" w:color="auto"/>
          <w:color w:val="auto"/>
        </w:rPr>
        <w:t>Section 10.04(b)</w:t>
      </w:r>
      <w:r>
        <w:rPr>
          <w:rFonts w:ascii="Arial" w:cs="Arial" w:eastAsia="Arial" w:hAnsi="Arial"/>
          <w:sz w:val="13"/>
          <w:szCs w:val="13"/>
          <w:color w:val="auto"/>
        </w:rPr>
        <w:t>.</w:t>
      </w:r>
    </w:p>
    <w:p>
      <w:pPr>
        <w:spacing w:after="0" w:line="95"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 xml:space="preserve">“Information” has the meaning specified in </w:t>
      </w:r>
      <w:r>
        <w:rPr>
          <w:rFonts w:ascii="Arial" w:cs="Arial" w:eastAsia="Arial" w:hAnsi="Arial"/>
          <w:sz w:val="13"/>
          <w:szCs w:val="13"/>
          <w:u w:val="single" w:color="auto"/>
          <w:color w:val="auto"/>
        </w:rPr>
        <w:t>Section 10.07</w:t>
      </w:r>
      <w:r>
        <w:rPr>
          <w:rFonts w:ascii="Arial" w:cs="Arial" w:eastAsia="Arial" w:hAnsi="Arial"/>
          <w:sz w:val="13"/>
          <w:szCs w:val="13"/>
          <w:color w:val="auto"/>
        </w:rPr>
        <w:t>.</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“Intellectual Property” has the meaning given to such term in the Security Agreement.</w:t>
      </w:r>
    </w:p>
    <w:p>
      <w:pPr>
        <w:spacing w:after="0" w:line="121" w:lineRule="exact"/>
        <w:rPr>
          <w:sz w:val="20"/>
          <w:szCs w:val="20"/>
          <w:color w:val="auto"/>
        </w:rPr>
      </w:pPr>
    </w:p>
    <w:p>
      <w:pPr>
        <w:jc w:val="both"/>
        <w:ind w:left="220" w:firstLine="808"/>
        <w:spacing w:after="0" w:line="258" w:lineRule="auto"/>
        <w:rPr>
          <w:sz w:val="20"/>
          <w:szCs w:val="20"/>
          <w:color w:val="auto"/>
        </w:rPr>
      </w:pPr>
      <w:r>
        <w:rPr>
          <w:rFonts w:ascii="Arial" w:cs="Arial" w:eastAsia="Arial" w:hAnsi="Arial"/>
          <w:sz w:val="13"/>
          <w:szCs w:val="13"/>
          <w:color w:val="auto"/>
        </w:rPr>
        <w:t>“Interest Payment Date” means, (a) as to any LIBOR Rate Loan, the last day of each Interest Period applicable to such Loan and the Maturity Date; provided, however, that if any Interest Period for a LIBOR Rate Loan exceeds three months, the respective dates that fall every three months after the beginning of such Interest Period shall also be Interest Payment Dates; and (b) as to any Base Rate Loan (including a Swing Line Loan), the first calendar day of each month and the Maturity Date.</w:t>
      </w:r>
    </w:p>
    <w:p>
      <w:pPr>
        <w:spacing w:after="0" w:line="103"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“Interest Period” means, as to each LIBOR Rate Loan, the period commencing on the date such LIBOR Rate Loan is disbursed or Converted to or continued as a LIBOR Rate Loan and ending on the date one week or one, two, three or six months thereafter, as selected by the Lead Borrower in its Committed Loan Notice; provided that:</w:t>
      </w:r>
    </w:p>
    <w:p>
      <w:pPr>
        <w:spacing w:after="0" w:line="260"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36" w:name="page37"/>
    <w:bookmarkEnd w:id="36"/>
    <w:p>
      <w:pPr>
        <w:ind w:left="1060" w:firstLine="755"/>
        <w:spacing w:after="0" w:line="274" w:lineRule="auto"/>
        <w:tabs>
          <w:tab w:leader="none" w:pos="2363" w:val="left"/>
        </w:tabs>
        <w:numPr>
          <w:ilvl w:val="0"/>
          <w:numId w:val="27"/>
        </w:numPr>
        <w:rPr>
          <w:rFonts w:ascii="Arial" w:cs="Arial" w:eastAsia="Arial" w:hAnsi="Arial"/>
          <w:sz w:val="13"/>
          <w:szCs w:val="13"/>
          <w:color w:val="auto"/>
        </w:rPr>
      </w:pPr>
      <w:r>
        <w:rPr>
          <w:rFonts w:ascii="Arial" w:cs="Arial" w:eastAsia="Arial" w:hAnsi="Arial"/>
          <w:sz w:val="13"/>
          <w:szCs w:val="13"/>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83" w:lineRule="exact"/>
        <w:rPr>
          <w:rFonts w:ascii="Arial" w:cs="Arial" w:eastAsia="Arial" w:hAnsi="Arial"/>
          <w:sz w:val="13"/>
          <w:szCs w:val="13"/>
          <w:color w:val="auto"/>
        </w:rPr>
      </w:pPr>
    </w:p>
    <w:p>
      <w:pPr>
        <w:ind w:left="1060" w:firstLine="755"/>
        <w:spacing w:after="0" w:line="271" w:lineRule="auto"/>
        <w:tabs>
          <w:tab w:leader="none" w:pos="24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w:t>
      </w:r>
    </w:p>
    <w:p>
      <w:pPr>
        <w:spacing w:after="0" w:line="94" w:lineRule="exact"/>
        <w:rPr>
          <w:rFonts w:ascii="Arial" w:cs="Arial" w:eastAsia="Arial" w:hAnsi="Arial"/>
          <w:sz w:val="13"/>
          <w:szCs w:val="13"/>
          <w:color w:val="auto"/>
        </w:rPr>
      </w:pPr>
    </w:p>
    <w:p>
      <w:pPr>
        <w:ind w:left="2440" w:hanging="625"/>
        <w:spacing w:after="0"/>
        <w:tabs>
          <w:tab w:leader="none" w:pos="24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no Interest Period shall extend beyond the Maturity Date; and</w:t>
      </w:r>
    </w:p>
    <w:p>
      <w:pPr>
        <w:spacing w:after="0" w:line="120" w:lineRule="exact"/>
        <w:rPr>
          <w:rFonts w:ascii="Arial" w:cs="Arial" w:eastAsia="Arial" w:hAnsi="Arial"/>
          <w:sz w:val="13"/>
          <w:szCs w:val="13"/>
          <w:color w:val="auto"/>
        </w:rPr>
      </w:pPr>
    </w:p>
    <w:p>
      <w:pPr>
        <w:ind w:left="1060" w:firstLine="755"/>
        <w:spacing w:after="0" w:line="271" w:lineRule="auto"/>
        <w:tabs>
          <w:tab w:leader="none" w:pos="2429" w:val="left"/>
        </w:tabs>
        <w:numPr>
          <w:ilvl w:val="0"/>
          <w:numId w:val="27"/>
        </w:numPr>
        <w:rPr>
          <w:rFonts w:ascii="Arial" w:cs="Arial" w:eastAsia="Arial" w:hAnsi="Arial"/>
          <w:sz w:val="13"/>
          <w:szCs w:val="13"/>
          <w:color w:val="auto"/>
        </w:rPr>
      </w:pPr>
      <w:r>
        <w:rPr>
          <w:rFonts w:ascii="Arial" w:cs="Arial" w:eastAsia="Arial" w:hAnsi="Arial"/>
          <w:sz w:val="13"/>
          <w:szCs w:val="13"/>
          <w:color w:val="auto"/>
        </w:rPr>
        <w:t>notwithstanding the provisions of clause (iii), no Interest Period shall have a duration of less than one (1) week, and if any Interest Period applicable to a LIBOR Borrowing would be for a shorter period, such Interest Period shall not be available hereunder.</w:t>
      </w:r>
    </w:p>
    <w:p>
      <w:pPr>
        <w:spacing w:after="0" w:line="113" w:lineRule="exact"/>
        <w:rPr>
          <w:sz w:val="20"/>
          <w:szCs w:val="20"/>
          <w:color w:val="auto"/>
        </w:rPr>
      </w:pPr>
    </w:p>
    <w:p>
      <w:pPr>
        <w:jc w:val="both"/>
        <w:ind w:left="220"/>
        <w:spacing w:after="0" w:line="271" w:lineRule="auto"/>
        <w:rPr>
          <w:sz w:val="20"/>
          <w:szCs w:val="20"/>
          <w:color w:val="auto"/>
        </w:rPr>
      </w:pPr>
      <w:r>
        <w:rPr>
          <w:rFonts w:ascii="Arial" w:cs="Arial" w:eastAsia="Arial" w:hAnsi="Arial"/>
          <w:sz w:val="13"/>
          <w:szCs w:val="13"/>
          <w:color w:val="auto"/>
        </w:rPr>
        <w:t>For purposes hereof, the date of a Borrowing initially shall be the date on which such Borrowing is made and thereafter shall be the effective date of the most recent Conversion or continuation of such Borrowing.</w:t>
      </w:r>
    </w:p>
    <w:p>
      <w:pPr>
        <w:spacing w:after="0" w:line="86"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“Internal Control Event” means a material weakness in, or fraud that involves management or other employees who have a significant role in, the Lead Borrower’s and/or its Subsidiaries’ internal controls over financial reporting.</w:t>
      </w:r>
    </w:p>
    <w:p>
      <w:pPr>
        <w:spacing w:after="0" w:line="95"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“In-Transit Advance Rate” means 80%.</w:t>
      </w:r>
    </w:p>
    <w:p>
      <w:pPr>
        <w:spacing w:after="0" w:line="121"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“In-Transit Inventory” means Inventory of a Loan Party which is in the possession of a common carrier and is in transit from a Foreign Vendor of a Loan Party from a location outside of the continental United States to a location of a Loan Party that is within the continental United States.</w:t>
      </w:r>
    </w:p>
    <w:p>
      <w:pPr>
        <w:spacing w:after="0" w:line="86" w:lineRule="exact"/>
        <w:rPr>
          <w:sz w:val="20"/>
          <w:szCs w:val="20"/>
          <w:color w:val="auto"/>
        </w:rPr>
      </w:pPr>
    </w:p>
    <w:p>
      <w:pPr>
        <w:jc w:val="both"/>
        <w:ind w:left="220" w:firstLine="808"/>
        <w:spacing w:after="0" w:line="290" w:lineRule="auto"/>
        <w:rPr>
          <w:sz w:val="20"/>
          <w:szCs w:val="20"/>
          <w:color w:val="auto"/>
        </w:rPr>
      </w:pPr>
      <w:r>
        <w:rPr>
          <w:rFonts w:ascii="Arial" w:cs="Arial" w:eastAsia="Arial" w:hAnsi="Arial"/>
          <w:sz w:val="12"/>
          <w:szCs w:val="12"/>
          <w:color w:val="auto"/>
        </w:rPr>
        <w:t>“Inventory” has the meaning given that term in the UCC, and shall also include, without limitation, all: (a) goods which (i) are leased by a Person as lessor, (ii) are held by a Person for sale or lease or to be furnished under a contract of service, (iii) are furnished by a Person under a contract of service, or (iv) consist of raw materials, work in process, or materials used or consumed in a business; (b) goods of said description in transit; (c) goods of said description which are returned, repossessed or rejected; and (d) packaging, advertising, and shipping materials related to any of the foregoing.</w:t>
      </w:r>
    </w:p>
    <w:p>
      <w:pPr>
        <w:spacing w:after="0" w:line="85"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“Inventory Advance Rate” means 90%.</w:t>
      </w:r>
    </w:p>
    <w:p>
      <w:pPr>
        <w:spacing w:after="0" w:line="121" w:lineRule="exact"/>
        <w:rPr>
          <w:sz w:val="20"/>
          <w:szCs w:val="20"/>
          <w:color w:val="auto"/>
        </w:rPr>
      </w:pPr>
    </w:p>
    <w:p>
      <w:pPr>
        <w:jc w:val="both"/>
        <w:ind w:left="220" w:firstLine="808"/>
        <w:spacing w:after="0" w:line="290" w:lineRule="auto"/>
        <w:rPr>
          <w:sz w:val="20"/>
          <w:szCs w:val="20"/>
          <w:color w:val="auto"/>
        </w:rPr>
      </w:pPr>
      <w:r>
        <w:rPr>
          <w:rFonts w:ascii="Arial" w:cs="Arial" w:eastAsia="Arial" w:hAnsi="Arial"/>
          <w:sz w:val="12"/>
          <w:szCs w:val="12"/>
          <w:color w:val="auto"/>
        </w:rPr>
        <w:t>“Inventory Reserves” means such reserves as may be established from time to time by the Agent in its discretion with respect to the determination of the saleability, at retail, of the Eligible Inventory, which reflect such other factors as affect the market value of the Eligible Inventory or which reflect claims and liabilities that the Agent determines will need to be satisfied in connection with the realization upon the Inventory. Without limiting the generality of the foregoing, Inventory Reserves may, in the Agent’s discretion, include (but are not limited to) reserves based on:</w:t>
      </w:r>
    </w:p>
    <w:p>
      <w:pPr>
        <w:spacing w:after="0" w:line="103" w:lineRule="exact"/>
        <w:rPr>
          <w:sz w:val="20"/>
          <w:szCs w:val="20"/>
          <w:color w:val="auto"/>
        </w:rPr>
      </w:pPr>
    </w:p>
    <w:p>
      <w:pPr>
        <w:ind w:left="2420" w:hanging="584"/>
        <w:spacing w:after="0"/>
        <w:tabs>
          <w:tab w:leader="none" w:pos="24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Obsolescence;</w:t>
      </w:r>
    </w:p>
    <w:p>
      <w:pPr>
        <w:spacing w:after="0" w:line="147" w:lineRule="exact"/>
        <w:rPr>
          <w:rFonts w:ascii="Arial" w:cs="Arial" w:eastAsia="Arial" w:hAnsi="Arial"/>
          <w:sz w:val="13"/>
          <w:szCs w:val="13"/>
          <w:color w:val="auto"/>
        </w:rPr>
      </w:pPr>
    </w:p>
    <w:p>
      <w:pPr>
        <w:ind w:left="2420" w:hanging="584"/>
        <w:spacing w:after="0"/>
        <w:tabs>
          <w:tab w:leader="none" w:pos="24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Seasonality;</w:t>
      </w:r>
    </w:p>
    <w:p>
      <w:pPr>
        <w:spacing w:after="0" w:line="147" w:lineRule="exact"/>
        <w:rPr>
          <w:rFonts w:ascii="Arial" w:cs="Arial" w:eastAsia="Arial" w:hAnsi="Arial"/>
          <w:sz w:val="13"/>
          <w:szCs w:val="13"/>
          <w:color w:val="auto"/>
        </w:rPr>
      </w:pPr>
    </w:p>
    <w:p>
      <w:pPr>
        <w:ind w:left="2420" w:hanging="584"/>
        <w:spacing w:after="0"/>
        <w:tabs>
          <w:tab w:leader="none" w:pos="24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Shrink;</w:t>
      </w:r>
    </w:p>
    <w:p>
      <w:pPr>
        <w:spacing w:after="0" w:line="295"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37" w:name="page38"/>
    <w:bookmarkEnd w:id="37"/>
    <w:p>
      <w:pPr>
        <w:ind w:left="2420" w:hanging="584"/>
        <w:spacing w:after="0"/>
        <w:tabs>
          <w:tab w:leader="none" w:pos="2420" w:val="left"/>
        </w:tabs>
        <w:numPr>
          <w:ilvl w:val="1"/>
          <w:numId w:val="29"/>
        </w:numPr>
        <w:rPr>
          <w:rFonts w:ascii="Arial" w:cs="Arial" w:eastAsia="Arial" w:hAnsi="Arial"/>
          <w:sz w:val="13"/>
          <w:szCs w:val="13"/>
          <w:color w:val="auto"/>
        </w:rPr>
      </w:pPr>
      <w:r>
        <w:rPr>
          <w:rFonts w:ascii="Arial" w:cs="Arial" w:eastAsia="Arial" w:hAnsi="Arial"/>
          <w:sz w:val="13"/>
          <w:szCs w:val="13"/>
          <w:color w:val="auto"/>
        </w:rPr>
        <w:t>Imbalance;</w:t>
      </w:r>
    </w:p>
    <w:p>
      <w:pPr>
        <w:spacing w:after="0" w:line="149" w:lineRule="exact"/>
        <w:rPr>
          <w:rFonts w:ascii="Arial" w:cs="Arial" w:eastAsia="Arial" w:hAnsi="Arial"/>
          <w:sz w:val="13"/>
          <w:szCs w:val="13"/>
          <w:color w:val="auto"/>
        </w:rPr>
      </w:pPr>
    </w:p>
    <w:p>
      <w:pPr>
        <w:ind w:left="2420" w:hanging="584"/>
        <w:spacing w:after="0"/>
        <w:tabs>
          <w:tab w:leader="none" w:pos="2420" w:val="left"/>
        </w:tabs>
        <w:numPr>
          <w:ilvl w:val="1"/>
          <w:numId w:val="29"/>
        </w:numPr>
        <w:rPr>
          <w:rFonts w:ascii="Arial" w:cs="Arial" w:eastAsia="Arial" w:hAnsi="Arial"/>
          <w:sz w:val="13"/>
          <w:szCs w:val="13"/>
          <w:color w:val="auto"/>
        </w:rPr>
      </w:pPr>
      <w:r>
        <w:rPr>
          <w:rFonts w:ascii="Arial" w:cs="Arial" w:eastAsia="Arial" w:hAnsi="Arial"/>
          <w:sz w:val="13"/>
          <w:szCs w:val="13"/>
          <w:color w:val="auto"/>
        </w:rPr>
        <w:t>Change in Inventory character;</w:t>
      </w:r>
    </w:p>
    <w:p>
      <w:pPr>
        <w:spacing w:after="0" w:line="147" w:lineRule="exact"/>
        <w:rPr>
          <w:rFonts w:ascii="Arial" w:cs="Arial" w:eastAsia="Arial" w:hAnsi="Arial"/>
          <w:sz w:val="13"/>
          <w:szCs w:val="13"/>
          <w:color w:val="auto"/>
        </w:rPr>
      </w:pPr>
    </w:p>
    <w:p>
      <w:pPr>
        <w:ind w:left="2400" w:hanging="564"/>
        <w:spacing w:after="0"/>
        <w:tabs>
          <w:tab w:leader="none" w:pos="2400" w:val="left"/>
        </w:tabs>
        <w:numPr>
          <w:ilvl w:val="1"/>
          <w:numId w:val="29"/>
        </w:numPr>
        <w:rPr>
          <w:rFonts w:ascii="Arial" w:cs="Arial" w:eastAsia="Arial" w:hAnsi="Arial"/>
          <w:sz w:val="13"/>
          <w:szCs w:val="13"/>
          <w:color w:val="auto"/>
        </w:rPr>
      </w:pPr>
      <w:r>
        <w:rPr>
          <w:rFonts w:ascii="Arial" w:cs="Arial" w:eastAsia="Arial" w:hAnsi="Arial"/>
          <w:sz w:val="13"/>
          <w:szCs w:val="13"/>
          <w:color w:val="auto"/>
        </w:rPr>
        <w:t>Change in Inventory composition;</w:t>
      </w:r>
    </w:p>
    <w:p>
      <w:pPr>
        <w:spacing w:after="0" w:line="147" w:lineRule="exact"/>
        <w:rPr>
          <w:rFonts w:ascii="Arial" w:cs="Arial" w:eastAsia="Arial" w:hAnsi="Arial"/>
          <w:sz w:val="13"/>
          <w:szCs w:val="13"/>
          <w:color w:val="auto"/>
        </w:rPr>
      </w:pPr>
    </w:p>
    <w:p>
      <w:pPr>
        <w:ind w:left="2420" w:hanging="584"/>
        <w:spacing w:after="0"/>
        <w:tabs>
          <w:tab w:leader="none" w:pos="2420" w:val="left"/>
        </w:tabs>
        <w:numPr>
          <w:ilvl w:val="1"/>
          <w:numId w:val="29"/>
        </w:numPr>
        <w:rPr>
          <w:rFonts w:ascii="Arial" w:cs="Arial" w:eastAsia="Arial" w:hAnsi="Arial"/>
          <w:sz w:val="13"/>
          <w:szCs w:val="13"/>
          <w:color w:val="auto"/>
        </w:rPr>
      </w:pPr>
      <w:r>
        <w:rPr>
          <w:rFonts w:ascii="Arial" w:cs="Arial" w:eastAsia="Arial" w:hAnsi="Arial"/>
          <w:sz w:val="13"/>
          <w:szCs w:val="13"/>
          <w:color w:val="auto"/>
        </w:rPr>
        <w:t>Change in Inventory mix;</w:t>
      </w:r>
    </w:p>
    <w:p>
      <w:pPr>
        <w:spacing w:after="0" w:line="147" w:lineRule="exact"/>
        <w:rPr>
          <w:rFonts w:ascii="Arial" w:cs="Arial" w:eastAsia="Arial" w:hAnsi="Arial"/>
          <w:sz w:val="13"/>
          <w:szCs w:val="13"/>
          <w:color w:val="auto"/>
        </w:rPr>
      </w:pPr>
    </w:p>
    <w:p>
      <w:pPr>
        <w:ind w:left="2420" w:hanging="584"/>
        <w:spacing w:after="0"/>
        <w:tabs>
          <w:tab w:leader="none" w:pos="2420" w:val="left"/>
        </w:tabs>
        <w:numPr>
          <w:ilvl w:val="1"/>
          <w:numId w:val="29"/>
        </w:numPr>
        <w:rPr>
          <w:rFonts w:ascii="Arial" w:cs="Arial" w:eastAsia="Arial" w:hAnsi="Arial"/>
          <w:sz w:val="13"/>
          <w:szCs w:val="13"/>
          <w:color w:val="auto"/>
        </w:rPr>
      </w:pPr>
      <w:r>
        <w:rPr>
          <w:rFonts w:ascii="Arial" w:cs="Arial" w:eastAsia="Arial" w:hAnsi="Arial"/>
          <w:sz w:val="13"/>
          <w:szCs w:val="13"/>
          <w:color w:val="auto"/>
        </w:rPr>
        <w:t>Mark-downs (both permanent and point of sale);</w:t>
      </w:r>
    </w:p>
    <w:p>
      <w:pPr>
        <w:spacing w:after="0" w:line="147" w:lineRule="exact"/>
        <w:rPr>
          <w:rFonts w:ascii="Arial" w:cs="Arial" w:eastAsia="Arial" w:hAnsi="Arial"/>
          <w:sz w:val="13"/>
          <w:szCs w:val="13"/>
          <w:color w:val="auto"/>
        </w:rPr>
      </w:pPr>
    </w:p>
    <w:p>
      <w:pPr>
        <w:ind w:left="2380" w:hanging="561"/>
        <w:spacing w:after="0"/>
        <w:tabs>
          <w:tab w:leader="none" w:pos="23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Retail mark-ons and mark-ups inconsistent with prior period practice and performance, industry standards, current business plans or advertising calendar and planned</w:t>
      </w:r>
    </w:p>
    <w:p>
      <w:pPr>
        <w:spacing w:after="0" w:line="25" w:lineRule="exact"/>
        <w:rPr>
          <w:rFonts w:ascii="Arial" w:cs="Arial" w:eastAsia="Arial" w:hAnsi="Arial"/>
          <w:sz w:val="12"/>
          <w:szCs w:val="12"/>
          <w:color w:val="auto"/>
        </w:rPr>
      </w:pPr>
    </w:p>
    <w:p>
      <w:pPr>
        <w:ind w:left="1080"/>
        <w:spacing w:after="0"/>
        <w:rPr>
          <w:rFonts w:ascii="Arial" w:cs="Arial" w:eastAsia="Arial" w:hAnsi="Arial"/>
          <w:sz w:val="12"/>
          <w:szCs w:val="12"/>
          <w:color w:val="auto"/>
        </w:rPr>
      </w:pPr>
      <w:r>
        <w:rPr>
          <w:rFonts w:ascii="Arial" w:cs="Arial" w:eastAsia="Arial" w:hAnsi="Arial"/>
          <w:sz w:val="13"/>
          <w:szCs w:val="13"/>
          <w:color w:val="auto"/>
        </w:rPr>
        <w:t>advertising events; and</w:t>
      </w:r>
    </w:p>
    <w:p>
      <w:pPr>
        <w:spacing w:after="0" w:line="137" w:lineRule="exact"/>
        <w:rPr>
          <w:rFonts w:ascii="Arial" w:cs="Arial" w:eastAsia="Arial" w:hAnsi="Arial"/>
          <w:sz w:val="12"/>
          <w:szCs w:val="12"/>
          <w:color w:val="auto"/>
        </w:rPr>
      </w:pPr>
    </w:p>
    <w:p>
      <w:pPr>
        <w:ind w:left="2380" w:hanging="561"/>
        <w:spacing w:after="0"/>
        <w:tabs>
          <w:tab w:leader="none" w:pos="23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Out-of-date and/or expired Inventory.</w:t>
      </w:r>
    </w:p>
    <w:p>
      <w:pPr>
        <w:spacing w:after="0" w:line="121" w:lineRule="exact"/>
        <w:rPr>
          <w:sz w:val="20"/>
          <w:szCs w:val="20"/>
          <w:color w:val="auto"/>
        </w:rPr>
      </w:pPr>
    </w:p>
    <w:p>
      <w:pPr>
        <w:jc w:val="both"/>
        <w:ind w:left="220" w:firstLine="808"/>
        <w:spacing w:after="0" w:line="254" w:lineRule="auto"/>
        <w:rPr>
          <w:sz w:val="20"/>
          <w:szCs w:val="20"/>
          <w:color w:val="auto"/>
        </w:rPr>
      </w:pPr>
      <w:r>
        <w:rPr>
          <w:rFonts w:ascii="Arial" w:cs="Arial" w:eastAsia="Arial" w:hAnsi="Arial"/>
          <w:sz w:val="13"/>
          <w:szCs w:val="13"/>
          <w:color w:val="auto"/>
        </w:rPr>
        <w:t>“Investment” means, as to any Person, any direct or indirect acquisition or investment by such Person, whether by means of (a) the purchase or other acquisition of Equity Interests of another Person, (b) a loan, advance or capital contribution to, Guarantee or assumption of debt of, or purchase or other acquisition of any other debt or interest in, another Person, or (c) any Acquisition, or (d) any other investment of money or capital in order to obtain a profitable return. For purposes of covenant compliance, the amount of any Investment shall be the amount actually invested, without adjustment for subsequent increases or decreases in the value of such Investment.</w:t>
      </w:r>
    </w:p>
    <w:p>
      <w:pPr>
        <w:spacing w:after="0" w:line="106"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“IRS” means the United States Internal Revenue Service.</w:t>
      </w:r>
    </w:p>
    <w:p>
      <w:pPr>
        <w:spacing w:after="0" w:line="121"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“ISP” means, with respect to any Letter of Credit, the “International Standby Practices 1998” published by the Institute of International Banking Law &amp; Practice (or such later version thereof as may be in effect at the time of issuance).</w:t>
      </w:r>
    </w:p>
    <w:p>
      <w:pPr>
        <w:spacing w:after="0" w:line="86"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“Issuer Documents” means with respect to any Letter of Credit, the Letter Credit Application, and any other document, agreement and instrument entered into by the L/C Issuer and any Borrower (or any Subsidiary) or in favor the L/C Issuer and relating to any such Letter of Credit.</w:t>
      </w:r>
    </w:p>
    <w:p>
      <w:pPr>
        <w:spacing w:after="0" w:line="95"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“Joinder Agreement” means an agreement, in form satisfactory to the Agent pursuant to which, among other things, a Person becomes a party to, and bound by the terms of, this Agreement and/or the other Loan Documents in the same capacity and to the same extent as either a Borrower or a Guarantor, as the Agent may determine.</w:t>
      </w:r>
    </w:p>
    <w:p>
      <w:pPr>
        <w:spacing w:after="0" w:line="86"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“Landlord Lien State” means such state(s) in which a landlord’s claim for rent may have priority over the Lien of the Agent in any of the Collateral.</w:t>
      </w:r>
    </w:p>
    <w:p>
      <w:pPr>
        <w:spacing w:after="0" w:line="121" w:lineRule="exact"/>
        <w:rPr>
          <w:sz w:val="20"/>
          <w:szCs w:val="20"/>
          <w:color w:val="auto"/>
        </w:rPr>
      </w:pPr>
    </w:p>
    <w:p>
      <w:pPr>
        <w:jc w:val="both"/>
        <w:ind w:left="220" w:firstLine="808"/>
        <w:spacing w:after="0" w:line="290" w:lineRule="auto"/>
        <w:rPr>
          <w:sz w:val="20"/>
          <w:szCs w:val="20"/>
          <w:color w:val="auto"/>
        </w:rPr>
      </w:pPr>
      <w:r>
        <w:rPr>
          <w:rFonts w:ascii="Arial" w:cs="Arial" w:eastAsia="Arial" w:hAnsi="Arial"/>
          <w:sz w:val="12"/>
          <w:szCs w:val="12"/>
          <w:color w:val="auto"/>
        </w:rPr>
        <w:t>“Laws”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85" w:lineRule="exact"/>
        <w:rPr>
          <w:sz w:val="20"/>
          <w:szCs w:val="20"/>
          <w:color w:val="auto"/>
        </w:rPr>
      </w:pPr>
    </w:p>
    <w:p>
      <w:pPr>
        <w:ind w:left="1040"/>
        <w:spacing w:after="0"/>
        <w:rPr>
          <w:sz w:val="20"/>
          <w:szCs w:val="20"/>
          <w:color w:val="auto"/>
        </w:rPr>
      </w:pPr>
      <w:r>
        <w:rPr>
          <w:rFonts w:ascii="Arial" w:cs="Arial" w:eastAsia="Arial" w:hAnsi="Arial"/>
          <w:sz w:val="12"/>
          <w:szCs w:val="12"/>
          <w:color w:val="auto"/>
        </w:rPr>
        <w:t>“L/C Advance” means, with respect to each Revolving Lender, such Revolving Lender’s funding of its participation in any L/C Borrowing in accordance with its Applicable Percentage.</w:t>
      </w:r>
    </w:p>
    <w:p>
      <w:pPr>
        <w:spacing w:after="0" w:line="306"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38" w:name="page39"/>
    <w:bookmarkEnd w:id="38"/>
    <w:p>
      <w:pPr>
        <w:ind w:left="1040"/>
        <w:spacing w:after="0"/>
        <w:rPr>
          <w:sz w:val="20"/>
          <w:szCs w:val="20"/>
          <w:color w:val="auto"/>
        </w:rPr>
      </w:pPr>
      <w:r>
        <w:rPr>
          <w:rFonts w:ascii="Arial" w:cs="Arial" w:eastAsia="Arial" w:hAnsi="Arial"/>
          <w:sz w:val="12"/>
          <w:szCs w:val="12"/>
          <w:color w:val="auto"/>
        </w:rPr>
        <w:t>“L/C Borrowing” means an extension of credit resulting from a drawing under any Letter of Credit which has not been reimbursed on the date when made or refinanced as a Committed</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3"/>
          <w:szCs w:val="13"/>
          <w:color w:val="auto"/>
        </w:rPr>
        <w:t>Borrowing.</w:t>
      </w:r>
    </w:p>
    <w:p>
      <w:pPr>
        <w:spacing w:after="0" w:line="111"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“L/C Credit Extension” means, with respect to any Letter of Credit, the issuance thereof or extension of the expiry date thereof, or the increase of the amount thereof.</w:t>
      </w:r>
    </w:p>
    <w:p>
      <w:pPr>
        <w:spacing w:after="0" w:line="130" w:lineRule="exact"/>
        <w:rPr>
          <w:sz w:val="20"/>
          <w:szCs w:val="20"/>
          <w:color w:val="auto"/>
        </w:rPr>
      </w:pPr>
    </w:p>
    <w:p>
      <w:pPr>
        <w:jc w:val="both"/>
        <w:ind w:left="220" w:firstLine="808"/>
        <w:spacing w:after="0" w:line="258" w:lineRule="auto"/>
        <w:rPr>
          <w:sz w:val="20"/>
          <w:szCs w:val="20"/>
          <w:color w:val="auto"/>
        </w:rPr>
      </w:pPr>
      <w:r>
        <w:rPr>
          <w:rFonts w:ascii="Arial" w:cs="Arial" w:eastAsia="Arial" w:hAnsi="Arial"/>
          <w:sz w:val="13"/>
          <w:szCs w:val="13"/>
          <w:color w:val="auto"/>
        </w:rPr>
        <w:t>“L/C Issuer” means (a) Bank of America in its capacity as issuer of Letters of Credit hereunder, or any successor issuer of Letters of Credit hereunder, which successor may only be a Lender selected by the Agent in its discretion. The L/C Issuer may, in its discretion, arrange for one or more Letters of Credit to be issued by Affiliates of the L/C Issuer, in which case the term “L/C Issuer” shall include any such Affiliate with respect to Letters of Credit issued by such Affiliate.</w:t>
      </w:r>
    </w:p>
    <w:p>
      <w:pPr>
        <w:spacing w:after="0" w:line="94" w:lineRule="exact"/>
        <w:rPr>
          <w:sz w:val="20"/>
          <w:szCs w:val="20"/>
          <w:color w:val="auto"/>
        </w:rPr>
      </w:pPr>
    </w:p>
    <w:p>
      <w:pPr>
        <w:jc w:val="both"/>
        <w:ind w:left="220" w:firstLine="808"/>
        <w:spacing w:after="0" w:line="254" w:lineRule="auto"/>
        <w:rPr>
          <w:sz w:val="20"/>
          <w:szCs w:val="20"/>
          <w:color w:val="auto"/>
        </w:rPr>
      </w:pPr>
      <w:r>
        <w:rPr>
          <w:rFonts w:ascii="Arial" w:cs="Arial" w:eastAsia="Arial" w:hAnsi="Arial"/>
          <w:sz w:val="13"/>
          <w:szCs w:val="13"/>
          <w:color w:val="auto"/>
        </w:rPr>
        <w:t xml:space="preserve">“L/C Obligations” means, as at any date of determination, the aggregate amount available to be drawn under all outstanding Letters of Credit plus the aggregate of all Unreimbursed Amounts, including all L/C Borrowings. For purposes of computing the amount available to be drawn under any Letter of Credit, the amount of such Letter of Credit shall be determined in accordance with </w:t>
      </w:r>
      <w:r>
        <w:rPr>
          <w:rFonts w:ascii="Arial" w:cs="Arial" w:eastAsia="Arial" w:hAnsi="Arial"/>
          <w:sz w:val="13"/>
          <w:szCs w:val="13"/>
          <w:u w:val="single" w:color="auto"/>
          <w:color w:val="auto"/>
        </w:rPr>
        <w:t>Section</w:t>
      </w:r>
      <w:r>
        <w:rPr>
          <w:rFonts w:ascii="Arial" w:cs="Arial" w:eastAsia="Arial" w:hAnsi="Arial"/>
          <w:sz w:val="13"/>
          <w:szCs w:val="13"/>
          <w:color w:val="auto"/>
        </w:rPr>
        <w:t xml:space="preserve"> </w:t>
      </w:r>
      <w:r>
        <w:rPr>
          <w:rFonts w:ascii="Arial" w:cs="Arial" w:eastAsia="Arial" w:hAnsi="Arial"/>
          <w:sz w:val="13"/>
          <w:szCs w:val="13"/>
          <w:u w:val="single" w:color="auto"/>
          <w:color w:val="auto"/>
        </w:rPr>
        <w:t>1.06</w:t>
      </w:r>
      <w:r>
        <w:rPr>
          <w:rFonts w:ascii="Arial" w:cs="Arial" w:eastAsia="Arial" w:hAnsi="Arial"/>
          <w:sz w:val="13"/>
          <w:szCs w:val="13"/>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97" w:lineRule="exact"/>
        <w:rPr>
          <w:sz w:val="20"/>
          <w:szCs w:val="20"/>
          <w:color w:val="auto"/>
        </w:rPr>
      </w:pPr>
    </w:p>
    <w:p>
      <w:pPr>
        <w:ind w:left="1040"/>
        <w:spacing w:after="0"/>
        <w:rPr>
          <w:sz w:val="20"/>
          <w:szCs w:val="20"/>
          <w:color w:val="auto"/>
        </w:rPr>
      </w:pPr>
      <w:r>
        <w:rPr>
          <w:rFonts w:ascii="Arial" w:cs="Arial" w:eastAsia="Arial" w:hAnsi="Arial"/>
          <w:sz w:val="12"/>
          <w:szCs w:val="12"/>
          <w:color w:val="auto"/>
        </w:rPr>
        <w:t>“Lease” means any agreement, whether written or oral, no matter how styled or structured, pursuant to which a Loan Party is entitled to the use or occupancy of any real property for any period</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3"/>
          <w:szCs w:val="13"/>
          <w:color w:val="auto"/>
        </w:rPr>
        <w:t>of time.</w:t>
      </w:r>
    </w:p>
    <w:p>
      <w:pPr>
        <w:spacing w:after="0" w:line="120" w:lineRule="exact"/>
        <w:rPr>
          <w:sz w:val="20"/>
          <w:szCs w:val="20"/>
          <w:color w:val="auto"/>
        </w:rPr>
      </w:pPr>
    </w:p>
    <w:p>
      <w:pPr>
        <w:ind w:left="1040"/>
        <w:spacing w:after="0"/>
        <w:rPr>
          <w:sz w:val="20"/>
          <w:szCs w:val="20"/>
          <w:color w:val="auto"/>
        </w:rPr>
      </w:pPr>
      <w:r>
        <w:rPr>
          <w:rFonts w:ascii="Arial" w:cs="Arial" w:eastAsia="Arial" w:hAnsi="Arial"/>
          <w:sz w:val="12"/>
          <w:szCs w:val="12"/>
          <w:color w:val="auto"/>
        </w:rPr>
        <w:t>“Lender” has the meaning specified in the introductory paragraph hereto and, as the context requires, includes the Revolving Lenders, the FILO Lenders and the Swing Line Lender.</w:t>
      </w:r>
    </w:p>
    <w:p>
      <w:pPr>
        <w:spacing w:after="0" w:line="132"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“Lending Office” means, as to any Lender, the office or offices of such Lender described as such in such Lender’s Administrative Questionnaire, or such other office or offices as a Lender may from time to time notify the Lead Borrower and the Agent.</w:t>
      </w:r>
    </w:p>
    <w:p>
      <w:pPr>
        <w:spacing w:after="0" w:line="86" w:lineRule="exact"/>
        <w:rPr>
          <w:sz w:val="20"/>
          <w:szCs w:val="20"/>
          <w:color w:val="auto"/>
        </w:rPr>
      </w:pPr>
    </w:p>
    <w:p>
      <w:pPr>
        <w:ind w:left="1040"/>
        <w:spacing w:after="0"/>
        <w:rPr>
          <w:sz w:val="20"/>
          <w:szCs w:val="20"/>
          <w:color w:val="auto"/>
        </w:rPr>
      </w:pPr>
      <w:r>
        <w:rPr>
          <w:rFonts w:ascii="Arial" w:cs="Arial" w:eastAsia="Arial" w:hAnsi="Arial"/>
          <w:sz w:val="12"/>
          <w:szCs w:val="12"/>
          <w:color w:val="auto"/>
        </w:rPr>
        <w:t>“Letter of Credit” means each Banker’s Acceptance, each Standby Letter of Credit and each Commercial Letter of Credit issued hereunder and shall include the Existing Letters of Credit.</w:t>
      </w:r>
    </w:p>
    <w:p>
      <w:pPr>
        <w:spacing w:after="0" w:line="141"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“Letter of Credit Application” means an application and agreement for the issuance or amendment of a Letter of Credit in the form from time to time in use by the L/C Issuer.</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2"/>
          <w:szCs w:val="12"/>
          <w:color w:val="auto"/>
        </w:rPr>
        <w:t>“Letter of Credit Expiration Date” means the day that is seven days prior to the Maturity Date then in effect (or, if such day is not a Business Day, the next preceding Business Day).</w:t>
      </w:r>
    </w:p>
    <w:p>
      <w:pPr>
        <w:spacing w:after="0" w:line="132"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 xml:space="preserve">“Letter of Credit Fee” has the meaning specified in </w:t>
      </w:r>
      <w:r>
        <w:rPr>
          <w:rFonts w:ascii="Arial" w:cs="Arial" w:eastAsia="Arial" w:hAnsi="Arial"/>
          <w:sz w:val="13"/>
          <w:szCs w:val="13"/>
          <w:u w:val="single" w:color="auto"/>
          <w:color w:val="auto"/>
        </w:rPr>
        <w:t>Section 2.03(i)</w:t>
      </w:r>
      <w:r>
        <w:rPr>
          <w:rFonts w:ascii="Arial" w:cs="Arial" w:eastAsia="Arial" w:hAnsi="Arial"/>
          <w:sz w:val="13"/>
          <w:szCs w:val="13"/>
          <w:color w:val="auto"/>
        </w:rPr>
        <w:t>.</w:t>
      </w:r>
    </w:p>
    <w:p>
      <w:pPr>
        <w:spacing w:after="0" w:line="130"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“Letter of Credit Inventory Advance Rate” means 85%.</w:t>
      </w:r>
    </w:p>
    <w:p>
      <w:pPr>
        <w:spacing w:after="0" w:line="121" w:lineRule="exact"/>
        <w:rPr>
          <w:sz w:val="20"/>
          <w:szCs w:val="20"/>
          <w:color w:val="auto"/>
        </w:rPr>
      </w:pPr>
    </w:p>
    <w:p>
      <w:pPr>
        <w:jc w:val="both"/>
        <w:ind w:left="220" w:firstLine="808"/>
        <w:spacing w:after="0" w:line="254" w:lineRule="auto"/>
        <w:rPr>
          <w:sz w:val="20"/>
          <w:szCs w:val="20"/>
          <w:color w:val="auto"/>
        </w:rPr>
      </w:pPr>
      <w:r>
        <w:rPr>
          <w:rFonts w:ascii="Arial" w:cs="Arial" w:eastAsia="Arial" w:hAnsi="Arial"/>
          <w:sz w:val="13"/>
          <w:szCs w:val="13"/>
          <w:color w:val="auto"/>
        </w:rPr>
        <w:t>“Letter of Credit Sublimit” means an amount equal to $20,000,000. The Letter of Credit Sublimit is part of, and not in addition to, the Aggregate Revolving Commitments. A permanent reduction of the Aggregate Revolving Commitments shall not require a corresponding pro rata reduction in the Letter of Credit Sublimit; provided, however, that if the Aggregate Revolving Commitments are reduced to an amount less than the Letter of Credit Sublimit, then the Letter of Credit Sublimit shall be reduced to an amount equal to (or, at Lead Borrower’s option, less than) the Aggregate Revolving Commitments.</w:t>
      </w:r>
    </w:p>
    <w:p>
      <w:pPr>
        <w:spacing w:after="0" w:line="271"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39" w:name="page40"/>
    <w:bookmarkEnd w:id="39"/>
    <w:p>
      <w:pPr>
        <w:ind w:left="1040"/>
        <w:spacing w:after="0"/>
        <w:rPr>
          <w:sz w:val="20"/>
          <w:szCs w:val="20"/>
          <w:color w:val="auto"/>
        </w:rPr>
      </w:pPr>
      <w:r>
        <w:rPr>
          <w:rFonts w:ascii="Arial" w:cs="Arial" w:eastAsia="Arial" w:hAnsi="Arial"/>
          <w:sz w:val="13"/>
          <w:szCs w:val="13"/>
          <w:color w:val="auto"/>
        </w:rPr>
        <w:t>“LIBOR Borrowing” means a Borrowing comprised of LIBOR Rate Loans.</w:t>
      </w:r>
    </w:p>
    <w:p>
      <w:pPr>
        <w:spacing w:after="0" w:line="122" w:lineRule="exact"/>
        <w:rPr>
          <w:sz w:val="20"/>
          <w:szCs w:val="20"/>
          <w:color w:val="auto"/>
        </w:rPr>
      </w:pPr>
    </w:p>
    <w:p>
      <w:pPr>
        <w:jc w:val="both"/>
        <w:ind w:left="220" w:firstLine="808"/>
        <w:spacing w:after="0" w:line="254" w:lineRule="auto"/>
        <w:rPr>
          <w:sz w:val="20"/>
          <w:szCs w:val="20"/>
          <w:color w:val="auto"/>
        </w:rPr>
      </w:pPr>
      <w:r>
        <w:rPr>
          <w:rFonts w:ascii="Arial" w:cs="Arial" w:eastAsia="Arial" w:hAnsi="Arial"/>
          <w:sz w:val="13"/>
          <w:szCs w:val="13"/>
          <w:color w:val="auto"/>
        </w:rPr>
        <w:t>“LIBOR Rate” means the per annum rate of interest (rounded up to the nearest 1/16th of 1% and in no event less than zero) determined by Agent at or about 11:00 a.m. (London time) two (2) Business Days prior to an interest period for a term equivalent to such period, equal to the London Interbank Offered Rate, or comparable or successor rate approved by Agent, as published on the applicable Reuters screen page (or other commercially available source designated by Agent from time to time); provided, that any comparable or successor rate shall be applied by Agent, if administratively feasible, in a manner consistent with market practice.</w:t>
      </w:r>
    </w:p>
    <w:p>
      <w:pPr>
        <w:spacing w:after="0" w:line="106"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“LIBOR Rate Loan” means a Committed Loan or the portion of the FILO Loan, as applicable, that bears interest at a rate based on the Adjusted LIBOR Rate.</w:t>
      </w:r>
    </w:p>
    <w:p>
      <w:pPr>
        <w:spacing w:after="0" w:line="121" w:lineRule="exact"/>
        <w:rPr>
          <w:sz w:val="20"/>
          <w:szCs w:val="20"/>
          <w:color w:val="auto"/>
        </w:rPr>
      </w:pPr>
    </w:p>
    <w:p>
      <w:pPr>
        <w:jc w:val="both"/>
        <w:ind w:left="220" w:firstLine="808"/>
        <w:spacing w:after="0" w:line="254" w:lineRule="auto"/>
        <w:rPr>
          <w:sz w:val="20"/>
          <w:szCs w:val="20"/>
          <w:color w:val="auto"/>
        </w:rPr>
      </w:pPr>
      <w:r>
        <w:rPr>
          <w:rFonts w:ascii="Arial" w:cs="Arial" w:eastAsia="Arial" w:hAnsi="Arial"/>
          <w:sz w:val="13"/>
          <w:szCs w:val="13"/>
          <w:color w:val="auto"/>
        </w:rPr>
        <w:t>“Lien” means (a) any mortgage, deed of trust, pledge, hypothecation, assignment, deposit arrangement, encumbrance, lien (statutory or other), charge, or preference, priority or other security interest or preferential arrangement in the nature of a security interest of any kind or nature whatsoever (including any conditional sale, Capital Lease Obligation, Synthetic Lease Obligation, or other title retention agreement, any easement, right of way or other encumbrance on title to real property, and any financing lease having substantially the same economic effect as any of the foregoing) and (b) in the case of securities, any purchase option, call or similar right of a third party with respect to such securities.</w:t>
      </w:r>
    </w:p>
    <w:p>
      <w:pPr>
        <w:spacing w:after="0" w:line="97" w:lineRule="exact"/>
        <w:rPr>
          <w:sz w:val="20"/>
          <w:szCs w:val="20"/>
          <w:color w:val="auto"/>
        </w:rPr>
      </w:pPr>
    </w:p>
    <w:p>
      <w:pPr>
        <w:jc w:val="both"/>
        <w:ind w:left="220" w:firstLine="808"/>
        <w:spacing w:after="0" w:line="254" w:lineRule="auto"/>
        <w:rPr>
          <w:sz w:val="20"/>
          <w:szCs w:val="20"/>
          <w:color w:val="auto"/>
        </w:rPr>
      </w:pPr>
      <w:r>
        <w:rPr>
          <w:rFonts w:ascii="Arial" w:cs="Arial" w:eastAsia="Arial" w:hAnsi="Arial"/>
          <w:sz w:val="13"/>
          <w:szCs w:val="13"/>
          <w:color w:val="auto"/>
        </w:rPr>
        <w:t>“Liquidation” means the exercise by the Agent of those rights and remedies accorded to the Agent under the Loan Documents and applicable Laws as a creditor of the Loan Parties with respect to the realization on the Collateral, including (after the occurrence and during the continuation of an Event of Default) the conduct by the Loan Parties acting with the consent of the Agent, of any public, private or “going-out-of-business”, “store closing” or other similar sale or any other disposition of the Collateral for the purpose of liquidating the Collateral. Derivations of the word “Liquidation” (such as “Liquidate”) are used with like meaning in this Agreement.</w:t>
      </w:r>
    </w:p>
    <w:p>
      <w:pPr>
        <w:spacing w:after="0" w:line="106"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 xml:space="preserve">“Loan” means an extension of credit by a Lender to the Borrowers under </w:t>
      </w:r>
      <w:r>
        <w:rPr>
          <w:rFonts w:ascii="Arial" w:cs="Arial" w:eastAsia="Arial" w:hAnsi="Arial"/>
          <w:sz w:val="13"/>
          <w:szCs w:val="13"/>
          <w:u w:val="single" w:color="auto"/>
          <w:color w:val="auto"/>
        </w:rPr>
        <w:t>Article II</w:t>
      </w:r>
      <w:r>
        <w:rPr>
          <w:rFonts w:ascii="Arial" w:cs="Arial" w:eastAsia="Arial" w:hAnsi="Arial"/>
          <w:sz w:val="13"/>
          <w:szCs w:val="13"/>
          <w:color w:val="auto"/>
        </w:rPr>
        <w:t xml:space="preserve"> in the form of a Committed Loan, a Swing Line Loan or the FILO Loan.</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 xml:space="preserve">“Loan Account” has the meaning assigned to such term in </w:t>
      </w:r>
      <w:r>
        <w:rPr>
          <w:rFonts w:ascii="Arial" w:cs="Arial" w:eastAsia="Arial" w:hAnsi="Arial"/>
          <w:sz w:val="13"/>
          <w:szCs w:val="13"/>
          <w:u w:val="single" w:color="auto"/>
          <w:color w:val="auto"/>
        </w:rPr>
        <w:t>Section 2.11(a)</w:t>
      </w:r>
      <w:r>
        <w:rPr>
          <w:rFonts w:ascii="Arial" w:cs="Arial" w:eastAsia="Arial" w:hAnsi="Arial"/>
          <w:sz w:val="13"/>
          <w:szCs w:val="13"/>
          <w:color w:val="auto"/>
        </w:rPr>
        <w:t>.</w:t>
      </w:r>
    </w:p>
    <w:p>
      <w:pPr>
        <w:spacing w:after="0" w:line="121" w:lineRule="exact"/>
        <w:rPr>
          <w:sz w:val="20"/>
          <w:szCs w:val="20"/>
          <w:color w:val="auto"/>
        </w:rPr>
      </w:pPr>
    </w:p>
    <w:p>
      <w:pPr>
        <w:jc w:val="both"/>
        <w:ind w:left="220" w:firstLine="808"/>
        <w:spacing w:after="0" w:line="258" w:lineRule="auto"/>
        <w:rPr>
          <w:sz w:val="20"/>
          <w:szCs w:val="20"/>
          <w:color w:val="auto"/>
        </w:rPr>
      </w:pPr>
      <w:r>
        <w:rPr>
          <w:rFonts w:ascii="Arial" w:cs="Arial" w:eastAsia="Arial" w:hAnsi="Arial"/>
          <w:sz w:val="13"/>
          <w:szCs w:val="13"/>
          <w:color w:val="auto"/>
        </w:rPr>
        <w:t>“Loan Documents” means this Agreement, each Note, each Issuer Document, the Fee Letter, all Borrowing Base Certificates, the Account Control Agreements, the Credit Card Notifications, the Security Documents, the Facility Guaranty, and any other instrument or agreement now or hereafter executed and delivered in connection herewith, or in connection with any transaction arising out of any Cash Management Services and Bank Products provided by any Lender or any of its Affiliates, each as amended and in effect from time to time.</w:t>
      </w:r>
    </w:p>
    <w:p>
      <w:pPr>
        <w:spacing w:after="0" w:line="103"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“Loan Parties” means, collectively, each Borrower and each Guarantor.</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“Master Agreement” has the meaning set forth in the definition of “Swap Contract.”</w:t>
      </w:r>
    </w:p>
    <w:p>
      <w:pPr>
        <w:spacing w:after="0" w:line="121" w:lineRule="exact"/>
        <w:rPr>
          <w:sz w:val="20"/>
          <w:szCs w:val="20"/>
          <w:color w:val="auto"/>
        </w:rPr>
      </w:pPr>
    </w:p>
    <w:p>
      <w:pPr>
        <w:jc w:val="both"/>
        <w:ind w:left="220" w:firstLine="808"/>
        <w:spacing w:after="0" w:line="290" w:lineRule="auto"/>
        <w:rPr>
          <w:sz w:val="20"/>
          <w:szCs w:val="20"/>
          <w:color w:val="auto"/>
        </w:rPr>
      </w:pPr>
      <w:r>
        <w:rPr>
          <w:rFonts w:ascii="Arial" w:cs="Arial" w:eastAsia="Arial" w:hAnsi="Arial"/>
          <w:sz w:val="12"/>
          <w:szCs w:val="12"/>
          <w:color w:val="auto"/>
        </w:rPr>
        <w:t>“Material Adverse Effect” means (a) a material adverse change in, or a material adverse effect upon, the operations, business, properties, liabilities (actual or contingent), condition (financial or otherwise) or prospects of any Loan Party or the Lead Borrower and its Subsidiaries taken as a whole; (b) a material impairment of the ability of any Loan Party to perform its obligations under any Loan Document to which it is a party; or (c) a material impairment of the rights and remedies of the Agent or the Lenders under any Loan Document or a material adverse effect upon the legality, validity, binding</w:t>
      </w:r>
    </w:p>
    <w:p>
      <w:pPr>
        <w:spacing w:after="0" w:line="250"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40" w:name="page41"/>
    <w:bookmarkEnd w:id="40"/>
    <w:p>
      <w:pPr>
        <w:jc w:val="both"/>
        <w:ind w:left="220"/>
        <w:spacing w:after="0" w:line="259" w:lineRule="auto"/>
        <w:rPr>
          <w:sz w:val="20"/>
          <w:szCs w:val="20"/>
          <w:color w:val="auto"/>
        </w:rPr>
      </w:pPr>
      <w:r>
        <w:rPr>
          <w:rFonts w:ascii="Arial" w:cs="Arial" w:eastAsia="Arial" w:hAnsi="Arial"/>
          <w:sz w:val="13"/>
          <w:szCs w:val="13"/>
          <w:color w:val="auto"/>
        </w:rPr>
        <w:t>effect or enforceability against any Loan Party of any Loan Document to which it is a party. In determining whether any individual event would result in a Material Adverse Effect, notwithstanding that such event in and of itself does not have such effect, a Material Adverse Effect shall be deemed to have occurred if the cumulative effect of such event and all other then existing events would result in a Material Adverse Effect.</w:t>
      </w:r>
    </w:p>
    <w:p>
      <w:pPr>
        <w:spacing w:after="0" w:line="94"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“Material Contract” means, with respect to any Person, each contract to which such Person is a party material to the business, condition (financial or otherwise), operations, performance, properties or prospects of such Person.</w:t>
      </w:r>
    </w:p>
    <w:p>
      <w:pPr>
        <w:spacing w:after="0" w:line="95" w:lineRule="exact"/>
        <w:rPr>
          <w:sz w:val="20"/>
          <w:szCs w:val="20"/>
          <w:color w:val="auto"/>
        </w:rPr>
      </w:pPr>
    </w:p>
    <w:p>
      <w:pPr>
        <w:jc w:val="both"/>
        <w:ind w:left="220" w:firstLine="808"/>
        <w:spacing w:after="0" w:line="258" w:lineRule="auto"/>
        <w:rPr>
          <w:sz w:val="20"/>
          <w:szCs w:val="20"/>
          <w:color w:val="auto"/>
        </w:rPr>
      </w:pPr>
      <w:r>
        <w:rPr>
          <w:rFonts w:ascii="Arial" w:cs="Arial" w:eastAsia="Arial" w:hAnsi="Arial"/>
          <w:sz w:val="13"/>
          <w:szCs w:val="13"/>
          <w:color w:val="auto"/>
        </w:rPr>
        <w:t>“Material Indebtedness” means Indebtedness (other than the Obligations) of the Loan Parties in an aggregate principal amount exceeding $5,000,000. For purposes of determining the amount of Material Indebtedness at any time, (a) the amount of the obligations in respect of any Swap Contract at such time shall be calculated at the Swap Termination Value thereof, (b) undrawn committed or available amounts shall be included, and (c) all amounts owing to all creditors under any combined or syndicated credit arrangement shall be included.</w:t>
      </w:r>
    </w:p>
    <w:p>
      <w:pPr>
        <w:spacing w:after="0" w:line="94"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“Maturity Date” means May 24, 2023.</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 xml:space="preserve">“Maximum Rate” has the meaning provided therefor in </w:t>
      </w:r>
      <w:r>
        <w:rPr>
          <w:rFonts w:ascii="Arial" w:cs="Arial" w:eastAsia="Arial" w:hAnsi="Arial"/>
          <w:sz w:val="13"/>
          <w:szCs w:val="13"/>
          <w:u w:val="single" w:color="auto"/>
          <w:color w:val="auto"/>
        </w:rPr>
        <w:t>Section 10.09</w:t>
      </w:r>
      <w:r>
        <w:rPr>
          <w:rFonts w:ascii="Arial" w:cs="Arial" w:eastAsia="Arial" w:hAnsi="Arial"/>
          <w:sz w:val="13"/>
          <w:szCs w:val="13"/>
          <w:color w:val="auto"/>
        </w:rPr>
        <w:t>.</w:t>
      </w:r>
    </w:p>
    <w:p>
      <w:pPr>
        <w:spacing w:after="0" w:line="130"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“Measurement Period” means, at any date of determination, the most recently completed twelve Fiscal Months of the Lead Borrower.</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“Moody’s” means Moody’s Investors Service, Inc. and any successor thereto.</w:t>
      </w:r>
    </w:p>
    <w:p>
      <w:pPr>
        <w:spacing w:after="0" w:line="121"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“Multiemployer Plan” means any employee benefit plan of the type described in Section 4001(a)(3) of ERISA, to which the Lead Borrower or any ERISA Affiliate makes or is obligated to make contributions, or during the preceding five plan years, has made or been obligated to make contributions.</w:t>
      </w:r>
    </w:p>
    <w:p>
      <w:pPr>
        <w:spacing w:after="0" w:line="95"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“Multiple Employer Plan” means a Plan which has two or more contributing sponsors (including the Lead Borrower or any ERISA Affiliate) at least two of whom are not under common control, as such a plan is described in Section 4064 of ERISA.</w:t>
      </w:r>
    </w:p>
    <w:p>
      <w:pPr>
        <w:spacing w:after="0" w:line="86" w:lineRule="exact"/>
        <w:rPr>
          <w:sz w:val="20"/>
          <w:szCs w:val="20"/>
          <w:color w:val="auto"/>
        </w:rPr>
      </w:pPr>
    </w:p>
    <w:p>
      <w:pPr>
        <w:jc w:val="both"/>
        <w:ind w:left="220" w:firstLine="808"/>
        <w:spacing w:after="0" w:line="251" w:lineRule="auto"/>
        <w:rPr>
          <w:sz w:val="20"/>
          <w:szCs w:val="20"/>
          <w:color w:val="auto"/>
        </w:rPr>
      </w:pPr>
      <w:r>
        <w:rPr>
          <w:rFonts w:ascii="Arial" w:cs="Arial" w:eastAsia="Arial" w:hAnsi="Arial"/>
          <w:sz w:val="13"/>
          <w:szCs w:val="13"/>
          <w:color w:val="auto"/>
        </w:rPr>
        <w:t>“Net Proceeds” means (a) with respect to any Disposition by any Loan Party or any of its Subsidiaries, the excess, if any, of (i) the sum of cash and cash equivalents received in connection with such transaction (including any cash or cash equivalents received by way of deferred payment pursuant to, or by monetization of, a note receivable or otherwise, but only as and when so received) minus (ii) the sum of (A) the principal amount of any Indebtedness that is secured by the applicable asset by a Lien permitted hereunder which is senior to the Agent’s Lien on such asset and that is required to be repaid (or to establish an escrow for the future repayment thereof) in connection with such transaction (other than Indebtedness under the Loan Documents), and (B) the reasonable and customary out-of-pocket expenses incurred by such Loan Party or such Subsidiary in connection with such transaction (including, without limitation, appraisals, and brokerage, legal, title and recording or transfer tax expenses and commissions) paid by any Loan Party to third parties (other than Affiliates); and</w:t>
      </w:r>
    </w:p>
    <w:p>
      <w:pPr>
        <w:spacing w:after="0" w:line="125" w:lineRule="exact"/>
        <w:rPr>
          <w:sz w:val="20"/>
          <w:szCs w:val="20"/>
          <w:color w:val="auto"/>
        </w:rPr>
      </w:pPr>
    </w:p>
    <w:p>
      <w:pPr>
        <w:jc w:val="both"/>
        <w:ind w:left="220" w:firstLine="1623"/>
        <w:spacing w:after="0" w:line="258" w:lineRule="auto"/>
        <w:tabs>
          <w:tab w:leader="none" w:pos="2420" w:val="left"/>
        </w:tabs>
        <w:numPr>
          <w:ilvl w:val="0"/>
          <w:numId w:val="31"/>
        </w:numPr>
        <w:rPr>
          <w:rFonts w:ascii="Arial" w:cs="Arial" w:eastAsia="Arial" w:hAnsi="Arial"/>
          <w:sz w:val="13"/>
          <w:szCs w:val="13"/>
          <w:color w:val="auto"/>
        </w:rPr>
      </w:pPr>
      <w:r>
        <w:rPr>
          <w:rFonts w:ascii="Arial" w:cs="Arial" w:eastAsia="Arial" w:hAnsi="Arial"/>
          <w:sz w:val="13"/>
          <w:szCs w:val="13"/>
          <w:color w:val="auto"/>
        </w:rPr>
        <w:t>with respect to the sale or issuance of any Equity Interest by any Loan Party or any of its Subsidiaries, or the incurrence or issuance of any Indebtedness by any Loan Party or any of its Subsidiaries, the excess of (i) the sum of the cash and cash equivalents received in connection with such transaction minus (ii) the underwriting discounts and commissions, and other reasonable and customary out-of-pocket expenses, incurred by such Loan Party or such Subsidiary in connection therewith.</w:t>
      </w:r>
    </w:p>
    <w:p>
      <w:pPr>
        <w:spacing w:after="0" w:line="269"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41" w:name="page42"/>
    <w:bookmarkEnd w:id="41"/>
    <w:p>
      <w:pPr>
        <w:ind w:left="1040"/>
        <w:spacing w:after="0"/>
        <w:rPr>
          <w:sz w:val="20"/>
          <w:szCs w:val="20"/>
          <w:color w:val="auto"/>
        </w:rPr>
      </w:pPr>
      <w:r>
        <w:rPr>
          <w:rFonts w:ascii="Arial" w:cs="Arial" w:eastAsia="Arial" w:hAnsi="Arial"/>
          <w:sz w:val="13"/>
          <w:szCs w:val="13"/>
          <w:color w:val="auto"/>
        </w:rPr>
        <w:t xml:space="preserve">“Non-Consenting Lender” has the meaning provided therefor in </w:t>
      </w:r>
      <w:r>
        <w:rPr>
          <w:rFonts w:ascii="Arial" w:cs="Arial" w:eastAsia="Arial" w:hAnsi="Arial"/>
          <w:sz w:val="13"/>
          <w:szCs w:val="13"/>
          <w:u w:val="single" w:color="auto"/>
          <w:color w:val="auto"/>
        </w:rPr>
        <w:t>Section 10.01</w:t>
      </w:r>
      <w:r>
        <w:rPr>
          <w:rFonts w:ascii="Arial" w:cs="Arial" w:eastAsia="Arial" w:hAnsi="Arial"/>
          <w:sz w:val="13"/>
          <w:szCs w:val="13"/>
          <w:color w:val="auto"/>
        </w:rPr>
        <w:t>.</w:t>
      </w:r>
    </w:p>
    <w:p>
      <w:pPr>
        <w:spacing w:after="0" w:line="122"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“Non-Defaulting Lender” means, at any time, each Lender that is not a Defaulting Lender at such time.</w:t>
      </w:r>
    </w:p>
    <w:p>
      <w:pPr>
        <w:spacing w:after="0" w:line="130"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 xml:space="preserve">“Non-Extension Notice Date” has the meaning specified in </w:t>
      </w:r>
      <w:r>
        <w:rPr>
          <w:rFonts w:ascii="Arial" w:cs="Arial" w:eastAsia="Arial" w:hAnsi="Arial"/>
          <w:sz w:val="13"/>
          <w:szCs w:val="13"/>
          <w:u w:val="single" w:color="auto"/>
          <w:color w:val="auto"/>
        </w:rPr>
        <w:t>Section 2.03(b)(iii)</w:t>
      </w:r>
      <w:r>
        <w:rPr>
          <w:rFonts w:ascii="Arial" w:cs="Arial" w:eastAsia="Arial" w:hAnsi="Arial"/>
          <w:sz w:val="13"/>
          <w:szCs w:val="13"/>
          <w:color w:val="auto"/>
        </w:rPr>
        <w:t>.</w:t>
      </w:r>
    </w:p>
    <w:p>
      <w:pPr>
        <w:spacing w:after="0" w:line="121"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“Note” means (a) a promissory note made by the Borrowers in favor of a Lender evidencing Committed Loans made by such Lender, substantially in the form of Exhibit C-1 (the “Revolving Note”), (b) the Swing Line Note and (c) the FILO Note, as each may be amended, supplemented or modified from time to time.</w:t>
      </w:r>
    </w:p>
    <w:p>
      <w:pPr>
        <w:spacing w:after="0" w:line="86"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“NPL” means the National Priorities List under CERCLA.</w:t>
      </w:r>
    </w:p>
    <w:p>
      <w:pPr>
        <w:spacing w:after="0" w:line="130" w:lineRule="exact"/>
        <w:rPr>
          <w:sz w:val="20"/>
          <w:szCs w:val="20"/>
          <w:color w:val="auto"/>
        </w:rPr>
      </w:pPr>
    </w:p>
    <w:p>
      <w:pPr>
        <w:jc w:val="both"/>
        <w:ind w:left="220" w:firstLine="808"/>
        <w:spacing w:after="0" w:line="251" w:lineRule="auto"/>
        <w:rPr>
          <w:sz w:val="20"/>
          <w:szCs w:val="20"/>
          <w:color w:val="auto"/>
        </w:rPr>
      </w:pPr>
      <w:r>
        <w:rPr>
          <w:rFonts w:ascii="Arial" w:cs="Arial" w:eastAsia="Arial" w:hAnsi="Arial"/>
          <w:sz w:val="13"/>
          <w:szCs w:val="13"/>
          <w:color w:val="auto"/>
        </w:rPr>
        <w:t xml:space="preserve">“Obligations” means (a) all advances to, and debts (including principal, interest, fees, costs, and expenses), liabilities, obligations, covenants, indemnities, and duties of, any Loan Party arising under any Loan Document or otherwise with respect to any Loan or Letter of Credit (including payments in respect of reimbursement of disbursements, interest thereon and obligations to provide cash collateral therefor), whether direct or indirect (including those acquired by assumption), absolute or contingent, due or to become due, now existing or hereafter arising and including interest, fees, costs, expenses and indemnities that accrue after the commencement by or against any Loan Party or any Affiliate thereof of any proceeding under any Debtor Relief Laws naming such Person as the debtor in such proceeding, regardless of whether such interest, fees costs, expenses and indemnities are allowed claims in such proceeding, and (b) any Other Liabilities;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Obligations of a Loan Party shall exclude any Excluded Swap Obligations with respect to such Loan Party.</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“OFAC” means the Office of Foreign Assets Control of the United States Department of the Treasury.</w:t>
      </w:r>
    </w:p>
    <w:p>
      <w:pPr>
        <w:spacing w:after="0" w:line="121" w:lineRule="exact"/>
        <w:rPr>
          <w:sz w:val="20"/>
          <w:szCs w:val="20"/>
          <w:color w:val="auto"/>
        </w:rPr>
      </w:pPr>
    </w:p>
    <w:p>
      <w:pPr>
        <w:jc w:val="both"/>
        <w:ind w:left="220" w:firstLine="808"/>
        <w:spacing w:after="0" w:line="251" w:lineRule="auto"/>
        <w:rPr>
          <w:sz w:val="20"/>
          <w:szCs w:val="20"/>
          <w:color w:val="auto"/>
        </w:rPr>
      </w:pPr>
      <w:r>
        <w:rPr>
          <w:rFonts w:ascii="Arial" w:cs="Arial" w:eastAsia="Arial" w:hAnsi="Arial"/>
          <w:sz w:val="13"/>
          <w:szCs w:val="13"/>
          <w:color w:val="auto"/>
        </w:rPr>
        <w:t>“Organization Documents”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 and (d) in each case, all shareholder or other equity holder agreements, voting trusts and similar arrangements to which such Person is a party or which is applicable to its Equity Interests and all other arrangements relating to the Control or management of such Person.</w:t>
      </w:r>
    </w:p>
    <w:p>
      <w:pPr>
        <w:spacing w:after="0" w:line="107" w:lineRule="exact"/>
        <w:rPr>
          <w:sz w:val="20"/>
          <w:szCs w:val="20"/>
          <w:color w:val="auto"/>
        </w:rPr>
      </w:pPr>
    </w:p>
    <w:p>
      <w:pPr>
        <w:jc w:val="both"/>
        <w:ind w:left="220" w:firstLine="808"/>
        <w:spacing w:after="0" w:line="258" w:lineRule="auto"/>
        <w:rPr>
          <w:sz w:val="20"/>
          <w:szCs w:val="20"/>
          <w:color w:val="auto"/>
        </w:rPr>
      </w:pPr>
      <w:r>
        <w:rPr>
          <w:rFonts w:ascii="Arial" w:cs="Arial" w:eastAsia="Arial" w:hAnsi="Arial"/>
          <w:sz w:val="13"/>
          <w:szCs w:val="13"/>
          <w:color w:val="auto"/>
        </w:rPr>
        <w:t>“Other Connection Taxes”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94"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“Other Liabilities” means any obligation on account of (a) any Cash Management Services furnished to any of the Loan Parties or any of their Subsidiaries and/or (b) any Bank Product furnished to any of the Loan Parties and/or any of their Subsidiaries.</w:t>
      </w:r>
    </w:p>
    <w:p>
      <w:pPr>
        <w:spacing w:after="0" w:line="260"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42" w:name="page43"/>
    <w:bookmarkEnd w:id="42"/>
    <w:p>
      <w:pPr>
        <w:jc w:val="both"/>
        <w:ind w:left="220" w:firstLine="808"/>
        <w:spacing w:after="0" w:line="259" w:lineRule="auto"/>
        <w:rPr>
          <w:sz w:val="20"/>
          <w:szCs w:val="20"/>
          <w:color w:val="auto"/>
        </w:rPr>
      </w:pPr>
      <w:r>
        <w:rPr>
          <w:rFonts w:ascii="Arial" w:cs="Arial" w:eastAsia="Arial" w:hAnsi="Arial"/>
          <w:sz w:val="13"/>
          <w:szCs w:val="13"/>
          <w:color w:val="auto"/>
        </w:rPr>
        <w:t xml:space="preserve">“Other Taxes”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3"/>
          <w:szCs w:val="13"/>
          <w:u w:val="single" w:color="auto"/>
          <w:color w:val="auto"/>
        </w:rPr>
        <w:t>Section 3.06</w:t>
      </w:r>
      <w:r>
        <w:rPr>
          <w:rFonts w:ascii="Arial" w:cs="Arial" w:eastAsia="Arial" w:hAnsi="Arial"/>
          <w:sz w:val="13"/>
          <w:szCs w:val="13"/>
          <w:color w:val="auto"/>
        </w:rPr>
        <w:t>).</w:t>
      </w:r>
    </w:p>
    <w:p>
      <w:pPr>
        <w:spacing w:after="0" w:line="94" w:lineRule="exact"/>
        <w:rPr>
          <w:sz w:val="20"/>
          <w:szCs w:val="20"/>
          <w:color w:val="auto"/>
        </w:rPr>
      </w:pPr>
    </w:p>
    <w:p>
      <w:pPr>
        <w:jc w:val="both"/>
        <w:ind w:left="220" w:firstLine="808"/>
        <w:spacing w:after="0" w:line="252" w:lineRule="auto"/>
        <w:rPr>
          <w:sz w:val="20"/>
          <w:szCs w:val="20"/>
          <w:color w:val="auto"/>
        </w:rPr>
      </w:pPr>
      <w:r>
        <w:rPr>
          <w:rFonts w:ascii="Arial" w:cs="Arial" w:eastAsia="Arial" w:hAnsi="Arial"/>
          <w:sz w:val="13"/>
          <w:szCs w:val="13"/>
          <w:color w:val="auto"/>
        </w:rPr>
        <w:t>“Outstanding Amount” means (i) with respect to Committed Loans and Swing Line Loans on any date, the aggregate outstanding principal amount thereof after giving effect to any borrowings and prepayments or repayments of Loans occurring on such date; (ii)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Borrowers of Unreimbursed Amounts; and (iii) with respect to the FILO Loan on any date, the amount of the aggregate outstanding principal amount thereof after giving effect to any prepayments or repayments of the FILO Loan occurring on such date.</w:t>
      </w:r>
    </w:p>
    <w:p>
      <w:pPr>
        <w:spacing w:after="0" w:line="107"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“Overadvance” means a Credit Extension (other than the making of the FILO Loan) to the extent that, immediately after its having been made, Availability is less than zero.</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 xml:space="preserve">“Participant” has the meaning specified in </w:t>
      </w:r>
      <w:r>
        <w:rPr>
          <w:rFonts w:ascii="Arial" w:cs="Arial" w:eastAsia="Arial" w:hAnsi="Arial"/>
          <w:sz w:val="13"/>
          <w:szCs w:val="13"/>
          <w:u w:val="single" w:color="auto"/>
          <w:color w:val="auto"/>
        </w:rPr>
        <w:t>Section 10.06(d)</w:t>
      </w:r>
      <w:r>
        <w:rPr>
          <w:rFonts w:ascii="Arial" w:cs="Arial" w:eastAsia="Arial" w:hAnsi="Arial"/>
          <w:sz w:val="13"/>
          <w:szCs w:val="13"/>
          <w:color w:val="auto"/>
        </w:rPr>
        <w:t>.</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 xml:space="preserve">“Participation Register” has the meaning provided therefor in </w:t>
      </w:r>
      <w:r>
        <w:rPr>
          <w:rFonts w:ascii="Arial" w:cs="Arial" w:eastAsia="Arial" w:hAnsi="Arial"/>
          <w:sz w:val="13"/>
          <w:szCs w:val="13"/>
          <w:u w:val="single" w:color="auto"/>
          <w:color w:val="auto"/>
        </w:rPr>
        <w:t>Section 10.06(d)</w:t>
      </w:r>
      <w:r>
        <w:rPr>
          <w:rFonts w:ascii="Arial" w:cs="Arial" w:eastAsia="Arial" w:hAnsi="Arial"/>
          <w:sz w:val="13"/>
          <w:szCs w:val="13"/>
          <w:color w:val="auto"/>
        </w:rPr>
        <w:t>.</w:t>
      </w:r>
    </w:p>
    <w:p>
      <w:pPr>
        <w:spacing w:after="0" w:line="130" w:lineRule="exact"/>
        <w:rPr>
          <w:sz w:val="20"/>
          <w:szCs w:val="20"/>
          <w:color w:val="auto"/>
        </w:rPr>
      </w:pPr>
    </w:p>
    <w:p>
      <w:pPr>
        <w:jc w:val="both"/>
        <w:ind w:left="220" w:firstLine="808"/>
        <w:spacing w:after="0" w:line="269" w:lineRule="auto"/>
        <w:rPr>
          <w:sz w:val="20"/>
          <w:szCs w:val="20"/>
          <w:color w:val="auto"/>
        </w:rPr>
      </w:pPr>
      <w:r>
        <w:rPr>
          <w:rFonts w:ascii="Arial" w:cs="Arial" w:eastAsia="Arial" w:hAnsi="Arial"/>
          <w:sz w:val="12"/>
          <w:szCs w:val="12"/>
          <w:color w:val="auto"/>
        </w:rPr>
        <w:t xml:space="preserve">“Payment Conditions” means, at the time of determination with respect to any specified transaction or payment, that (a) no Default or Event of Default then exists or would arise as a result of entering into such transaction or the making of such payment, and (b)(i) for the thirty (30) day period prior to the consummation of such transaction or payment and after giving pro forma effect to such transaction or payment, Availability will be equal to or greater than the greater of (x) twelve and one-half percent (12.5%) of the Revolving Loan Cap and (y) $12,500,000, and (ii) after giving pro forma effect to such transaction or payment, the Consolidated Fixed Charge Coverage Ratio, tested on a trailing twelve month basis, is equal to or greater than 1.0:1.0;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this clause (b)(ii) shall not apply if Availability for the thirty (30) day period prior to the consummation of such transaction or payment and after giving pro forma effect to such transaction or payment was equal to or greater than the greater of</w:t>
      </w:r>
    </w:p>
    <w:p>
      <w:pPr>
        <w:spacing w:after="0" w:line="2" w:lineRule="exact"/>
        <w:rPr>
          <w:sz w:val="20"/>
          <w:szCs w:val="20"/>
          <w:color w:val="auto"/>
        </w:rPr>
      </w:pPr>
    </w:p>
    <w:p>
      <w:pPr>
        <w:jc w:val="both"/>
        <w:ind w:left="220" w:firstLine="5"/>
        <w:spacing w:after="0" w:line="249" w:lineRule="auto"/>
        <w:tabs>
          <w:tab w:leader="none" w:pos="423" w:val="left"/>
        </w:tabs>
        <w:numPr>
          <w:ilvl w:val="0"/>
          <w:numId w:val="32"/>
        </w:numPr>
        <w:rPr>
          <w:rFonts w:ascii="Arial" w:cs="Arial" w:eastAsia="Arial" w:hAnsi="Arial"/>
          <w:sz w:val="13"/>
          <w:szCs w:val="13"/>
          <w:color w:val="auto"/>
        </w:rPr>
      </w:pPr>
      <w:r>
        <w:rPr>
          <w:rFonts w:ascii="Arial" w:cs="Arial" w:eastAsia="Arial" w:hAnsi="Arial"/>
          <w:sz w:val="13"/>
          <w:szCs w:val="13"/>
          <w:color w:val="auto"/>
        </w:rPr>
        <w:t>seventeen and one-half percent (17.5%) of the Revolving Loan Cap (calculated without giving effect to the FILO Push Down Reserve) and (y) $17,500,000. Prior to undertaking any transaction or payment which is subject to the Payment Conditions, the Lead Borrower shall deliver to the Agent (i) a certificate signed by the Chief Executive Officer, President or Chief Financial Officer of the Lead Borrower certifying that the conditions contained in clauses (a) and (b) of the preceding sentence have been satisfied, and (ii) evidence of satisfaction of the conditions contained in clause (b) (including a reasonably detailed calculation).</w:t>
      </w:r>
    </w:p>
    <w:p>
      <w:pPr>
        <w:spacing w:after="0" w:line="99"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“PBGC” means the Pension Benefit Guaranty Corporation.</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“PCAOB” means the Public Company Accounting Oversight Board.</w:t>
      </w:r>
    </w:p>
    <w:p>
      <w:pPr>
        <w:spacing w:after="0" w:line="130"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“Pension Act” means the Pension Protection Act of 2006.</w:t>
      </w:r>
    </w:p>
    <w:p>
      <w:pPr>
        <w:spacing w:after="0" w:line="121" w:lineRule="exact"/>
        <w:rPr>
          <w:sz w:val="20"/>
          <w:szCs w:val="20"/>
          <w:color w:val="auto"/>
        </w:rPr>
      </w:pPr>
    </w:p>
    <w:p>
      <w:pPr>
        <w:jc w:val="both"/>
        <w:ind w:left="220" w:firstLine="808"/>
        <w:spacing w:after="0" w:line="258" w:lineRule="auto"/>
        <w:rPr>
          <w:sz w:val="20"/>
          <w:szCs w:val="20"/>
          <w:color w:val="auto"/>
        </w:rPr>
      </w:pPr>
      <w:r>
        <w:rPr>
          <w:rFonts w:ascii="Arial" w:cs="Arial" w:eastAsia="Arial" w:hAnsi="Arial"/>
          <w:sz w:val="13"/>
          <w:szCs w:val="13"/>
          <w:color w:val="auto"/>
        </w:rPr>
        <w:t>“Pension Funding Rules”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269"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43" w:name="page44"/>
    <w:bookmarkEnd w:id="43"/>
    <w:p>
      <w:pPr>
        <w:ind w:left="220" w:firstLine="808"/>
        <w:spacing w:after="0" w:line="274" w:lineRule="auto"/>
        <w:rPr>
          <w:sz w:val="20"/>
          <w:szCs w:val="20"/>
          <w:color w:val="auto"/>
        </w:rPr>
      </w:pPr>
      <w:r>
        <w:rPr>
          <w:rFonts w:ascii="Arial" w:cs="Arial" w:eastAsia="Arial" w:hAnsi="Arial"/>
          <w:sz w:val="13"/>
          <w:szCs w:val="13"/>
          <w:color w:val="auto"/>
        </w:rPr>
        <w:t>“Pension Plan” means any employee pension benefit plan (including a Multiple Employer Plan or a Multiemployer Plan) that is maintained or is contributed to by the Lead Borrower and any ERISA Affiliate and is either covered by Title IV of ERISA or is subject to the minimum funding standards under Section 412 of the Code.</w:t>
      </w:r>
    </w:p>
    <w:p>
      <w:pPr>
        <w:spacing w:after="0" w:line="110"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“Permitted Acquisition” means an Acquisition in which all of the following conditions are satisfied:</w:t>
      </w:r>
    </w:p>
    <w:p>
      <w:pPr>
        <w:spacing w:after="0" w:line="121" w:lineRule="exact"/>
        <w:rPr>
          <w:sz w:val="20"/>
          <w:szCs w:val="20"/>
          <w:color w:val="auto"/>
        </w:rPr>
      </w:pPr>
    </w:p>
    <w:p>
      <w:pPr>
        <w:jc w:val="both"/>
        <w:ind w:left="1060" w:firstLine="755"/>
        <w:spacing w:after="0" w:line="258" w:lineRule="auto"/>
        <w:tabs>
          <w:tab w:leader="none" w:pos="2385" w:val="left"/>
        </w:tabs>
        <w:numPr>
          <w:ilvl w:val="0"/>
          <w:numId w:val="33"/>
        </w:numPr>
        <w:rPr>
          <w:rFonts w:ascii="Arial" w:cs="Arial" w:eastAsia="Arial" w:hAnsi="Arial"/>
          <w:sz w:val="13"/>
          <w:szCs w:val="13"/>
          <w:color w:val="auto"/>
        </w:rPr>
      </w:pPr>
      <w:r>
        <w:rPr>
          <w:rFonts w:ascii="Arial" w:cs="Arial" w:eastAsia="Arial" w:hAnsi="Arial"/>
          <w:sz w:val="13"/>
          <w:szCs w:val="13"/>
          <w:color w:val="auto"/>
        </w:rPr>
        <w:t>Such Acquisition shall have been approved by the Board of Directors of the Person (or similar governing body if such Person is not a corporation) which is the subject of such Acquisition and such Person shall not have announced that it will oppose such Acquisition or shall not have commenced any action which alleges that such Acquisition shall violate applicable Law;</w:t>
      </w:r>
    </w:p>
    <w:p>
      <w:pPr>
        <w:spacing w:after="0" w:line="103" w:lineRule="exact"/>
        <w:rPr>
          <w:rFonts w:ascii="Arial" w:cs="Arial" w:eastAsia="Arial" w:hAnsi="Arial"/>
          <w:sz w:val="13"/>
          <w:szCs w:val="13"/>
          <w:color w:val="auto"/>
        </w:rPr>
      </w:pPr>
    </w:p>
    <w:p>
      <w:pPr>
        <w:jc w:val="both"/>
        <w:ind w:left="1060" w:firstLine="755"/>
        <w:spacing w:after="0" w:line="278" w:lineRule="auto"/>
        <w:tabs>
          <w:tab w:leader="none" w:pos="2392"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Lead Borrower shall have furnished the Agent with thirty (30) days’ prior written notice of such intended Acquisition and shall have furnished the Agent with a current draft of the Acquisition Documents (and final copies thereof as and when executed), a summary of any due diligence undertaken by the Loan Parties in connection with such Acquisition, appropriate financial statements of the Person which is the subject of such Acquisition, pro forma projected financial statements for the twelve (12) month period following such Acquisition after giving effect to such Acquisition (including balance sheets, cash flows and income statements by month for the acquired Person, individually, and on a Consolidated basis with all Loan Parties), and such other information as the Agent may reasonably require, all of which shall be in form reasonably satisfactory to the Agent;</w:t>
      </w:r>
    </w:p>
    <w:p>
      <w:pPr>
        <w:spacing w:after="0" w:line="83" w:lineRule="exact"/>
        <w:rPr>
          <w:rFonts w:ascii="Arial" w:cs="Arial" w:eastAsia="Arial" w:hAnsi="Arial"/>
          <w:sz w:val="12"/>
          <w:szCs w:val="12"/>
          <w:color w:val="auto"/>
        </w:rPr>
      </w:pPr>
    </w:p>
    <w:p>
      <w:pPr>
        <w:ind w:left="2400" w:hanging="585"/>
        <w:spacing w:after="0"/>
        <w:tabs>
          <w:tab w:leader="none" w:pos="24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legal structure of the Acquisition shall be acceptable to the Agent in its discretion;</w:t>
      </w:r>
    </w:p>
    <w:p>
      <w:pPr>
        <w:spacing w:after="0" w:line="120" w:lineRule="exact"/>
        <w:rPr>
          <w:rFonts w:ascii="Arial" w:cs="Arial" w:eastAsia="Arial" w:hAnsi="Arial"/>
          <w:sz w:val="13"/>
          <w:szCs w:val="13"/>
          <w:color w:val="auto"/>
        </w:rPr>
      </w:pPr>
    </w:p>
    <w:p>
      <w:pPr>
        <w:ind w:left="1060" w:firstLine="755"/>
        <w:spacing w:after="0" w:line="314" w:lineRule="auto"/>
        <w:tabs>
          <w:tab w:leader="none" w:pos="2392" w:val="left"/>
        </w:tabs>
        <w:numPr>
          <w:ilvl w:val="0"/>
          <w:numId w:val="33"/>
        </w:numPr>
        <w:rPr>
          <w:rFonts w:ascii="Arial" w:cs="Arial" w:eastAsia="Arial" w:hAnsi="Arial"/>
          <w:sz w:val="12"/>
          <w:szCs w:val="12"/>
          <w:color w:val="auto"/>
        </w:rPr>
      </w:pPr>
      <w:r>
        <w:rPr>
          <w:rFonts w:ascii="Arial" w:cs="Arial" w:eastAsia="Arial" w:hAnsi="Arial"/>
          <w:sz w:val="12"/>
          <w:szCs w:val="12"/>
          <w:color w:val="auto"/>
        </w:rPr>
        <w:t>After giving effect to the Acquisition, if the Acquisition is an Acquisition of Equity Interests, a Loan Party shall acquire and own, directly or indirectly, a majority of the Equity Interests in the Person being acquired and shall Control a majority of any voting interests or shall otherwise Control the governance of the Person being acquired;</w:t>
      </w:r>
    </w:p>
    <w:p>
      <w:pPr>
        <w:spacing w:after="0" w:line="71" w:lineRule="exact"/>
        <w:rPr>
          <w:rFonts w:ascii="Arial" w:cs="Arial" w:eastAsia="Arial" w:hAnsi="Arial"/>
          <w:sz w:val="12"/>
          <w:szCs w:val="12"/>
          <w:color w:val="auto"/>
        </w:rPr>
      </w:pPr>
    </w:p>
    <w:p>
      <w:pPr>
        <w:ind w:left="1060" w:firstLine="755"/>
        <w:spacing w:after="0" w:line="271" w:lineRule="auto"/>
        <w:tabs>
          <w:tab w:leader="none" w:pos="2385" w:val="left"/>
        </w:tabs>
        <w:numPr>
          <w:ilvl w:val="0"/>
          <w:numId w:val="33"/>
        </w:numPr>
        <w:rPr>
          <w:rFonts w:ascii="Arial" w:cs="Arial" w:eastAsia="Arial" w:hAnsi="Arial"/>
          <w:sz w:val="13"/>
          <w:szCs w:val="13"/>
          <w:color w:val="auto"/>
        </w:rPr>
      </w:pPr>
      <w:r>
        <w:rPr>
          <w:rFonts w:ascii="Arial" w:cs="Arial" w:eastAsia="Arial" w:hAnsi="Arial"/>
          <w:sz w:val="13"/>
          <w:szCs w:val="13"/>
          <w:color w:val="auto"/>
        </w:rPr>
        <w:t>Any assets acquired shall be utilized in, and if the Acquisition involves a merger, consolidation or acquisition of Equity Interests, the Person which is the subject of such Acquisition shall be engaged in, a business otherwise permitted to be engaged in by a Borrower under this Agreement;</w:t>
      </w:r>
    </w:p>
    <w:p>
      <w:pPr>
        <w:spacing w:after="0" w:line="85" w:lineRule="exact"/>
        <w:rPr>
          <w:rFonts w:ascii="Arial" w:cs="Arial" w:eastAsia="Arial" w:hAnsi="Arial"/>
          <w:sz w:val="13"/>
          <w:szCs w:val="13"/>
          <w:color w:val="auto"/>
        </w:rPr>
      </w:pPr>
    </w:p>
    <w:p>
      <w:pPr>
        <w:jc w:val="both"/>
        <w:ind w:left="1060" w:firstLine="755"/>
        <w:spacing w:after="0" w:line="258" w:lineRule="auto"/>
        <w:tabs>
          <w:tab w:leader="none" w:pos="2370" w:val="left"/>
        </w:tabs>
        <w:numPr>
          <w:ilvl w:val="0"/>
          <w:numId w:val="33"/>
        </w:numPr>
        <w:rPr>
          <w:rFonts w:ascii="Arial" w:cs="Arial" w:eastAsia="Arial" w:hAnsi="Arial"/>
          <w:sz w:val="13"/>
          <w:szCs w:val="13"/>
          <w:color w:val="auto"/>
        </w:rPr>
      </w:pPr>
      <w:r>
        <w:rPr>
          <w:rFonts w:ascii="Arial" w:cs="Arial" w:eastAsia="Arial" w:hAnsi="Arial"/>
          <w:sz w:val="13"/>
          <w:szCs w:val="13"/>
          <w:color w:val="auto"/>
        </w:rPr>
        <w:t xml:space="preserve">If the Person which is the subject of such Acquisition will be maintained as a Subsidiary of a Loan Party, such Subsidiary shall have been joined as a “Borrower” hereunder or as a Guarantor, as the Agent shall determine, and the Agent shall have received a first priority security interest in such Subsidiary’s Equity Interests and property of such Subsidiary and of the same nature as constitutes Collateral under the Security Documents in accordance with </w:t>
      </w:r>
      <w:r>
        <w:rPr>
          <w:rFonts w:ascii="Arial" w:cs="Arial" w:eastAsia="Arial" w:hAnsi="Arial"/>
          <w:sz w:val="13"/>
          <w:szCs w:val="13"/>
          <w:u w:val="single" w:color="auto"/>
          <w:color w:val="auto"/>
        </w:rPr>
        <w:t>Section 6.16</w:t>
      </w:r>
      <w:r>
        <w:rPr>
          <w:rFonts w:ascii="Arial" w:cs="Arial" w:eastAsia="Arial" w:hAnsi="Arial"/>
          <w:sz w:val="13"/>
          <w:szCs w:val="13"/>
          <w:color w:val="auto"/>
        </w:rPr>
        <w:t>; and</w:t>
      </w:r>
    </w:p>
    <w:p>
      <w:pPr>
        <w:spacing w:after="0" w:line="94" w:lineRule="exact"/>
        <w:rPr>
          <w:rFonts w:ascii="Arial" w:cs="Arial" w:eastAsia="Arial" w:hAnsi="Arial"/>
          <w:sz w:val="13"/>
          <w:szCs w:val="13"/>
          <w:color w:val="auto"/>
        </w:rPr>
      </w:pPr>
    </w:p>
    <w:p>
      <w:pPr>
        <w:ind w:left="2400" w:hanging="585"/>
        <w:spacing w:after="0"/>
        <w:tabs>
          <w:tab w:leader="none" w:pos="24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Loan Parties shall have satisfied the Payment Conditions.</w:t>
      </w:r>
    </w:p>
    <w:p>
      <w:pPr>
        <w:spacing w:after="0" w:line="130"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“Permitted Disposition” means any of the following:</w:t>
      </w:r>
    </w:p>
    <w:p>
      <w:pPr>
        <w:spacing w:after="0" w:line="121" w:lineRule="exact"/>
        <w:rPr>
          <w:sz w:val="20"/>
          <w:szCs w:val="20"/>
          <w:color w:val="auto"/>
        </w:rPr>
      </w:pPr>
    </w:p>
    <w:p>
      <w:pPr>
        <w:ind w:left="2420" w:hanging="588"/>
        <w:spacing w:after="0"/>
        <w:tabs>
          <w:tab w:leader="none" w:pos="2420" w:val="left"/>
        </w:tabs>
        <w:numPr>
          <w:ilvl w:val="0"/>
          <w:numId w:val="34"/>
        </w:numPr>
        <w:rPr>
          <w:rFonts w:ascii="Arial" w:cs="Arial" w:eastAsia="Arial" w:hAnsi="Arial"/>
          <w:sz w:val="13"/>
          <w:szCs w:val="13"/>
          <w:color w:val="auto"/>
        </w:rPr>
      </w:pPr>
      <w:r>
        <w:rPr>
          <w:rFonts w:ascii="Arial" w:cs="Arial" w:eastAsia="Arial" w:hAnsi="Arial"/>
          <w:sz w:val="13"/>
          <w:szCs w:val="13"/>
          <w:color w:val="auto"/>
        </w:rPr>
        <w:t>dispositions of Inventory in the ordinary course of business;</w:t>
      </w:r>
    </w:p>
    <w:p>
      <w:pPr>
        <w:spacing w:after="0" w:line="286"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44" w:name="page45"/>
    <w:bookmarkEnd w:id="44"/>
    <w:p>
      <w:pPr>
        <w:ind w:left="2400" w:hanging="585"/>
        <w:spacing w:after="0"/>
        <w:tabs>
          <w:tab w:leader="none" w:pos="2400" w:val="left"/>
        </w:tabs>
        <w:numPr>
          <w:ilvl w:val="1"/>
          <w:numId w:val="35"/>
        </w:numPr>
        <w:rPr>
          <w:rFonts w:ascii="Arial" w:cs="Arial" w:eastAsia="Arial" w:hAnsi="Arial"/>
          <w:sz w:val="12"/>
          <w:szCs w:val="12"/>
          <w:color w:val="auto"/>
        </w:rPr>
      </w:pPr>
      <w:r>
        <w:rPr>
          <w:rFonts w:ascii="Arial" w:cs="Arial" w:eastAsia="Arial" w:hAnsi="Arial"/>
          <w:sz w:val="12"/>
          <w:szCs w:val="12"/>
          <w:color w:val="auto"/>
        </w:rPr>
        <w:t>bulk sales or other dispositions of the Inventory of a Loan Party not in the ordinary course of business at arm’s length in connection with Permitted Store Closings;</w:t>
      </w:r>
    </w:p>
    <w:p>
      <w:pPr>
        <w:spacing w:after="0" w:line="141" w:lineRule="exact"/>
        <w:rPr>
          <w:rFonts w:ascii="Arial" w:cs="Arial" w:eastAsia="Arial" w:hAnsi="Arial"/>
          <w:sz w:val="12"/>
          <w:szCs w:val="12"/>
          <w:color w:val="auto"/>
        </w:rPr>
      </w:pPr>
    </w:p>
    <w:p>
      <w:pPr>
        <w:ind w:left="2400" w:hanging="585"/>
        <w:spacing w:after="0"/>
        <w:tabs>
          <w:tab w:leader="none" w:pos="2400" w:val="left"/>
        </w:tabs>
        <w:numPr>
          <w:ilvl w:val="1"/>
          <w:numId w:val="35"/>
        </w:numPr>
        <w:rPr>
          <w:rFonts w:ascii="Arial" w:cs="Arial" w:eastAsia="Arial" w:hAnsi="Arial"/>
          <w:sz w:val="13"/>
          <w:szCs w:val="13"/>
          <w:color w:val="auto"/>
        </w:rPr>
      </w:pPr>
      <w:r>
        <w:rPr>
          <w:rFonts w:ascii="Arial" w:cs="Arial" w:eastAsia="Arial" w:hAnsi="Arial"/>
          <w:sz w:val="13"/>
          <w:szCs w:val="13"/>
          <w:color w:val="auto"/>
        </w:rPr>
        <w:t>non-exclusive licenses of Intellectual Property of a Loan Party or any of its Subsidiaries in the ordinary course of business;</w:t>
      </w:r>
    </w:p>
    <w:p>
      <w:pPr>
        <w:spacing w:after="0" w:line="120" w:lineRule="exact"/>
        <w:rPr>
          <w:rFonts w:ascii="Arial" w:cs="Arial" w:eastAsia="Arial" w:hAnsi="Arial"/>
          <w:sz w:val="13"/>
          <w:szCs w:val="13"/>
          <w:color w:val="auto"/>
        </w:rPr>
      </w:pPr>
    </w:p>
    <w:p>
      <w:pPr>
        <w:ind w:left="1060" w:firstLine="755"/>
        <w:spacing w:after="0" w:line="314" w:lineRule="auto"/>
        <w:tabs>
          <w:tab w:leader="none" w:pos="2392" w:val="left"/>
        </w:tabs>
        <w:numPr>
          <w:ilvl w:val="1"/>
          <w:numId w:val="35"/>
        </w:numPr>
        <w:rPr>
          <w:rFonts w:ascii="Arial" w:cs="Arial" w:eastAsia="Arial" w:hAnsi="Arial"/>
          <w:sz w:val="12"/>
          <w:szCs w:val="12"/>
          <w:color w:val="auto"/>
        </w:rPr>
      </w:pPr>
      <w:r>
        <w:rPr>
          <w:rFonts w:ascii="Arial" w:cs="Arial" w:eastAsia="Arial" w:hAnsi="Arial"/>
          <w:sz w:val="12"/>
          <w:szCs w:val="12"/>
          <w:color w:val="auto"/>
        </w:rPr>
        <w:t xml:space="preserve">licenses for the conduct of licensed departments within the Loan Parties’ Stores in the ordinary course of business;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requested by the Agent, the Agent shall have entered into an intercreditor agreement with the Person operating such licensed department on terms and conditions reasonably satisfactory to the Agent;</w:t>
      </w:r>
    </w:p>
    <w:p>
      <w:pPr>
        <w:spacing w:after="0" w:line="62" w:lineRule="exact"/>
        <w:rPr>
          <w:rFonts w:ascii="Arial" w:cs="Arial" w:eastAsia="Arial" w:hAnsi="Arial"/>
          <w:sz w:val="12"/>
          <w:szCs w:val="12"/>
          <w:color w:val="auto"/>
        </w:rPr>
      </w:pPr>
    </w:p>
    <w:p>
      <w:pPr>
        <w:ind w:left="1060" w:firstLine="755"/>
        <w:spacing w:after="0" w:line="271" w:lineRule="auto"/>
        <w:tabs>
          <w:tab w:leader="none" w:pos="2385" w:val="left"/>
        </w:tabs>
        <w:numPr>
          <w:ilvl w:val="1"/>
          <w:numId w:val="35"/>
        </w:numPr>
        <w:rPr>
          <w:rFonts w:ascii="Arial" w:cs="Arial" w:eastAsia="Arial" w:hAnsi="Arial"/>
          <w:sz w:val="13"/>
          <w:szCs w:val="13"/>
          <w:color w:val="auto"/>
        </w:rPr>
      </w:pPr>
      <w:r>
        <w:rPr>
          <w:rFonts w:ascii="Arial" w:cs="Arial" w:eastAsia="Arial" w:hAnsi="Arial"/>
          <w:sz w:val="13"/>
          <w:szCs w:val="13"/>
          <w:color w:val="auto"/>
        </w:rPr>
        <w:t>dispositions of Equipment in the ordinary course of business that is substantially worn, damaged, obsolete or, in the judgment of a Loan Party, no longer useful or necessary in its business or that of any Subsidiary;</w:t>
      </w:r>
    </w:p>
    <w:p>
      <w:pPr>
        <w:spacing w:after="0" w:line="94" w:lineRule="exact"/>
        <w:rPr>
          <w:rFonts w:ascii="Arial" w:cs="Arial" w:eastAsia="Arial" w:hAnsi="Arial"/>
          <w:sz w:val="13"/>
          <w:szCs w:val="13"/>
          <w:color w:val="auto"/>
        </w:rPr>
      </w:pPr>
    </w:p>
    <w:p>
      <w:pPr>
        <w:ind w:left="2380" w:hanging="565"/>
        <w:spacing w:after="0"/>
        <w:tabs>
          <w:tab w:leader="none" w:pos="2380" w:val="left"/>
        </w:tabs>
        <w:numPr>
          <w:ilvl w:val="1"/>
          <w:numId w:val="35"/>
        </w:numPr>
        <w:rPr>
          <w:rFonts w:ascii="Arial" w:cs="Arial" w:eastAsia="Arial" w:hAnsi="Arial"/>
          <w:sz w:val="13"/>
          <w:szCs w:val="13"/>
          <w:color w:val="auto"/>
        </w:rPr>
      </w:pPr>
      <w:r>
        <w:rPr>
          <w:rFonts w:ascii="Arial" w:cs="Arial" w:eastAsia="Arial" w:hAnsi="Arial"/>
          <w:sz w:val="13"/>
          <w:szCs w:val="13"/>
          <w:color w:val="auto"/>
        </w:rPr>
        <w:t>Sales, transfers and dispositions among the Loan Parties or by any Subsidiary to a Loan Party;</w:t>
      </w:r>
    </w:p>
    <w:p>
      <w:pPr>
        <w:spacing w:after="0" w:line="120" w:lineRule="exact"/>
        <w:rPr>
          <w:rFonts w:ascii="Arial" w:cs="Arial" w:eastAsia="Arial" w:hAnsi="Arial"/>
          <w:sz w:val="13"/>
          <w:szCs w:val="13"/>
          <w:color w:val="auto"/>
        </w:rPr>
      </w:pPr>
    </w:p>
    <w:p>
      <w:pPr>
        <w:ind w:left="2400" w:hanging="585"/>
        <w:spacing w:after="0"/>
        <w:tabs>
          <w:tab w:leader="none" w:pos="2400" w:val="left"/>
        </w:tabs>
        <w:numPr>
          <w:ilvl w:val="1"/>
          <w:numId w:val="35"/>
        </w:numPr>
        <w:rPr>
          <w:rFonts w:ascii="Arial" w:cs="Arial" w:eastAsia="Arial" w:hAnsi="Arial"/>
          <w:sz w:val="13"/>
          <w:szCs w:val="13"/>
          <w:color w:val="auto"/>
        </w:rPr>
      </w:pPr>
      <w:r>
        <w:rPr>
          <w:rFonts w:ascii="Arial" w:cs="Arial" w:eastAsia="Arial" w:hAnsi="Arial"/>
          <w:sz w:val="13"/>
          <w:szCs w:val="13"/>
          <w:color w:val="auto"/>
        </w:rPr>
        <w:t>Sales, transfers and dispositions by any Subsidiary which is not a Loan Party to another Subsidiary that is not a Loan Party; and</w:t>
      </w:r>
    </w:p>
    <w:p>
      <w:pPr>
        <w:spacing w:after="0" w:line="120" w:lineRule="exact"/>
        <w:rPr>
          <w:rFonts w:ascii="Arial" w:cs="Arial" w:eastAsia="Arial" w:hAnsi="Arial"/>
          <w:sz w:val="13"/>
          <w:szCs w:val="13"/>
          <w:color w:val="auto"/>
        </w:rPr>
      </w:pPr>
    </w:p>
    <w:p>
      <w:pPr>
        <w:jc w:val="both"/>
        <w:ind w:left="1060" w:firstLine="755"/>
        <w:spacing w:after="0" w:line="275" w:lineRule="auto"/>
        <w:tabs>
          <w:tab w:leader="none" w:pos="2392" w:val="left"/>
        </w:tabs>
        <w:numPr>
          <w:ilvl w:val="1"/>
          <w:numId w:val="35"/>
        </w:numPr>
        <w:rPr>
          <w:rFonts w:ascii="Arial" w:cs="Arial" w:eastAsia="Arial" w:hAnsi="Arial"/>
          <w:sz w:val="12"/>
          <w:szCs w:val="12"/>
          <w:color w:val="auto"/>
        </w:rPr>
      </w:pPr>
      <w:r>
        <w:rPr>
          <w:rFonts w:ascii="Arial" w:cs="Arial" w:eastAsia="Arial" w:hAnsi="Arial"/>
          <w:sz w:val="12"/>
          <w:szCs w:val="12"/>
          <w:color w:val="auto"/>
        </w:rPr>
        <w:t>as long as no Default or Event of Default then exists or would arise therefrom, sales of Real Estate of any Loan Party (or sales of any Person or Persons created to hold such Real Estate or the Equity Interests in such Person or Persons), including sale-leaseback transactions involving any such Real Estate pursuant to leases on market terms, as long as,</w:t>
      </w:r>
    </w:p>
    <w:p>
      <w:pPr>
        <w:ind w:left="1060" w:firstLine="9"/>
        <w:spacing w:after="0" w:line="255" w:lineRule="auto"/>
        <w:tabs>
          <w:tab w:leader="none" w:pos="1282" w:val="left"/>
        </w:tabs>
        <w:numPr>
          <w:ilvl w:val="0"/>
          <w:numId w:val="36"/>
        </w:numPr>
        <w:rPr>
          <w:rFonts w:ascii="Arial" w:cs="Arial" w:eastAsia="Arial" w:hAnsi="Arial"/>
          <w:sz w:val="13"/>
          <w:szCs w:val="13"/>
          <w:color w:val="auto"/>
        </w:rPr>
      </w:pPr>
      <w:r>
        <w:rPr>
          <w:rFonts w:ascii="Arial" w:cs="Arial" w:eastAsia="Arial" w:hAnsi="Arial"/>
          <w:sz w:val="13"/>
          <w:szCs w:val="13"/>
          <w:color w:val="auto"/>
        </w:rPr>
        <w:t>such sale is made for fair market value, and (B) in the case of any sale-leaseback transaction permitted hereunder, the Agent shall have received from each such purchaser or transferee a Collateral Access Agreement on terms and conditions reasonably satisfactory to the Agent.</w:t>
      </w:r>
    </w:p>
    <w:p>
      <w:pPr>
        <w:spacing w:after="0" w:line="123" w:lineRule="exact"/>
        <w:rPr>
          <w:sz w:val="20"/>
          <w:szCs w:val="20"/>
          <w:color w:val="auto"/>
        </w:rPr>
      </w:pPr>
    </w:p>
    <w:p>
      <w:pPr>
        <w:ind w:left="1140"/>
        <w:spacing w:after="0"/>
        <w:rPr>
          <w:sz w:val="20"/>
          <w:szCs w:val="20"/>
          <w:color w:val="auto"/>
        </w:rPr>
      </w:pPr>
      <w:r>
        <w:rPr>
          <w:rFonts w:ascii="Arial" w:cs="Arial" w:eastAsia="Arial" w:hAnsi="Arial"/>
          <w:sz w:val="13"/>
          <w:szCs w:val="13"/>
          <w:color w:val="auto"/>
        </w:rPr>
        <w:t>“Permitted Encumbrances” means:</w:t>
      </w:r>
    </w:p>
    <w:p>
      <w:pPr>
        <w:spacing w:after="0" w:line="130" w:lineRule="exact"/>
        <w:rPr>
          <w:sz w:val="20"/>
          <w:szCs w:val="20"/>
          <w:color w:val="auto"/>
        </w:rPr>
      </w:pPr>
    </w:p>
    <w:p>
      <w:pPr>
        <w:ind w:left="2400" w:hanging="585"/>
        <w:spacing w:after="0"/>
        <w:tabs>
          <w:tab w:leader="none" w:pos="24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 xml:space="preserve">Liens imposed by law for Taxes that are not yet due or are being contested in compliance with </w:t>
      </w:r>
      <w:r>
        <w:rPr>
          <w:rFonts w:ascii="Arial" w:cs="Arial" w:eastAsia="Arial" w:hAnsi="Arial"/>
          <w:sz w:val="13"/>
          <w:szCs w:val="13"/>
          <w:u w:val="single" w:color="auto"/>
          <w:color w:val="auto"/>
        </w:rPr>
        <w:t>Section 6.04</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ind w:left="1060" w:firstLine="755"/>
        <w:spacing w:after="0" w:line="271" w:lineRule="auto"/>
        <w:tabs>
          <w:tab w:leader="none" w:pos="2392" w:val="left"/>
        </w:tabs>
        <w:numPr>
          <w:ilvl w:val="0"/>
          <w:numId w:val="37"/>
        </w:numPr>
        <w:rPr>
          <w:rFonts w:ascii="Arial" w:cs="Arial" w:eastAsia="Arial" w:hAnsi="Arial"/>
          <w:sz w:val="13"/>
          <w:szCs w:val="13"/>
          <w:color w:val="auto"/>
        </w:rPr>
      </w:pPr>
      <w:r>
        <w:rPr>
          <w:rFonts w:ascii="Arial" w:cs="Arial" w:eastAsia="Arial" w:hAnsi="Arial"/>
          <w:sz w:val="13"/>
          <w:szCs w:val="13"/>
          <w:color w:val="auto"/>
        </w:rPr>
        <w:t xml:space="preserve">Carriers’, warehousemen’s, mechanics’, materialmen’s, repairmen’s and other like Liens imposed by applicable Laws, arising in the ordinary course of business and securing obligations that are not overdue by more than thirty (30) days or are being contested in compliance with </w:t>
      </w:r>
      <w:r>
        <w:rPr>
          <w:rFonts w:ascii="Arial" w:cs="Arial" w:eastAsia="Arial" w:hAnsi="Arial"/>
          <w:sz w:val="13"/>
          <w:szCs w:val="13"/>
          <w:u w:val="single" w:color="auto"/>
          <w:color w:val="auto"/>
        </w:rPr>
        <w:t>Section 6.04</w:t>
      </w:r>
      <w:r>
        <w:rPr>
          <w:rFonts w:ascii="Arial" w:cs="Arial" w:eastAsia="Arial" w:hAnsi="Arial"/>
          <w:sz w:val="13"/>
          <w:szCs w:val="13"/>
          <w:color w:val="auto"/>
        </w:rPr>
        <w:t>;</w:t>
      </w:r>
    </w:p>
    <w:p>
      <w:pPr>
        <w:spacing w:after="0" w:line="85" w:lineRule="exact"/>
        <w:rPr>
          <w:rFonts w:ascii="Arial" w:cs="Arial" w:eastAsia="Arial" w:hAnsi="Arial"/>
          <w:sz w:val="13"/>
          <w:szCs w:val="13"/>
          <w:color w:val="auto"/>
        </w:rPr>
      </w:pPr>
    </w:p>
    <w:p>
      <w:pPr>
        <w:ind w:left="1060" w:firstLine="755"/>
        <w:spacing w:after="0" w:line="271" w:lineRule="auto"/>
        <w:tabs>
          <w:tab w:leader="none" w:pos="2385" w:val="left"/>
        </w:tabs>
        <w:numPr>
          <w:ilvl w:val="0"/>
          <w:numId w:val="37"/>
        </w:numPr>
        <w:rPr>
          <w:rFonts w:ascii="Arial" w:cs="Arial" w:eastAsia="Arial" w:hAnsi="Arial"/>
          <w:sz w:val="13"/>
          <w:szCs w:val="13"/>
          <w:color w:val="auto"/>
        </w:rPr>
      </w:pPr>
      <w:r>
        <w:rPr>
          <w:rFonts w:ascii="Arial" w:cs="Arial" w:eastAsia="Arial" w:hAnsi="Arial"/>
          <w:sz w:val="13"/>
          <w:szCs w:val="13"/>
          <w:color w:val="auto"/>
        </w:rPr>
        <w:t>Pledges and deposits made in the ordinary course of business in compliance with workers’ compensation, unemployment insurance and other social security laws or regulations, other than any Lien imposed by ERISA;</w:t>
      </w:r>
    </w:p>
    <w:p>
      <w:pPr>
        <w:spacing w:after="0" w:line="94" w:lineRule="exact"/>
        <w:rPr>
          <w:rFonts w:ascii="Arial" w:cs="Arial" w:eastAsia="Arial" w:hAnsi="Arial"/>
          <w:sz w:val="13"/>
          <w:szCs w:val="13"/>
          <w:color w:val="auto"/>
        </w:rPr>
      </w:pPr>
    </w:p>
    <w:p>
      <w:pPr>
        <w:ind w:left="1060" w:firstLine="755"/>
        <w:spacing w:after="0" w:line="271" w:lineRule="auto"/>
        <w:tabs>
          <w:tab w:leader="none" w:pos="2392" w:val="left"/>
        </w:tabs>
        <w:numPr>
          <w:ilvl w:val="0"/>
          <w:numId w:val="37"/>
        </w:numPr>
        <w:rPr>
          <w:rFonts w:ascii="Arial" w:cs="Arial" w:eastAsia="Arial" w:hAnsi="Arial"/>
          <w:sz w:val="13"/>
          <w:szCs w:val="13"/>
          <w:color w:val="auto"/>
        </w:rPr>
      </w:pPr>
      <w:r>
        <w:rPr>
          <w:rFonts w:ascii="Arial" w:cs="Arial" w:eastAsia="Arial" w:hAnsi="Arial"/>
          <w:sz w:val="13"/>
          <w:szCs w:val="13"/>
          <w:color w:val="auto"/>
        </w:rPr>
        <w:t>Deposits to secure the performance of bids, trade contracts and leases (other than Indebtedness), statutory obligations, surety and appeal bonds, performance bonds and other obligations of a like nature incurred in the ordinary course of business;</w:t>
      </w:r>
    </w:p>
    <w:p>
      <w:pPr>
        <w:spacing w:after="0" w:line="85" w:lineRule="exact"/>
        <w:rPr>
          <w:rFonts w:ascii="Arial" w:cs="Arial" w:eastAsia="Arial" w:hAnsi="Arial"/>
          <w:sz w:val="13"/>
          <w:szCs w:val="13"/>
          <w:color w:val="auto"/>
        </w:rPr>
      </w:pPr>
    </w:p>
    <w:p>
      <w:pPr>
        <w:ind w:left="2400" w:hanging="585"/>
        <w:spacing w:after="0"/>
        <w:tabs>
          <w:tab w:leader="none" w:pos="24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Liens in respect of judgments that would not constitute an Event of Default hereunder;</w:t>
      </w:r>
    </w:p>
    <w:p>
      <w:pPr>
        <w:spacing w:after="0" w:line="295"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246" w:right="439" w:bottom="1440" w:gutter="0" w:footer="0" w:header="0"/>
        </w:sectPr>
      </w:pPr>
    </w:p>
    <w:bookmarkStart w:id="45" w:name="page46"/>
    <w:bookmarkEnd w:id="45"/>
    <w:p>
      <w:pPr>
        <w:jc w:val="both"/>
        <w:ind w:left="1060" w:firstLine="755"/>
        <w:spacing w:after="0" w:line="255" w:lineRule="auto"/>
        <w:tabs>
          <w:tab w:leader="none" w:pos="2370" w:val="left"/>
        </w:tabs>
        <w:numPr>
          <w:ilvl w:val="0"/>
          <w:numId w:val="38"/>
        </w:numPr>
        <w:rPr>
          <w:rFonts w:ascii="Arial" w:cs="Arial" w:eastAsia="Arial" w:hAnsi="Arial"/>
          <w:sz w:val="13"/>
          <w:szCs w:val="13"/>
          <w:color w:val="auto"/>
        </w:rPr>
      </w:pPr>
      <w:r>
        <w:rPr>
          <w:rFonts w:ascii="Arial" w:cs="Arial" w:eastAsia="Arial" w:hAnsi="Arial"/>
          <w:sz w:val="13"/>
          <w:szCs w:val="13"/>
          <w:color w:val="auto"/>
        </w:rPr>
        <w:t>Easements, covenants, conditions, restrictions, building code laws, zoning restrictions, rights-of-way and similar encumbrances on real property imposed by law or arising in the ordinary course of business that do not secure any monetary obligations and do not materially detract from the value of the affected property or materially interfere with the ordinary conduct of business of a Loan Party and such other minor title defects or survey matters that are disclosed by current surveys that, in each case, do not materially interfere with the current use of the real property;</w:t>
      </w:r>
    </w:p>
    <w:p>
      <w:pPr>
        <w:spacing w:after="0" w:line="95" w:lineRule="exact"/>
        <w:rPr>
          <w:rFonts w:ascii="Arial" w:cs="Arial" w:eastAsia="Arial" w:hAnsi="Arial"/>
          <w:sz w:val="13"/>
          <w:szCs w:val="13"/>
          <w:color w:val="auto"/>
        </w:rPr>
      </w:pPr>
    </w:p>
    <w:p>
      <w:pPr>
        <w:ind w:left="2400" w:hanging="585"/>
        <w:spacing w:after="0"/>
        <w:tabs>
          <w:tab w:leader="none" w:pos="24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 xml:space="preserve">Liens existing on the Closing Date listed on </w:t>
      </w:r>
      <w:r>
        <w:rPr>
          <w:rFonts w:ascii="Arial" w:cs="Arial" w:eastAsia="Arial" w:hAnsi="Arial"/>
          <w:sz w:val="13"/>
          <w:szCs w:val="13"/>
          <w:u w:val="single" w:color="auto"/>
          <w:color w:val="auto"/>
        </w:rPr>
        <w:t>Schedule 7.01</w:t>
      </w:r>
      <w:r>
        <w:rPr>
          <w:rFonts w:ascii="Arial" w:cs="Arial" w:eastAsia="Arial" w:hAnsi="Arial"/>
          <w:sz w:val="13"/>
          <w:szCs w:val="13"/>
          <w:color w:val="auto"/>
        </w:rPr>
        <w:t xml:space="preserve"> and Liens to secure any Permitted Refinancings of the Indebtedness with respect thereto;</w:t>
      </w:r>
    </w:p>
    <w:p>
      <w:pPr>
        <w:spacing w:after="0" w:line="129" w:lineRule="exact"/>
        <w:rPr>
          <w:rFonts w:ascii="Arial" w:cs="Arial" w:eastAsia="Arial" w:hAnsi="Arial"/>
          <w:sz w:val="13"/>
          <w:szCs w:val="13"/>
          <w:color w:val="auto"/>
        </w:rPr>
      </w:pPr>
    </w:p>
    <w:p>
      <w:pPr>
        <w:jc w:val="both"/>
        <w:ind w:left="1060" w:firstLine="755"/>
        <w:spacing w:after="0" w:line="254" w:lineRule="auto"/>
        <w:tabs>
          <w:tab w:leader="none" w:pos="2392" w:val="left"/>
        </w:tabs>
        <w:numPr>
          <w:ilvl w:val="0"/>
          <w:numId w:val="38"/>
        </w:numPr>
        <w:rPr>
          <w:rFonts w:ascii="Arial" w:cs="Arial" w:eastAsia="Arial" w:hAnsi="Arial"/>
          <w:sz w:val="13"/>
          <w:szCs w:val="13"/>
          <w:color w:val="auto"/>
        </w:rPr>
      </w:pPr>
      <w:r>
        <w:rPr>
          <w:rFonts w:ascii="Arial" w:cs="Arial" w:eastAsia="Arial" w:hAnsi="Arial"/>
          <w:sz w:val="13"/>
          <w:szCs w:val="13"/>
          <w:color w:val="auto"/>
        </w:rPr>
        <w:t>Liens on fixed or capital assets or on Real Estate of any Loan Party which secure Indebtedness permitted under clauses (c) and/or (d) of the definition of Permitted Indebtedness so long as (i) such Liens and the Indebtedness secured thereby are incurred prior to or within ninety (90) days after such acquisition, (ii) the Indebtedness secured thereby does not exceed the cost of acquisition of the applicable assets, and (iii) such Liens shall attach only to the assets or Real estate acquired, improved or refinanced with such Indebtedness and shall not extend to any other property or assets of the Loan Parties;</w:t>
      </w:r>
    </w:p>
    <w:p>
      <w:pPr>
        <w:spacing w:after="0" w:line="96" w:lineRule="exact"/>
        <w:rPr>
          <w:rFonts w:ascii="Arial" w:cs="Arial" w:eastAsia="Arial" w:hAnsi="Arial"/>
          <w:sz w:val="13"/>
          <w:szCs w:val="13"/>
          <w:color w:val="auto"/>
        </w:rPr>
      </w:pPr>
    </w:p>
    <w:p>
      <w:pPr>
        <w:ind w:left="2380" w:hanging="565"/>
        <w:spacing w:after="0"/>
        <w:tabs>
          <w:tab w:leader="none" w:pos="23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Liens in favor of the Agent;</w:t>
      </w:r>
    </w:p>
    <w:p>
      <w:pPr>
        <w:spacing w:after="0" w:line="120" w:lineRule="exact"/>
        <w:rPr>
          <w:rFonts w:ascii="Arial" w:cs="Arial" w:eastAsia="Arial" w:hAnsi="Arial"/>
          <w:sz w:val="13"/>
          <w:szCs w:val="13"/>
          <w:color w:val="auto"/>
        </w:rPr>
      </w:pPr>
    </w:p>
    <w:p>
      <w:pPr>
        <w:ind w:left="2380" w:hanging="565"/>
        <w:spacing w:after="0"/>
        <w:tabs>
          <w:tab w:leader="none" w:pos="23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Landlords’ and lessors’ statutory Liens in respect of rent not in default;</w:t>
      </w:r>
    </w:p>
    <w:p>
      <w:pPr>
        <w:spacing w:after="0" w:line="129" w:lineRule="exact"/>
        <w:rPr>
          <w:rFonts w:ascii="Arial" w:cs="Arial" w:eastAsia="Arial" w:hAnsi="Arial"/>
          <w:sz w:val="13"/>
          <w:szCs w:val="13"/>
          <w:color w:val="auto"/>
        </w:rPr>
      </w:pPr>
    </w:p>
    <w:p>
      <w:pPr>
        <w:jc w:val="both"/>
        <w:ind w:left="1060" w:firstLine="755"/>
        <w:spacing w:after="0" w:line="258" w:lineRule="auto"/>
        <w:tabs>
          <w:tab w:leader="none" w:pos="2392" w:val="left"/>
        </w:tabs>
        <w:numPr>
          <w:ilvl w:val="0"/>
          <w:numId w:val="38"/>
        </w:numPr>
        <w:rPr>
          <w:rFonts w:ascii="Arial" w:cs="Arial" w:eastAsia="Arial" w:hAnsi="Arial"/>
          <w:sz w:val="13"/>
          <w:szCs w:val="13"/>
          <w:color w:val="auto"/>
        </w:rPr>
      </w:pPr>
      <w:r>
        <w:rPr>
          <w:rFonts w:ascii="Arial" w:cs="Arial" w:eastAsia="Arial" w:hAnsi="Arial"/>
          <w:sz w:val="13"/>
          <w:szCs w:val="13"/>
          <w:color w:val="auto"/>
        </w:rPr>
        <w:t xml:space="preserve">Possessory Liens in favor of brokers and dealers arising in connection with the acquisition or disposition of Investments owned as of the Closing Date and other Permitted Investments,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liens (a) attach only to such Investments and (b) secure only obligations incurred in the ordinary course and arising in connection with the acquisition or disposition of such Investments and not any obligation in connection with margin financing;</w:t>
      </w:r>
    </w:p>
    <w:p>
      <w:pPr>
        <w:spacing w:after="0" w:line="94" w:lineRule="exact"/>
        <w:rPr>
          <w:rFonts w:ascii="Arial" w:cs="Arial" w:eastAsia="Arial" w:hAnsi="Arial"/>
          <w:sz w:val="13"/>
          <w:szCs w:val="13"/>
          <w:color w:val="auto"/>
        </w:rPr>
      </w:pPr>
    </w:p>
    <w:p>
      <w:pPr>
        <w:ind w:left="1060" w:firstLine="755"/>
        <w:spacing w:after="0" w:line="271" w:lineRule="auto"/>
        <w:tabs>
          <w:tab w:leader="none" w:pos="2363" w:val="left"/>
        </w:tabs>
        <w:numPr>
          <w:ilvl w:val="0"/>
          <w:numId w:val="38"/>
        </w:numPr>
        <w:rPr>
          <w:rFonts w:ascii="Arial" w:cs="Arial" w:eastAsia="Arial" w:hAnsi="Arial"/>
          <w:sz w:val="13"/>
          <w:szCs w:val="13"/>
          <w:color w:val="auto"/>
        </w:rPr>
      </w:pPr>
      <w:r>
        <w:rPr>
          <w:rFonts w:ascii="Arial" w:cs="Arial" w:eastAsia="Arial" w:hAnsi="Arial"/>
          <w:sz w:val="13"/>
          <w:szCs w:val="13"/>
          <w:color w:val="auto"/>
        </w:rPr>
        <w:t>Liens arising solely by virtue of any statutory or common law provisions relating to banker’s Liens, Liens in favor of securities intermediaries, rights of setoff or similar rights and remedies as to deposit accounts or securities accounts or other funds maintained with depository institutions or securities intermediaries;</w:t>
      </w:r>
    </w:p>
    <w:p>
      <w:pPr>
        <w:spacing w:after="0" w:line="85" w:lineRule="exact"/>
        <w:rPr>
          <w:rFonts w:ascii="Arial" w:cs="Arial" w:eastAsia="Arial" w:hAnsi="Arial"/>
          <w:sz w:val="13"/>
          <w:szCs w:val="13"/>
          <w:color w:val="auto"/>
        </w:rPr>
      </w:pPr>
    </w:p>
    <w:p>
      <w:pPr>
        <w:ind w:left="2440" w:hanging="625"/>
        <w:spacing w:after="0"/>
        <w:tabs>
          <w:tab w:leader="none" w:pos="24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Liens arising from precautionary UCC filings regarding “true” operating leases or, to the extent permitted under the Loan Documents, the consignment of goods to a</w:t>
      </w:r>
    </w:p>
    <w:p>
      <w:pPr>
        <w:spacing w:after="0" w:line="25" w:lineRule="exact"/>
        <w:rPr>
          <w:rFonts w:ascii="Arial" w:cs="Arial" w:eastAsia="Arial" w:hAnsi="Arial"/>
          <w:sz w:val="12"/>
          <w:szCs w:val="12"/>
          <w:color w:val="auto"/>
        </w:rPr>
      </w:pPr>
    </w:p>
    <w:p>
      <w:pPr>
        <w:ind w:left="1060"/>
        <w:spacing w:after="0"/>
        <w:rPr>
          <w:rFonts w:ascii="Arial" w:cs="Arial" w:eastAsia="Arial" w:hAnsi="Arial"/>
          <w:sz w:val="12"/>
          <w:szCs w:val="12"/>
          <w:color w:val="auto"/>
        </w:rPr>
      </w:pPr>
      <w:r>
        <w:rPr>
          <w:rFonts w:ascii="Arial" w:cs="Arial" w:eastAsia="Arial" w:hAnsi="Arial"/>
          <w:sz w:val="13"/>
          <w:szCs w:val="13"/>
          <w:color w:val="auto"/>
        </w:rPr>
        <w:t>Loan Party;</w:t>
      </w:r>
    </w:p>
    <w:p>
      <w:pPr>
        <w:spacing w:after="0" w:line="119" w:lineRule="exact"/>
        <w:rPr>
          <w:rFonts w:ascii="Arial" w:cs="Arial" w:eastAsia="Arial" w:hAnsi="Arial"/>
          <w:sz w:val="12"/>
          <w:szCs w:val="12"/>
          <w:color w:val="auto"/>
        </w:rPr>
      </w:pPr>
    </w:p>
    <w:p>
      <w:pPr>
        <w:jc w:val="both"/>
        <w:ind w:left="1060" w:firstLine="755"/>
        <w:spacing w:after="0" w:line="290" w:lineRule="auto"/>
        <w:tabs>
          <w:tab w:leader="none" w:pos="2392" w:val="left"/>
        </w:tabs>
        <w:numPr>
          <w:ilvl w:val="0"/>
          <w:numId w:val="38"/>
        </w:numPr>
        <w:rPr>
          <w:rFonts w:ascii="Arial" w:cs="Arial" w:eastAsia="Arial" w:hAnsi="Arial"/>
          <w:sz w:val="12"/>
          <w:szCs w:val="12"/>
          <w:color w:val="auto"/>
        </w:rPr>
      </w:pPr>
      <w:r>
        <w:rPr>
          <w:rFonts w:ascii="Arial" w:cs="Arial" w:eastAsia="Arial" w:hAnsi="Arial"/>
          <w:sz w:val="12"/>
          <w:szCs w:val="12"/>
          <w:color w:val="auto"/>
        </w:rPr>
        <w:t xml:space="preserve">voluntary Liens on property (other than property of the type included in the Borrowing Base or the FILO Borrowing Base) in existence at the time such property is acquired pursuant to a Permitted Acquisition or on such property of a Subsidiary of a Loan Party in existence at the time such Subsidiary is acquired pursuant to a Permitted Acquisition; </w:t>
      </w:r>
      <w:r>
        <w:rPr>
          <w:rFonts w:ascii="Arial" w:cs="Arial" w:eastAsia="Arial" w:hAnsi="Arial"/>
          <w:sz w:val="12"/>
          <w:szCs w:val="12"/>
          <w:u w:val="single" w:color="auto"/>
          <w:color w:val="auto"/>
        </w:rPr>
        <w:t>provided</w:t>
      </w:r>
      <w:r>
        <w:rPr>
          <w:rFonts w:ascii="Arial" w:cs="Arial" w:eastAsia="Arial" w:hAnsi="Arial"/>
          <w:sz w:val="12"/>
          <w:szCs w:val="12"/>
          <w:color w:val="auto"/>
        </w:rPr>
        <w:t>, that such Liens are not incurred in connection with or in anticipation of such Permitted Acquisition and do not attach to any other assets of any Loan Party or any Subsidiary; and</w:t>
      </w:r>
    </w:p>
    <w:p>
      <w:pPr>
        <w:spacing w:after="0" w:line="76" w:lineRule="exact"/>
        <w:rPr>
          <w:rFonts w:ascii="Arial" w:cs="Arial" w:eastAsia="Arial" w:hAnsi="Arial"/>
          <w:sz w:val="12"/>
          <w:szCs w:val="12"/>
          <w:color w:val="auto"/>
        </w:rPr>
      </w:pPr>
    </w:p>
    <w:p>
      <w:pPr>
        <w:jc w:val="both"/>
        <w:ind w:left="1060" w:firstLine="755"/>
        <w:spacing w:after="0" w:line="254" w:lineRule="auto"/>
        <w:tabs>
          <w:tab w:leader="none" w:pos="2392" w:val="left"/>
        </w:tabs>
        <w:numPr>
          <w:ilvl w:val="0"/>
          <w:numId w:val="38"/>
        </w:numPr>
        <w:rPr>
          <w:rFonts w:ascii="Arial" w:cs="Arial" w:eastAsia="Arial" w:hAnsi="Arial"/>
          <w:sz w:val="13"/>
          <w:szCs w:val="13"/>
          <w:color w:val="auto"/>
        </w:rPr>
      </w:pPr>
      <w:r>
        <w:rPr>
          <w:rFonts w:ascii="Arial" w:cs="Arial" w:eastAsia="Arial" w:hAnsi="Arial"/>
          <w:sz w:val="13"/>
          <w:szCs w:val="13"/>
          <w:color w:val="auto"/>
        </w:rPr>
        <w:t>Liens in favor of customs and revenues authorities imposed by applicable Laws arising in the ordinary course of business in connection with the importation of goods and securing obligations (i) that are not overdue by more than thirty (30) days, or (ii)(A) that are being contested in good faith by appropriate proceedings, (B) the applicable Loan Party or Subsidiary has set aside on its books adequate reserves with respect thereto in accordance with GAAP and (C) such contest effectively suspends collection of the contested obligation and enforcement of any Lien securing such obligation.</w:t>
      </w:r>
    </w:p>
    <w:p>
      <w:pPr>
        <w:spacing w:after="0" w:line="271"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46" w:name="page47"/>
    <w:bookmarkEnd w:id="46"/>
    <w:p>
      <w:pPr>
        <w:ind w:left="1080"/>
        <w:spacing w:after="0"/>
        <w:rPr>
          <w:sz w:val="20"/>
          <w:szCs w:val="20"/>
          <w:color w:val="auto"/>
        </w:rPr>
      </w:pPr>
      <w:r>
        <w:rPr>
          <w:rFonts w:ascii="Arial" w:cs="Arial" w:eastAsia="Arial" w:hAnsi="Arial"/>
          <w:sz w:val="13"/>
          <w:szCs w:val="13"/>
          <w:color w:val="auto"/>
        </w:rPr>
        <w:t>“Permitted Indebtedness” means each of the following:</w:t>
      </w:r>
    </w:p>
    <w:p>
      <w:pPr>
        <w:spacing w:after="0" w:line="122" w:lineRule="exact"/>
        <w:rPr>
          <w:sz w:val="20"/>
          <w:szCs w:val="20"/>
          <w:color w:val="auto"/>
        </w:rPr>
      </w:pPr>
    </w:p>
    <w:p>
      <w:pPr>
        <w:ind w:left="2400" w:hanging="585"/>
        <w:spacing w:after="0"/>
        <w:tabs>
          <w:tab w:leader="none" w:pos="24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 xml:space="preserve">Indebtedness outstanding on the Closing Date listed on </w:t>
      </w:r>
      <w:r>
        <w:rPr>
          <w:rFonts w:ascii="Arial" w:cs="Arial" w:eastAsia="Arial" w:hAnsi="Arial"/>
          <w:sz w:val="13"/>
          <w:szCs w:val="13"/>
          <w:u w:val="single" w:color="auto"/>
          <w:color w:val="auto"/>
        </w:rPr>
        <w:t>Schedule 7.03</w:t>
      </w:r>
      <w:r>
        <w:rPr>
          <w:rFonts w:ascii="Arial" w:cs="Arial" w:eastAsia="Arial" w:hAnsi="Arial"/>
          <w:sz w:val="13"/>
          <w:szCs w:val="13"/>
          <w:color w:val="auto"/>
        </w:rPr>
        <w:t xml:space="preserve"> and any Permitted Refinancing thereof;</w:t>
      </w:r>
    </w:p>
    <w:p>
      <w:pPr>
        <w:spacing w:after="0" w:line="129" w:lineRule="exact"/>
        <w:rPr>
          <w:rFonts w:ascii="Arial" w:cs="Arial" w:eastAsia="Arial" w:hAnsi="Arial"/>
          <w:sz w:val="13"/>
          <w:szCs w:val="13"/>
          <w:color w:val="auto"/>
        </w:rPr>
      </w:pPr>
    </w:p>
    <w:p>
      <w:pPr>
        <w:ind w:left="2400" w:hanging="585"/>
        <w:spacing w:after="0"/>
        <w:tabs>
          <w:tab w:leader="none" w:pos="24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Indebtedness of any Loan Party to any other Loan Party;</w:t>
      </w:r>
    </w:p>
    <w:p>
      <w:pPr>
        <w:spacing w:after="0" w:line="120" w:lineRule="exact"/>
        <w:rPr>
          <w:rFonts w:ascii="Arial" w:cs="Arial" w:eastAsia="Arial" w:hAnsi="Arial"/>
          <w:sz w:val="13"/>
          <w:szCs w:val="13"/>
          <w:color w:val="auto"/>
        </w:rPr>
      </w:pPr>
    </w:p>
    <w:p>
      <w:pPr>
        <w:jc w:val="both"/>
        <w:ind w:left="1060" w:firstLine="755"/>
        <w:spacing w:after="0" w:line="252" w:lineRule="auto"/>
        <w:tabs>
          <w:tab w:leader="none" w:pos="2385" w:val="left"/>
        </w:tabs>
        <w:numPr>
          <w:ilvl w:val="0"/>
          <w:numId w:val="39"/>
        </w:numPr>
        <w:rPr>
          <w:rFonts w:ascii="Arial" w:cs="Arial" w:eastAsia="Arial" w:hAnsi="Arial"/>
          <w:sz w:val="13"/>
          <w:szCs w:val="13"/>
          <w:color w:val="auto"/>
        </w:rPr>
      </w:pPr>
      <w:r>
        <w:rPr>
          <w:rFonts w:ascii="Arial" w:cs="Arial" w:eastAsia="Arial" w:hAnsi="Arial"/>
          <w:sz w:val="13"/>
          <w:szCs w:val="13"/>
          <w:color w:val="auto"/>
        </w:rPr>
        <w:t xml:space="preserve">Purchase money Indebtedness of any Loan Party to finance the acquisition of any personal property consisting solely of fixed or capital assets, including Capital Lease Obligations, and any Indebtedness assumed in connection with the acquisition of any such assets or secured by a Lien on any such assets prior to the acquisition thereof, and Permitted Refinancings thereof,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the aggregate principal amount of Indebtedness permitted by this clause (c) shall not exceed $5,000,000 at any time outstanding and further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requested by the Agent, the Loan Parties shall use commercially reasonable efforts to cause the holders of such Indebtedness to enter into a Collateral Access Agreement on terms reasonably satisfactory to the Agent;</w:t>
      </w:r>
    </w:p>
    <w:p>
      <w:pPr>
        <w:spacing w:after="0" w:line="97" w:lineRule="exact"/>
        <w:rPr>
          <w:rFonts w:ascii="Arial" w:cs="Arial" w:eastAsia="Arial" w:hAnsi="Arial"/>
          <w:sz w:val="13"/>
          <w:szCs w:val="13"/>
          <w:color w:val="auto"/>
        </w:rPr>
      </w:pPr>
    </w:p>
    <w:p>
      <w:pPr>
        <w:jc w:val="both"/>
        <w:ind w:left="1060" w:firstLine="755"/>
        <w:spacing w:after="0" w:line="254" w:lineRule="auto"/>
        <w:tabs>
          <w:tab w:leader="none" w:pos="2392" w:val="left"/>
        </w:tabs>
        <w:numPr>
          <w:ilvl w:val="0"/>
          <w:numId w:val="39"/>
        </w:numPr>
        <w:rPr>
          <w:rFonts w:ascii="Arial" w:cs="Arial" w:eastAsia="Arial" w:hAnsi="Arial"/>
          <w:sz w:val="13"/>
          <w:szCs w:val="13"/>
          <w:color w:val="auto"/>
        </w:rPr>
      </w:pPr>
      <w:r>
        <w:rPr>
          <w:rFonts w:ascii="Arial" w:cs="Arial" w:eastAsia="Arial" w:hAnsi="Arial"/>
          <w:sz w:val="13"/>
          <w:szCs w:val="13"/>
          <w:color w:val="auto"/>
        </w:rPr>
        <w:t xml:space="preserve">Indebtedness incurred for the construction or acquisition or improvement of, or to finance or to refinance, any Real Estate owned by any Loan Party (including therein any Indebtedness incurred in connection with sale-leaseback transactions permitted hereunder and any Synthetic Lease Obligations), </w:t>
      </w:r>
      <w:r>
        <w:rPr>
          <w:rFonts w:ascii="Arial" w:cs="Arial" w:eastAsia="Arial" w:hAnsi="Arial"/>
          <w:sz w:val="13"/>
          <w:szCs w:val="13"/>
          <w:u w:val="single" w:color="auto"/>
          <w:color w:val="auto"/>
        </w:rPr>
        <w:t>provided that,</w:t>
      </w:r>
      <w:r>
        <w:rPr>
          <w:rFonts w:ascii="Arial" w:cs="Arial" w:eastAsia="Arial" w:hAnsi="Arial"/>
          <w:sz w:val="13"/>
          <w:szCs w:val="13"/>
          <w:color w:val="auto"/>
        </w:rPr>
        <w:t xml:space="preserve"> the Loan Parties shall use commercially reasonable efforts to cause the holders of such Indebtedness and the lessors under any sale-leaseback transaction to enter into a Collateral Access Agreement on terms reasonably satisfactory to the Agent;</w:t>
      </w:r>
    </w:p>
    <w:p>
      <w:pPr>
        <w:spacing w:after="0" w:line="105" w:lineRule="exact"/>
        <w:rPr>
          <w:rFonts w:ascii="Arial" w:cs="Arial" w:eastAsia="Arial" w:hAnsi="Arial"/>
          <w:sz w:val="13"/>
          <w:szCs w:val="13"/>
          <w:color w:val="auto"/>
        </w:rPr>
      </w:pPr>
    </w:p>
    <w:p>
      <w:pPr>
        <w:ind w:left="2400" w:hanging="585"/>
        <w:spacing w:after="0"/>
        <w:tabs>
          <w:tab w:leader="none" w:pos="2400" w:val="left"/>
        </w:tabs>
        <w:numPr>
          <w:ilvl w:val="0"/>
          <w:numId w:val="39"/>
        </w:numPr>
        <w:rPr>
          <w:rFonts w:ascii="Arial" w:cs="Arial" w:eastAsia="Arial" w:hAnsi="Arial"/>
          <w:sz w:val="12"/>
          <w:szCs w:val="12"/>
          <w:color w:val="auto"/>
        </w:rPr>
      </w:pPr>
      <w:r>
        <w:rPr>
          <w:rFonts w:ascii="Arial" w:cs="Arial" w:eastAsia="Arial" w:hAnsi="Arial"/>
          <w:sz w:val="12"/>
          <w:szCs w:val="12"/>
          <w:color w:val="auto"/>
        </w:rPr>
        <w:t>Contingent liabilities under surety bonds or similar instruments incurred in the ordinary course of business in connection with the construction or improvement of</w:t>
      </w:r>
    </w:p>
    <w:p>
      <w:pPr>
        <w:spacing w:after="0" w:line="25" w:lineRule="exact"/>
        <w:rPr>
          <w:rFonts w:ascii="Arial" w:cs="Arial" w:eastAsia="Arial" w:hAnsi="Arial"/>
          <w:sz w:val="12"/>
          <w:szCs w:val="12"/>
          <w:color w:val="auto"/>
        </w:rPr>
      </w:pPr>
    </w:p>
    <w:p>
      <w:pPr>
        <w:ind w:left="1060"/>
        <w:spacing w:after="0"/>
        <w:rPr>
          <w:rFonts w:ascii="Arial" w:cs="Arial" w:eastAsia="Arial" w:hAnsi="Arial"/>
          <w:sz w:val="12"/>
          <w:szCs w:val="12"/>
          <w:color w:val="auto"/>
        </w:rPr>
      </w:pPr>
      <w:r>
        <w:rPr>
          <w:rFonts w:ascii="Arial" w:cs="Arial" w:eastAsia="Arial" w:hAnsi="Arial"/>
          <w:sz w:val="13"/>
          <w:szCs w:val="13"/>
          <w:color w:val="auto"/>
        </w:rPr>
        <w:t>Stores;</w:t>
      </w:r>
    </w:p>
    <w:p>
      <w:pPr>
        <w:spacing w:after="0" w:line="110" w:lineRule="exact"/>
        <w:rPr>
          <w:rFonts w:ascii="Arial" w:cs="Arial" w:eastAsia="Arial" w:hAnsi="Arial"/>
          <w:sz w:val="12"/>
          <w:szCs w:val="12"/>
          <w:color w:val="auto"/>
        </w:rPr>
      </w:pPr>
    </w:p>
    <w:p>
      <w:pPr>
        <w:jc w:val="both"/>
        <w:ind w:left="1060" w:firstLine="755"/>
        <w:spacing w:after="0" w:line="254" w:lineRule="auto"/>
        <w:tabs>
          <w:tab w:leader="none" w:pos="2370" w:val="left"/>
        </w:tabs>
        <w:numPr>
          <w:ilvl w:val="0"/>
          <w:numId w:val="39"/>
        </w:numPr>
        <w:rPr>
          <w:rFonts w:ascii="Arial" w:cs="Arial" w:eastAsia="Arial" w:hAnsi="Arial"/>
          <w:sz w:val="13"/>
          <w:szCs w:val="13"/>
          <w:color w:val="auto"/>
        </w:rPr>
      </w:pPr>
      <w:r>
        <w:rPr>
          <w:rFonts w:ascii="Arial" w:cs="Arial" w:eastAsia="Arial" w:hAnsi="Arial"/>
          <w:sz w:val="13"/>
          <w:szCs w:val="13"/>
          <w:color w:val="auto"/>
        </w:rPr>
        <w:t xml:space="preserve">obligations (contingent or otherwise) of any Loan Party or any Subsidiary thereof existing or arising under any Swap Contract,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 such obligations are (or were) entered into by such Person in the ordinary course of business for the purpose of directly mitigating risks associated with fluctuations in interest rates or foreign exchange rates, and not for purposes of speculation or taking a “market view” and (ii) such Swap Contract does not contain any provision exonerating the non-defaulting party from its obligation to make payments on outstanding transactions to the defaulting party;</w:t>
      </w:r>
    </w:p>
    <w:p>
      <w:pPr>
        <w:spacing w:after="0" w:line="96" w:lineRule="exact"/>
        <w:rPr>
          <w:rFonts w:ascii="Arial" w:cs="Arial" w:eastAsia="Arial" w:hAnsi="Arial"/>
          <w:sz w:val="13"/>
          <w:szCs w:val="13"/>
          <w:color w:val="auto"/>
        </w:rPr>
      </w:pPr>
    </w:p>
    <w:p>
      <w:pPr>
        <w:jc w:val="both"/>
        <w:ind w:left="1060" w:firstLine="755"/>
        <w:spacing w:after="0" w:line="258" w:lineRule="auto"/>
        <w:tabs>
          <w:tab w:leader="none" w:pos="2392" w:val="left"/>
        </w:tabs>
        <w:numPr>
          <w:ilvl w:val="0"/>
          <w:numId w:val="39"/>
        </w:numPr>
        <w:rPr>
          <w:rFonts w:ascii="Arial" w:cs="Arial" w:eastAsia="Arial" w:hAnsi="Arial"/>
          <w:sz w:val="13"/>
          <w:szCs w:val="13"/>
          <w:color w:val="auto"/>
        </w:rPr>
      </w:pPr>
      <w:r>
        <w:rPr>
          <w:rFonts w:ascii="Arial" w:cs="Arial" w:eastAsia="Arial" w:hAnsi="Arial"/>
          <w:sz w:val="13"/>
          <w:szCs w:val="13"/>
          <w:color w:val="auto"/>
        </w:rPr>
        <w:t xml:space="preserve">Indebtedness with respect to the deferred purchase price for any Permitted Acquisition, </w:t>
      </w:r>
      <w:r>
        <w:rPr>
          <w:rFonts w:ascii="Arial" w:cs="Arial" w:eastAsia="Arial" w:hAnsi="Arial"/>
          <w:sz w:val="13"/>
          <w:szCs w:val="13"/>
          <w:u w:val="single" w:color="auto"/>
          <w:color w:val="auto"/>
        </w:rPr>
        <w:t>provided that</w:t>
      </w:r>
      <w:r>
        <w:rPr>
          <w:rFonts w:ascii="Arial" w:cs="Arial" w:eastAsia="Arial" w:hAnsi="Arial"/>
          <w:sz w:val="13"/>
          <w:szCs w:val="13"/>
          <w:color w:val="auto"/>
        </w:rPr>
        <w:t xml:space="preserve"> such Indebtedness does not require the payment in cash of principal (other than in respect of working capital adjustments) prior to the Maturity Date, has a final maturity which extends beyond the Maturity Date, and is subordinated to the Obligations on terms reasonably acceptable to the Agent;</w:t>
      </w:r>
    </w:p>
    <w:p>
      <w:pPr>
        <w:spacing w:after="0" w:line="103" w:lineRule="exact"/>
        <w:rPr>
          <w:rFonts w:ascii="Arial" w:cs="Arial" w:eastAsia="Arial" w:hAnsi="Arial"/>
          <w:sz w:val="13"/>
          <w:szCs w:val="13"/>
          <w:color w:val="auto"/>
        </w:rPr>
      </w:pPr>
    </w:p>
    <w:p>
      <w:pPr>
        <w:ind w:left="1060" w:firstLine="755"/>
        <w:spacing w:after="0" w:line="271" w:lineRule="auto"/>
        <w:tabs>
          <w:tab w:leader="none" w:pos="2392"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Indebtedness of any Person that becomes a Subsidiary of a Loan Party in a Permitted Acquisition, which Indebtedness is existing at the time such Person becomes a Subsidiary of a Loan Party (other than Indebtedness incurred solely in contemplation of such Person’s becoming a Subsidiary of a Loan Party);</w:t>
      </w:r>
    </w:p>
    <w:p>
      <w:pPr>
        <w:spacing w:after="0" w:line="85" w:lineRule="exact"/>
        <w:rPr>
          <w:rFonts w:ascii="Arial" w:cs="Arial" w:eastAsia="Arial" w:hAnsi="Arial"/>
          <w:sz w:val="13"/>
          <w:szCs w:val="13"/>
          <w:color w:val="auto"/>
        </w:rPr>
      </w:pPr>
    </w:p>
    <w:p>
      <w:pPr>
        <w:ind w:left="2380" w:hanging="565"/>
        <w:spacing w:after="0"/>
        <w:tabs>
          <w:tab w:leader="none" w:pos="23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Obligations; and</w:t>
      </w:r>
    </w:p>
    <w:p>
      <w:pPr>
        <w:spacing w:after="0" w:line="120" w:lineRule="exact"/>
        <w:rPr>
          <w:rFonts w:ascii="Arial" w:cs="Arial" w:eastAsia="Arial" w:hAnsi="Arial"/>
          <w:sz w:val="13"/>
          <w:szCs w:val="13"/>
          <w:color w:val="auto"/>
        </w:rPr>
      </w:pPr>
    </w:p>
    <w:p>
      <w:pPr>
        <w:ind w:left="2380" w:hanging="565"/>
        <w:spacing w:after="0"/>
        <w:tabs>
          <w:tab w:leader="none" w:pos="23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Indebtedness not otherwise specifically described herein in an aggregate principal amount not to exceed $5,000,000 at any time outstanding.</w:t>
      </w:r>
    </w:p>
    <w:p>
      <w:pPr>
        <w:spacing w:after="0" w:line="295"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47" w:name="page48"/>
    <w:bookmarkEnd w:id="47"/>
    <w:p>
      <w:pPr>
        <w:ind w:left="1060"/>
        <w:spacing w:after="0"/>
        <w:rPr>
          <w:sz w:val="20"/>
          <w:szCs w:val="20"/>
          <w:color w:val="auto"/>
        </w:rPr>
      </w:pPr>
      <w:r>
        <w:rPr>
          <w:rFonts w:ascii="Arial" w:cs="Arial" w:eastAsia="Arial" w:hAnsi="Arial"/>
          <w:sz w:val="13"/>
          <w:szCs w:val="13"/>
          <w:color w:val="auto"/>
        </w:rPr>
        <w:t>“Permitted Investments” means each of the following:</w:t>
      </w:r>
    </w:p>
    <w:p>
      <w:pPr>
        <w:spacing w:after="0" w:line="122" w:lineRule="exact"/>
        <w:rPr>
          <w:sz w:val="20"/>
          <w:szCs w:val="20"/>
          <w:color w:val="auto"/>
        </w:rPr>
      </w:pPr>
    </w:p>
    <w:p>
      <w:pPr>
        <w:ind w:left="1060" w:firstLine="755"/>
        <w:spacing w:after="0" w:line="314" w:lineRule="auto"/>
        <w:tabs>
          <w:tab w:leader="none" w:pos="2385" w:val="left"/>
        </w:tabs>
        <w:numPr>
          <w:ilvl w:val="1"/>
          <w:numId w:val="40"/>
        </w:numPr>
        <w:rPr>
          <w:rFonts w:ascii="Arial" w:cs="Arial" w:eastAsia="Arial" w:hAnsi="Arial"/>
          <w:sz w:val="12"/>
          <w:szCs w:val="12"/>
          <w:color w:val="auto"/>
        </w:rPr>
      </w:pPr>
      <w:r>
        <w:rPr>
          <w:rFonts w:ascii="Arial" w:cs="Arial" w:eastAsia="Arial" w:hAnsi="Arial"/>
          <w:sz w:val="12"/>
          <w:szCs w:val="12"/>
          <w:color w:val="auto"/>
        </w:rPr>
        <w:t xml:space="preserve">readily marketable obligations issued or directly and fully guaranteed or insured by the United States of America or any agency or instrumentality thereof having maturities of not more than 360 days from the date of acquisition thereof;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full faith and credit of the United States of America is pledged in support thereof;</w:t>
      </w:r>
    </w:p>
    <w:p>
      <w:pPr>
        <w:spacing w:after="0" w:line="71" w:lineRule="exact"/>
        <w:rPr>
          <w:rFonts w:ascii="Arial" w:cs="Arial" w:eastAsia="Arial" w:hAnsi="Arial"/>
          <w:sz w:val="12"/>
          <w:szCs w:val="12"/>
          <w:color w:val="auto"/>
        </w:rPr>
      </w:pPr>
    </w:p>
    <w:p>
      <w:pPr>
        <w:ind w:left="1060" w:firstLine="755"/>
        <w:spacing w:after="0" w:line="271" w:lineRule="auto"/>
        <w:tabs>
          <w:tab w:leader="none" w:pos="2392" w:val="left"/>
        </w:tabs>
        <w:numPr>
          <w:ilvl w:val="1"/>
          <w:numId w:val="40"/>
        </w:numPr>
        <w:rPr>
          <w:rFonts w:ascii="Arial" w:cs="Arial" w:eastAsia="Arial" w:hAnsi="Arial"/>
          <w:sz w:val="13"/>
          <w:szCs w:val="13"/>
          <w:color w:val="auto"/>
        </w:rPr>
      </w:pPr>
      <w:r>
        <w:rPr>
          <w:rFonts w:ascii="Arial" w:cs="Arial" w:eastAsia="Arial" w:hAnsi="Arial"/>
          <w:sz w:val="13"/>
          <w:szCs w:val="13"/>
          <w:color w:val="auto"/>
        </w:rPr>
        <w:t>commercial paper issued by any Person organized under the laws of any state of the United States of America and rated at least “Prime-1” (or the then equivalent grade) by Moody’s or at least “A-1” (or the then equivalent grade) by S&amp;P, in each case with maturities of not more than 180 days from the date of acquisition thereof;</w:t>
      </w:r>
    </w:p>
    <w:p>
      <w:pPr>
        <w:spacing w:after="0" w:line="85" w:lineRule="exact"/>
        <w:rPr>
          <w:rFonts w:ascii="Arial" w:cs="Arial" w:eastAsia="Arial" w:hAnsi="Arial"/>
          <w:sz w:val="13"/>
          <w:szCs w:val="13"/>
          <w:color w:val="auto"/>
        </w:rPr>
      </w:pPr>
    </w:p>
    <w:p>
      <w:pPr>
        <w:jc w:val="both"/>
        <w:ind w:left="1060" w:firstLine="755"/>
        <w:spacing w:after="0" w:line="296" w:lineRule="auto"/>
        <w:tabs>
          <w:tab w:leader="none" w:pos="2385" w:val="left"/>
        </w:tabs>
        <w:numPr>
          <w:ilvl w:val="1"/>
          <w:numId w:val="40"/>
        </w:numPr>
        <w:rPr>
          <w:rFonts w:ascii="Arial" w:cs="Arial" w:eastAsia="Arial" w:hAnsi="Arial"/>
          <w:sz w:val="11"/>
          <w:szCs w:val="11"/>
          <w:color w:val="auto"/>
        </w:rPr>
      </w:pPr>
      <w:r>
        <w:rPr>
          <w:rFonts w:ascii="Arial" w:cs="Arial" w:eastAsia="Arial" w:hAnsi="Arial"/>
          <w:sz w:val="11"/>
          <w:szCs w:val="11"/>
          <w:color w:val="auto"/>
        </w:rPr>
        <w:t>time deposits with, or insured certificates of deposit or bankers’ acceptances of, any commercial bank that (i) (A) is a Lender or (B) is organized under the laws of the United States of America, any state thereof or the District of Columbia or is the principal banking subsidiary of a bank holding company organized under the laws of the United States of America, any state thereof or the District of Columbia, and is a member of the Federal Reserve System, (ii) issues (or the parent of which issues) commercial paper rated as described in clause</w:t>
      </w:r>
    </w:p>
    <w:p>
      <w:pPr>
        <w:spacing w:after="0" w:line="1" w:lineRule="exact"/>
        <w:rPr>
          <w:rFonts w:ascii="Arial" w:cs="Arial" w:eastAsia="Arial" w:hAnsi="Arial"/>
          <w:sz w:val="11"/>
          <w:szCs w:val="11"/>
          <w:color w:val="auto"/>
        </w:rPr>
      </w:pPr>
    </w:p>
    <w:p>
      <w:pPr>
        <w:ind w:left="1260" w:hanging="191"/>
        <w:spacing w:after="0"/>
        <w:tabs>
          <w:tab w:leader="none" w:pos="1260" w:val="left"/>
        </w:tabs>
        <w:numPr>
          <w:ilvl w:val="0"/>
          <w:numId w:val="41"/>
        </w:numPr>
        <w:rPr>
          <w:rFonts w:ascii="Arial" w:cs="Arial" w:eastAsia="Arial" w:hAnsi="Arial"/>
          <w:sz w:val="12"/>
          <w:szCs w:val="12"/>
          <w:color w:val="auto"/>
        </w:rPr>
      </w:pPr>
      <w:r>
        <w:rPr>
          <w:rFonts w:ascii="Arial" w:cs="Arial" w:eastAsia="Arial" w:hAnsi="Arial"/>
          <w:sz w:val="12"/>
          <w:szCs w:val="12"/>
          <w:color w:val="auto"/>
        </w:rPr>
        <w:t>of this definition and (iii) has combined capital and surplus of at least $1,000,000,000, in each case with maturities of not more than 180 days from the date of acquisition thereof;</w:t>
      </w:r>
    </w:p>
    <w:p>
      <w:pPr>
        <w:spacing w:after="0" w:line="122" w:lineRule="exact"/>
        <w:rPr>
          <w:rFonts w:ascii="Arial" w:cs="Arial" w:eastAsia="Arial" w:hAnsi="Arial"/>
          <w:sz w:val="12"/>
          <w:szCs w:val="12"/>
          <w:color w:val="auto"/>
        </w:rPr>
      </w:pPr>
    </w:p>
    <w:p>
      <w:pPr>
        <w:jc w:val="both"/>
        <w:ind w:left="1060" w:firstLine="755"/>
        <w:spacing w:after="0" w:line="254" w:lineRule="auto"/>
        <w:tabs>
          <w:tab w:leader="none" w:pos="2392" w:val="left"/>
        </w:tabs>
        <w:numPr>
          <w:ilvl w:val="1"/>
          <w:numId w:val="41"/>
        </w:numPr>
        <w:rPr>
          <w:rFonts w:ascii="Arial" w:cs="Arial" w:eastAsia="Arial" w:hAnsi="Arial"/>
          <w:sz w:val="13"/>
          <w:szCs w:val="13"/>
          <w:color w:val="auto"/>
        </w:rPr>
      </w:pPr>
      <w:r>
        <w:rPr>
          <w:rFonts w:ascii="Arial" w:cs="Arial" w:eastAsia="Arial" w:hAnsi="Arial"/>
          <w:sz w:val="13"/>
          <w:szCs w:val="13"/>
          <w:color w:val="auto"/>
        </w:rPr>
        <w:t>Fully collateralized repurchase agreements with a term of not more than thirty (30) days for securities described in clause (a) above (without regard to the limitation on maturity contained in such clause) and entered into with a financial institution satisfying the criteria described in clause (c) above or with any primary dealer and having a market value at the time that such repurchase agreement is entered into of not less than 100% of the repurchase obligation of such counterparty entity with whom such repurchase agreement has been entered into;</w:t>
      </w:r>
    </w:p>
    <w:p>
      <w:pPr>
        <w:spacing w:after="0" w:line="105" w:lineRule="exact"/>
        <w:rPr>
          <w:rFonts w:ascii="Arial" w:cs="Arial" w:eastAsia="Arial" w:hAnsi="Arial"/>
          <w:sz w:val="13"/>
          <w:szCs w:val="13"/>
          <w:color w:val="auto"/>
        </w:rPr>
      </w:pPr>
    </w:p>
    <w:p>
      <w:pPr>
        <w:jc w:val="both"/>
        <w:ind w:left="1060" w:firstLine="755"/>
        <w:spacing w:after="0" w:line="258" w:lineRule="auto"/>
        <w:tabs>
          <w:tab w:leader="none" w:pos="2385" w:val="left"/>
        </w:tabs>
        <w:numPr>
          <w:ilvl w:val="1"/>
          <w:numId w:val="41"/>
        </w:numPr>
        <w:rPr>
          <w:rFonts w:ascii="Arial" w:cs="Arial" w:eastAsia="Arial" w:hAnsi="Arial"/>
          <w:sz w:val="13"/>
          <w:szCs w:val="13"/>
          <w:color w:val="auto"/>
        </w:rPr>
      </w:pPr>
      <w:r>
        <w:rPr>
          <w:rFonts w:ascii="Arial" w:cs="Arial" w:eastAsia="Arial" w:hAnsi="Arial"/>
          <w:sz w:val="13"/>
          <w:szCs w:val="13"/>
          <w:color w:val="auto"/>
        </w:rPr>
        <w:t>Investments, classified in accordance with GAAP as current assets of the Loan Parties, in any money market fund, mutual fund, or other investment companies that are registered under the Investment Company Act of 1940, as amended, which are administered by financial institutions that have the highest rating obtainable from either Moody’s or S&amp;P, and which invest solely in one or more of the types of securities described in clauses (a) through (d) above;</w:t>
      </w:r>
    </w:p>
    <w:p>
      <w:pPr>
        <w:spacing w:after="0" w:line="94" w:lineRule="exact"/>
        <w:rPr>
          <w:rFonts w:ascii="Arial" w:cs="Arial" w:eastAsia="Arial" w:hAnsi="Arial"/>
          <w:sz w:val="13"/>
          <w:szCs w:val="13"/>
          <w:color w:val="auto"/>
        </w:rPr>
      </w:pPr>
    </w:p>
    <w:p>
      <w:pPr>
        <w:ind w:left="2380" w:hanging="565"/>
        <w:spacing w:after="0"/>
        <w:tabs>
          <w:tab w:leader="none" w:pos="2380" w:val="left"/>
        </w:tabs>
        <w:numPr>
          <w:ilvl w:val="1"/>
          <w:numId w:val="41"/>
        </w:numPr>
        <w:rPr>
          <w:rFonts w:ascii="Arial" w:cs="Arial" w:eastAsia="Arial" w:hAnsi="Arial"/>
          <w:sz w:val="12"/>
          <w:szCs w:val="12"/>
          <w:color w:val="auto"/>
        </w:rPr>
      </w:pPr>
      <w:r>
        <w:rPr>
          <w:rFonts w:ascii="Arial" w:cs="Arial" w:eastAsia="Arial" w:hAnsi="Arial"/>
          <w:sz w:val="12"/>
          <w:szCs w:val="12"/>
          <w:color w:val="auto"/>
        </w:rPr>
        <w:t xml:space="preserve">Investments existing on the Closing Date set forth on </w:t>
      </w:r>
      <w:r>
        <w:rPr>
          <w:rFonts w:ascii="Arial" w:cs="Arial" w:eastAsia="Arial" w:hAnsi="Arial"/>
          <w:sz w:val="12"/>
          <w:szCs w:val="12"/>
          <w:u w:val="single" w:color="auto"/>
          <w:color w:val="auto"/>
        </w:rPr>
        <w:t>Schedule 7.02</w:t>
      </w:r>
      <w:r>
        <w:rPr>
          <w:rFonts w:ascii="Arial" w:cs="Arial" w:eastAsia="Arial" w:hAnsi="Arial"/>
          <w:sz w:val="12"/>
          <w:szCs w:val="12"/>
          <w:color w:val="auto"/>
        </w:rPr>
        <w:t>, but not any increase in the amount thereof or any other modification of the terms thereof;</w:t>
      </w:r>
    </w:p>
    <w:p>
      <w:pPr>
        <w:spacing w:after="0" w:line="132" w:lineRule="exact"/>
        <w:rPr>
          <w:rFonts w:ascii="Arial" w:cs="Arial" w:eastAsia="Arial" w:hAnsi="Arial"/>
          <w:sz w:val="12"/>
          <w:szCs w:val="12"/>
          <w:color w:val="auto"/>
        </w:rPr>
      </w:pPr>
    </w:p>
    <w:p>
      <w:pPr>
        <w:jc w:val="both"/>
        <w:ind w:left="1060" w:firstLine="755"/>
        <w:spacing w:after="0" w:line="275" w:lineRule="auto"/>
        <w:tabs>
          <w:tab w:leader="none" w:pos="2392" w:val="left"/>
        </w:tabs>
        <w:numPr>
          <w:ilvl w:val="1"/>
          <w:numId w:val="41"/>
        </w:numPr>
        <w:rPr>
          <w:rFonts w:ascii="Arial" w:cs="Arial" w:eastAsia="Arial" w:hAnsi="Arial"/>
          <w:sz w:val="12"/>
          <w:szCs w:val="12"/>
          <w:color w:val="auto"/>
        </w:rPr>
      </w:pPr>
      <w:r>
        <w:rPr>
          <w:rFonts w:ascii="Arial" w:cs="Arial" w:eastAsia="Arial" w:hAnsi="Arial"/>
          <w:sz w:val="12"/>
          <w:szCs w:val="12"/>
          <w:color w:val="auto"/>
        </w:rPr>
        <w:t xml:space="preserve">(i) Investments by any Loan Party and its Subsidiaries in their respective Subsidiaries outstanding on the Closing Date, (ii) additional Investments by any Loan Party and its Subsidiaries in Loan Parties, (iii) additional Investments by Subsidiaries of the Loan Parties that are not Loan Parties in other Subsidiaries that are not Loan Parties and (iv) so long as no Default or Event of Default has occurred and is continuing or would result from such Investment, additional Investments by the Loan Parties in wholly-owned Subsidiaries that are not Loan Parties;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 such Investments may only be made following the Closing Date to the extent that such Investments, together with the principal amount of any other intercompany loans permitted under this Agreement, shall not exceed $10,000,000 in the aggregate from and after the Closing Date, and (B) in the event that the aggregate amount of such Investments, together with the principal amount of any other intercompany loans permitted under this Agreement, exceeds $5,000,000, the Payment Conditions shall have been satisfied;</w:t>
      </w:r>
    </w:p>
    <w:p>
      <w:pPr>
        <w:spacing w:after="0" w:line="261"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48" w:name="page49"/>
    <w:bookmarkEnd w:id="48"/>
    <w:p>
      <w:pPr>
        <w:ind w:left="1060" w:firstLine="755"/>
        <w:spacing w:after="0" w:line="314" w:lineRule="auto"/>
        <w:tabs>
          <w:tab w:leader="none" w:pos="2392" w:val="left"/>
        </w:tabs>
        <w:numPr>
          <w:ilvl w:val="0"/>
          <w:numId w:val="42"/>
        </w:numPr>
        <w:rPr>
          <w:rFonts w:ascii="Arial" w:cs="Arial" w:eastAsia="Arial" w:hAnsi="Arial"/>
          <w:sz w:val="12"/>
          <w:szCs w:val="12"/>
          <w:color w:val="auto"/>
        </w:rPr>
      </w:pPr>
      <w:r>
        <w:rPr>
          <w:rFonts w:ascii="Arial" w:cs="Arial" w:eastAsia="Arial" w:hAnsi="Arial"/>
          <w:sz w:val="12"/>
          <w:szCs w:val="12"/>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71" w:lineRule="exact"/>
        <w:rPr>
          <w:rFonts w:ascii="Arial" w:cs="Arial" w:eastAsia="Arial" w:hAnsi="Arial"/>
          <w:sz w:val="12"/>
          <w:szCs w:val="12"/>
          <w:color w:val="auto"/>
        </w:rPr>
      </w:pPr>
    </w:p>
    <w:p>
      <w:pPr>
        <w:ind w:left="2380" w:hanging="565"/>
        <w:spacing w:after="0"/>
        <w:tabs>
          <w:tab w:leader="none" w:pos="23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Guarantees constituting Permitted Indebtedness;</w:t>
      </w:r>
    </w:p>
    <w:p>
      <w:pPr>
        <w:spacing w:after="0" w:line="120" w:lineRule="exact"/>
        <w:rPr>
          <w:rFonts w:ascii="Arial" w:cs="Arial" w:eastAsia="Arial" w:hAnsi="Arial"/>
          <w:sz w:val="13"/>
          <w:szCs w:val="13"/>
          <w:color w:val="auto"/>
        </w:rPr>
      </w:pPr>
    </w:p>
    <w:p>
      <w:pPr>
        <w:ind w:left="2380" w:hanging="565"/>
        <w:spacing w:after="0"/>
        <w:tabs>
          <w:tab w:leader="none" w:pos="23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so long as no Default or Event of Default has occurred and is continuing or would result from such Investment, Investments by any Loan Party in Swap Contracts</w:t>
      </w:r>
    </w:p>
    <w:p>
      <w:pPr>
        <w:spacing w:after="0" w:line="25" w:lineRule="exact"/>
        <w:rPr>
          <w:rFonts w:ascii="Arial" w:cs="Arial" w:eastAsia="Arial" w:hAnsi="Arial"/>
          <w:sz w:val="12"/>
          <w:szCs w:val="12"/>
          <w:color w:val="auto"/>
        </w:rPr>
      </w:pPr>
    </w:p>
    <w:p>
      <w:pPr>
        <w:ind w:left="1060"/>
        <w:spacing w:after="0"/>
        <w:rPr>
          <w:rFonts w:ascii="Arial" w:cs="Arial" w:eastAsia="Arial" w:hAnsi="Arial"/>
          <w:sz w:val="12"/>
          <w:szCs w:val="12"/>
          <w:color w:val="auto"/>
        </w:rPr>
      </w:pPr>
      <w:r>
        <w:rPr>
          <w:rFonts w:ascii="Arial" w:cs="Arial" w:eastAsia="Arial" w:hAnsi="Arial"/>
          <w:sz w:val="13"/>
          <w:szCs w:val="13"/>
          <w:color w:val="auto"/>
        </w:rPr>
        <w:t>permitted hereunder;</w:t>
      </w:r>
    </w:p>
    <w:p>
      <w:pPr>
        <w:spacing w:after="0" w:line="110" w:lineRule="exact"/>
        <w:rPr>
          <w:rFonts w:ascii="Arial" w:cs="Arial" w:eastAsia="Arial" w:hAnsi="Arial"/>
          <w:sz w:val="12"/>
          <w:szCs w:val="12"/>
          <w:color w:val="auto"/>
        </w:rPr>
      </w:pPr>
    </w:p>
    <w:p>
      <w:pPr>
        <w:ind w:left="1060" w:firstLine="755"/>
        <w:spacing w:after="0" w:line="271" w:lineRule="auto"/>
        <w:tabs>
          <w:tab w:leader="none" w:pos="2392" w:val="left"/>
        </w:tabs>
        <w:numPr>
          <w:ilvl w:val="0"/>
          <w:numId w:val="42"/>
        </w:numPr>
        <w:rPr>
          <w:rFonts w:ascii="Arial" w:cs="Arial" w:eastAsia="Arial" w:hAnsi="Arial"/>
          <w:sz w:val="13"/>
          <w:szCs w:val="13"/>
          <w:color w:val="auto"/>
        </w:rPr>
      </w:pPr>
      <w:r>
        <w:rPr>
          <w:rFonts w:ascii="Arial" w:cs="Arial" w:eastAsia="Arial" w:hAnsi="Arial"/>
          <w:sz w:val="13"/>
          <w:szCs w:val="13"/>
          <w:color w:val="auto"/>
        </w:rPr>
        <w:t>Investments received in connection with the bankruptcy or reorganization of, or settlement of delinquent accounts and disputes with, customers and suppliers, in each case in the ordinary course of business;</w:t>
      </w:r>
    </w:p>
    <w:p>
      <w:pPr>
        <w:spacing w:after="0" w:line="94" w:lineRule="exact"/>
        <w:rPr>
          <w:rFonts w:ascii="Arial" w:cs="Arial" w:eastAsia="Arial" w:hAnsi="Arial"/>
          <w:sz w:val="13"/>
          <w:szCs w:val="13"/>
          <w:color w:val="auto"/>
        </w:rPr>
      </w:pPr>
    </w:p>
    <w:p>
      <w:pPr>
        <w:jc w:val="both"/>
        <w:ind w:left="1060" w:firstLine="755"/>
        <w:spacing w:after="0" w:line="290" w:lineRule="auto"/>
        <w:tabs>
          <w:tab w:leader="none" w:pos="2363" w:val="left"/>
        </w:tabs>
        <w:numPr>
          <w:ilvl w:val="0"/>
          <w:numId w:val="42"/>
        </w:numPr>
        <w:rPr>
          <w:rFonts w:ascii="Arial" w:cs="Arial" w:eastAsia="Arial" w:hAnsi="Arial"/>
          <w:sz w:val="12"/>
          <w:szCs w:val="12"/>
          <w:color w:val="auto"/>
        </w:rPr>
      </w:pPr>
      <w:r>
        <w:rPr>
          <w:rFonts w:ascii="Arial" w:cs="Arial" w:eastAsia="Arial" w:hAnsi="Arial"/>
          <w:sz w:val="12"/>
          <w:szCs w:val="12"/>
          <w:color w:val="auto"/>
        </w:rPr>
        <w:t xml:space="preserve">advances to officers, directors and employees of the Loan Parties and Subsidiaries in the ordinary course of business in an aggregate amount not to exceed $400,000 at any time outstanding;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each such advance is for a term of not more than 90 days from the date on which it is made and is paid within such 90-day period;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all amounts due on account of advances permitted under this clause (l) shall constitute Collateral and shall be pledged to the Agent for the benefit of the Revolving Lenders;</w:t>
      </w:r>
    </w:p>
    <w:p>
      <w:pPr>
        <w:spacing w:after="0" w:line="76" w:lineRule="exact"/>
        <w:rPr>
          <w:rFonts w:ascii="Arial" w:cs="Arial" w:eastAsia="Arial" w:hAnsi="Arial"/>
          <w:sz w:val="12"/>
          <w:szCs w:val="12"/>
          <w:color w:val="auto"/>
        </w:rPr>
      </w:pPr>
    </w:p>
    <w:p>
      <w:pPr>
        <w:ind w:left="2440" w:hanging="625"/>
        <w:spacing w:after="0"/>
        <w:tabs>
          <w:tab w:leader="none" w:pos="24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Investments constituting Permitted Acquisitions; and</w:t>
      </w:r>
    </w:p>
    <w:p>
      <w:pPr>
        <w:spacing w:after="0" w:line="120" w:lineRule="exact"/>
        <w:rPr>
          <w:rFonts w:ascii="Arial" w:cs="Arial" w:eastAsia="Arial" w:hAnsi="Arial"/>
          <w:sz w:val="13"/>
          <w:szCs w:val="13"/>
          <w:color w:val="auto"/>
        </w:rPr>
      </w:pPr>
    </w:p>
    <w:p>
      <w:pPr>
        <w:ind w:left="2400" w:hanging="585"/>
        <w:spacing w:after="0"/>
        <w:tabs>
          <w:tab w:leader="none" w:pos="2400" w:val="left"/>
        </w:tabs>
        <w:numPr>
          <w:ilvl w:val="0"/>
          <w:numId w:val="42"/>
        </w:numPr>
        <w:rPr>
          <w:rFonts w:ascii="Arial" w:cs="Arial" w:eastAsia="Arial" w:hAnsi="Arial"/>
          <w:sz w:val="12"/>
          <w:szCs w:val="12"/>
          <w:color w:val="auto"/>
        </w:rPr>
      </w:pPr>
      <w:r>
        <w:rPr>
          <w:rFonts w:ascii="Arial" w:cs="Arial" w:eastAsia="Arial" w:hAnsi="Arial"/>
          <w:sz w:val="12"/>
          <w:szCs w:val="12"/>
          <w:color w:val="auto"/>
        </w:rPr>
        <w:t>Other Investments not otherwise specifically described herein if the Payment Conditions are satisfied when such Investments are made and immediately after giving</w:t>
      </w:r>
    </w:p>
    <w:p>
      <w:pPr>
        <w:spacing w:after="0" w:line="25" w:lineRule="exact"/>
        <w:rPr>
          <w:rFonts w:ascii="Arial" w:cs="Arial" w:eastAsia="Arial" w:hAnsi="Arial"/>
          <w:sz w:val="12"/>
          <w:szCs w:val="12"/>
          <w:color w:val="auto"/>
        </w:rPr>
      </w:pPr>
    </w:p>
    <w:p>
      <w:pPr>
        <w:ind w:left="1060"/>
        <w:spacing w:after="0"/>
        <w:rPr>
          <w:rFonts w:ascii="Arial" w:cs="Arial" w:eastAsia="Arial" w:hAnsi="Arial"/>
          <w:sz w:val="12"/>
          <w:szCs w:val="12"/>
          <w:color w:val="auto"/>
        </w:rPr>
      </w:pPr>
      <w:r>
        <w:rPr>
          <w:rFonts w:ascii="Arial" w:cs="Arial" w:eastAsia="Arial" w:hAnsi="Arial"/>
          <w:sz w:val="13"/>
          <w:szCs w:val="13"/>
          <w:color w:val="auto"/>
        </w:rPr>
        <w:t>effect thereto.</w:t>
      </w:r>
    </w:p>
    <w:p>
      <w:pPr>
        <w:spacing w:after="0" w:line="138" w:lineRule="exact"/>
        <w:rPr>
          <w:sz w:val="20"/>
          <w:szCs w:val="20"/>
          <w:color w:val="auto"/>
        </w:rPr>
      </w:pPr>
    </w:p>
    <w:p>
      <w:pPr>
        <w:jc w:val="both"/>
        <w:ind w:left="220"/>
        <w:spacing w:after="0" w:line="254" w:lineRule="auto"/>
        <w:rPr>
          <w:sz w:val="20"/>
          <w:szCs w:val="20"/>
          <w:color w:val="auto"/>
        </w:rPr>
      </w:pP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notwithstanding the foregoing, (i) after the occurrence and during the continuance of a Cash Dominion Event, no such Investments specified in clauses (a) through (e) and clause (n) shall be permitted unless either (A) no Loans or, if then required to be Cash Collateralized, Letters of Credit are then outstanding, or (B) the Investment is a temporary Investment pending expiration of an Interest Period for a LIBOR Rate Loan, the proceeds of which Investment will be applied to the Obligations after the expiration of such Interest Period, and (ii) such Investments shall be pledged to the Agent as additional collateral for the Obligations pursuant to such agreements as may be reasonably required by the Agent.</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“Permitted Overadvance” means an Overadvance made by the Agent, in its discretion, which:</w:t>
      </w:r>
    </w:p>
    <w:p>
      <w:pPr>
        <w:spacing w:after="0" w:line="130" w:lineRule="exact"/>
        <w:rPr>
          <w:sz w:val="20"/>
          <w:szCs w:val="20"/>
          <w:color w:val="auto"/>
        </w:rPr>
      </w:pPr>
    </w:p>
    <w:p>
      <w:pPr>
        <w:ind w:left="2400" w:hanging="585"/>
        <w:spacing w:after="0"/>
        <w:tabs>
          <w:tab w:leader="none" w:pos="2400" w:val="left"/>
        </w:tabs>
        <w:numPr>
          <w:ilvl w:val="0"/>
          <w:numId w:val="43"/>
        </w:numPr>
        <w:rPr>
          <w:rFonts w:ascii="Arial" w:cs="Arial" w:eastAsia="Arial" w:hAnsi="Arial"/>
          <w:sz w:val="12"/>
          <w:szCs w:val="12"/>
          <w:color w:val="auto"/>
        </w:rPr>
      </w:pPr>
      <w:r>
        <w:rPr>
          <w:rFonts w:ascii="Arial" w:cs="Arial" w:eastAsia="Arial" w:hAnsi="Arial"/>
          <w:sz w:val="12"/>
          <w:szCs w:val="12"/>
          <w:color w:val="auto"/>
        </w:rPr>
        <w:t>Is made to maintain, protect or preserve the Collateral and/or the Credit Parties’ rights under the Loan Documents or which is otherwise for the benefit of the Credit</w:t>
      </w:r>
    </w:p>
    <w:p>
      <w:pPr>
        <w:spacing w:after="0" w:line="25" w:lineRule="exact"/>
        <w:rPr>
          <w:sz w:val="20"/>
          <w:szCs w:val="20"/>
          <w:color w:val="auto"/>
        </w:rPr>
      </w:pPr>
    </w:p>
    <w:p>
      <w:pPr>
        <w:ind w:left="1060"/>
        <w:spacing w:after="0"/>
        <w:rPr>
          <w:sz w:val="20"/>
          <w:szCs w:val="20"/>
          <w:color w:val="auto"/>
        </w:rPr>
      </w:pPr>
      <w:r>
        <w:rPr>
          <w:rFonts w:ascii="Arial" w:cs="Arial" w:eastAsia="Arial" w:hAnsi="Arial"/>
          <w:sz w:val="13"/>
          <w:szCs w:val="13"/>
          <w:color w:val="auto"/>
        </w:rPr>
        <w:t>Parties; or</w:t>
      </w:r>
    </w:p>
    <w:p>
      <w:pPr>
        <w:spacing w:after="0" w:line="111" w:lineRule="exact"/>
        <w:rPr>
          <w:sz w:val="20"/>
          <w:szCs w:val="20"/>
          <w:color w:val="auto"/>
        </w:rPr>
      </w:pPr>
    </w:p>
    <w:p>
      <w:pPr>
        <w:ind w:left="2400" w:hanging="585"/>
        <w:spacing w:after="0"/>
        <w:tabs>
          <w:tab w:leader="none" w:pos="24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Is made to enhance the likelihood of, or to maximize the amount of, repayment of any Obligation;</w:t>
      </w:r>
    </w:p>
    <w:p>
      <w:pPr>
        <w:spacing w:after="0" w:line="120" w:lineRule="exact"/>
        <w:rPr>
          <w:rFonts w:ascii="Arial" w:cs="Arial" w:eastAsia="Arial" w:hAnsi="Arial"/>
          <w:sz w:val="13"/>
          <w:szCs w:val="13"/>
          <w:color w:val="auto"/>
        </w:rPr>
      </w:pPr>
    </w:p>
    <w:p>
      <w:pPr>
        <w:ind w:left="2400" w:hanging="585"/>
        <w:spacing w:after="0"/>
        <w:tabs>
          <w:tab w:leader="none" w:pos="24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Is made to pay any other amount chargeable to any Loan Party hereunder; and</w:t>
      </w:r>
    </w:p>
    <w:p>
      <w:pPr>
        <w:spacing w:after="0" w:line="129" w:lineRule="exact"/>
        <w:rPr>
          <w:rFonts w:ascii="Arial" w:cs="Arial" w:eastAsia="Arial" w:hAnsi="Arial"/>
          <w:sz w:val="13"/>
          <w:szCs w:val="13"/>
          <w:color w:val="auto"/>
        </w:rPr>
      </w:pPr>
    </w:p>
    <w:p>
      <w:pPr>
        <w:jc w:val="both"/>
        <w:ind w:left="1060" w:firstLine="755"/>
        <w:spacing w:after="0" w:line="258" w:lineRule="auto"/>
        <w:tabs>
          <w:tab w:leader="none" w:pos="2392" w:val="left"/>
        </w:tabs>
        <w:numPr>
          <w:ilvl w:val="0"/>
          <w:numId w:val="44"/>
        </w:numPr>
        <w:rPr>
          <w:rFonts w:ascii="Arial" w:cs="Arial" w:eastAsia="Arial" w:hAnsi="Arial"/>
          <w:sz w:val="13"/>
          <w:szCs w:val="13"/>
          <w:color w:val="auto"/>
        </w:rPr>
      </w:pPr>
      <w:r>
        <w:rPr>
          <w:rFonts w:ascii="Arial" w:cs="Arial" w:eastAsia="Arial" w:hAnsi="Arial"/>
          <w:sz w:val="13"/>
          <w:szCs w:val="13"/>
          <w:color w:val="auto"/>
        </w:rPr>
        <w:t>Together with all other Permitted Overadvances then outstanding, shall not (i) exceed ten percent (10%) of the Borrowing Base at any time or (ii) unless a Liquidation is occurring, remain outstanding for more than forty-five (45) consecutive Business Days or more than twice in any twelve month period, unless in each case, the Required Lenders otherwise agree.</w:t>
      </w:r>
    </w:p>
    <w:p>
      <w:pPr>
        <w:spacing w:after="0" w:line="269"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246" w:right="439" w:bottom="1440" w:gutter="0" w:footer="0" w:header="0"/>
        </w:sectPr>
      </w:pPr>
    </w:p>
    <w:bookmarkStart w:id="49" w:name="page50"/>
    <w:bookmarkEnd w:id="49"/>
    <w:p>
      <w:pPr>
        <w:ind w:left="220"/>
        <w:spacing w:after="0"/>
        <w:rPr>
          <w:sz w:val="20"/>
          <w:szCs w:val="20"/>
          <w:color w:val="auto"/>
        </w:rPr>
      </w:pPr>
      <w:r>
        <w:rPr>
          <w:rFonts w:ascii="Arial" w:cs="Arial" w:eastAsia="Arial" w:hAnsi="Arial"/>
          <w:sz w:val="13"/>
          <w:szCs w:val="13"/>
          <w:u w:val="single" w:color="auto"/>
          <w:color w:val="auto"/>
        </w:rPr>
        <w:t>provided however</w:t>
      </w:r>
      <w:r>
        <w:rPr>
          <w:rFonts w:ascii="Arial" w:cs="Arial" w:eastAsia="Arial" w:hAnsi="Arial"/>
          <w:sz w:val="13"/>
          <w:szCs w:val="13"/>
          <w:color w:val="auto"/>
        </w:rPr>
        <w:t xml:space="preserve">, that the foregoing shall not (i) modify or abrogate any of the provisions of </w:t>
      </w:r>
      <w:r>
        <w:rPr>
          <w:rFonts w:ascii="Arial" w:cs="Arial" w:eastAsia="Arial" w:hAnsi="Arial"/>
          <w:sz w:val="13"/>
          <w:szCs w:val="13"/>
          <w:u w:val="single" w:color="auto"/>
          <w:color w:val="auto"/>
        </w:rPr>
        <w:t>Section</w:t>
      </w:r>
    </w:p>
    <w:p>
      <w:pPr>
        <w:spacing w:after="0" w:line="14" w:lineRule="exact"/>
        <w:rPr>
          <w:sz w:val="20"/>
          <w:szCs w:val="20"/>
          <w:color w:val="auto"/>
        </w:rPr>
      </w:pPr>
    </w:p>
    <w:p>
      <w:pPr>
        <w:jc w:val="both"/>
        <w:ind w:left="220"/>
        <w:spacing w:after="0" w:line="249" w:lineRule="auto"/>
        <w:rPr>
          <w:sz w:val="20"/>
          <w:szCs w:val="20"/>
          <w:color w:val="auto"/>
        </w:rPr>
      </w:pPr>
      <w:r>
        <w:rPr>
          <w:rFonts w:ascii="Arial" w:cs="Arial" w:eastAsia="Arial" w:hAnsi="Arial"/>
          <w:sz w:val="13"/>
          <w:szCs w:val="13"/>
          <w:u w:val="single" w:color="auto"/>
          <w:color w:val="auto"/>
        </w:rPr>
        <w:t>2.03</w:t>
      </w:r>
      <w:r>
        <w:rPr>
          <w:rFonts w:ascii="Arial" w:cs="Arial" w:eastAsia="Arial" w:hAnsi="Arial"/>
          <w:sz w:val="13"/>
          <w:szCs w:val="13"/>
          <w:color w:val="auto"/>
        </w:rPr>
        <w:t xml:space="preserve"> regarding the Revolving Lenders’ obligations with respect to Letters of Credit or </w:t>
      </w:r>
      <w:r>
        <w:rPr>
          <w:rFonts w:ascii="Arial" w:cs="Arial" w:eastAsia="Arial" w:hAnsi="Arial"/>
          <w:sz w:val="13"/>
          <w:szCs w:val="13"/>
          <w:u w:val="single" w:color="auto"/>
          <w:color w:val="auto"/>
        </w:rPr>
        <w:t>Section 2.04</w:t>
      </w:r>
      <w:r>
        <w:rPr>
          <w:rFonts w:ascii="Arial" w:cs="Arial" w:eastAsia="Arial" w:hAnsi="Arial"/>
          <w:sz w:val="13"/>
          <w:szCs w:val="13"/>
          <w:color w:val="auto"/>
        </w:rPr>
        <w:t xml:space="preserve"> regarding the Revolving Lenders’ obligations with respect to Swing Line Loans, or (ii) result in any claim or liability against the Agent (regardless of the amount of any Overadvance) for Unintentional Overadvances, and such Unintentional Overadvances shall not reduce the amount of Permitted Overadvances allowed hereunder, and </w:t>
      </w:r>
      <w:r>
        <w:rPr>
          <w:rFonts w:ascii="Arial" w:cs="Arial" w:eastAsia="Arial" w:hAnsi="Arial"/>
          <w:sz w:val="13"/>
          <w:szCs w:val="13"/>
          <w:u w:val="single" w:color="auto"/>
          <w:color w:val="auto"/>
        </w:rPr>
        <w:t>further provided that</w:t>
      </w:r>
      <w:r>
        <w:rPr>
          <w:rFonts w:ascii="Arial" w:cs="Arial" w:eastAsia="Arial" w:hAnsi="Arial"/>
          <w:sz w:val="13"/>
          <w:szCs w:val="13"/>
          <w:color w:val="auto"/>
        </w:rPr>
        <w:t xml:space="preserve"> in no event shall the Agent make an Overadvance, if after giving effect thereto, the principal amount of the Total Revolving Outstandings would exceed the Aggregate Revolving Commitments (as in effect prior to any termination of the Revolving Commitments pursuant to </w:t>
      </w:r>
      <w:r>
        <w:rPr>
          <w:rFonts w:ascii="Arial" w:cs="Arial" w:eastAsia="Arial" w:hAnsi="Arial"/>
          <w:sz w:val="13"/>
          <w:szCs w:val="13"/>
          <w:u w:val="single" w:color="auto"/>
          <w:color w:val="auto"/>
        </w:rPr>
        <w:t>Sections 2.06</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8.02</w:t>
      </w:r>
      <w:r>
        <w:rPr>
          <w:rFonts w:ascii="Arial" w:cs="Arial" w:eastAsia="Arial" w:hAnsi="Arial"/>
          <w:sz w:val="13"/>
          <w:szCs w:val="13"/>
          <w:color w:val="auto"/>
        </w:rPr>
        <w:t xml:space="preserve"> hereof).</w:t>
      </w:r>
    </w:p>
    <w:p>
      <w:pPr>
        <w:spacing w:after="0" w:line="99" w:lineRule="exact"/>
        <w:rPr>
          <w:sz w:val="20"/>
          <w:szCs w:val="20"/>
          <w:color w:val="auto"/>
        </w:rPr>
      </w:pPr>
    </w:p>
    <w:p>
      <w:pPr>
        <w:jc w:val="both"/>
        <w:ind w:left="220" w:firstLine="808"/>
        <w:spacing w:after="0" w:line="298" w:lineRule="auto"/>
        <w:rPr>
          <w:sz w:val="20"/>
          <w:szCs w:val="20"/>
          <w:color w:val="auto"/>
        </w:rPr>
      </w:pPr>
      <w:r>
        <w:rPr>
          <w:rFonts w:ascii="Arial" w:cs="Arial" w:eastAsia="Arial" w:hAnsi="Arial"/>
          <w:sz w:val="11"/>
          <w:szCs w:val="11"/>
          <w:color w:val="auto"/>
        </w:rPr>
        <w:t xml:space="preserve">“Permitted Refinancing” means, with respect to any Person, any Indebtedness issued in exchange for, or the net proceeds of which are used to extend, refinance, renew, replace, defease or refund (collectively, to “Refinance”), the Indebtedness being Refinanced (or previous refinancings thereof constituting a Permitted Refinancing); </w:t>
      </w:r>
      <w:r>
        <w:rPr>
          <w:rFonts w:ascii="Arial" w:cs="Arial" w:eastAsia="Arial" w:hAnsi="Arial"/>
          <w:sz w:val="11"/>
          <w:szCs w:val="11"/>
          <w:u w:val="single" w:color="auto"/>
          <w:color w:val="auto"/>
        </w:rPr>
        <w:t>provided</w:t>
      </w:r>
      <w:r>
        <w:rPr>
          <w:rFonts w:ascii="Arial" w:cs="Arial" w:eastAsia="Arial" w:hAnsi="Arial"/>
          <w:sz w:val="11"/>
          <w:szCs w:val="11"/>
          <w:color w:val="auto"/>
        </w:rPr>
        <w:t>, that (a) the principal amount (or accreted value, if applicable) of such Permitted Refinancing does not exceed the principal amount (or accreted value, if applicable) of the Indebtedness so Refinanced (plus unpaid accrued interest and premiums thereon and underwriting discounts, defeasance costs, fees, commissions and expenses), (b) the weighted average life to maturity of such Permitted Refinancing is greater than or equal to the weighted average life to maturity of the Indebtedness being Refinanced (c) such Permitted Refinancing shall not require any scheduled principal payments due prior to the Maturity Date, (d) if the Indebtedness being Refinanced is subordinated in right of payment to the Obligations under this Agreement, such Permitted Refinancing shall be subordinated in right of payment to such Obligations on terms at least as favorable to the Credit Parties as those contained in the documentation governing the Indebtedness being Refinanced (e) no Permitted Refinancing shall have direct or indirect obligors who were not also obligors of the Indebtedness being Refinanced, or greater guarantees or security, than the Indebtedness being Refinanced, (f) such Permitted Refinancing shall be otherwise on terms not materially less favorable to the Credit Parties than those contained in the documentation governing the Indebtedness being Refinanced, including, without limitation, with respect to financial and other covenants and events of default, (g) the interest rate applicable to any such Permitted Refinancing shall not exceed the then applicable market interest rate, and (h) at the time thereof, no Default or Event of Default shall have occurred and be continuing.</w:t>
      </w:r>
    </w:p>
    <w:p>
      <w:pPr>
        <w:spacing w:after="0" w:line="87" w:lineRule="exact"/>
        <w:rPr>
          <w:sz w:val="20"/>
          <w:szCs w:val="20"/>
          <w:color w:val="auto"/>
        </w:rPr>
      </w:pPr>
    </w:p>
    <w:p>
      <w:pPr>
        <w:jc w:val="both"/>
        <w:ind w:left="220" w:firstLine="808"/>
        <w:spacing w:after="0" w:line="282" w:lineRule="auto"/>
        <w:rPr>
          <w:sz w:val="20"/>
          <w:szCs w:val="20"/>
          <w:color w:val="auto"/>
        </w:rPr>
      </w:pPr>
      <w:r>
        <w:rPr>
          <w:rFonts w:ascii="Arial" w:cs="Arial" w:eastAsia="Arial" w:hAnsi="Arial"/>
          <w:sz w:val="12"/>
          <w:szCs w:val="12"/>
          <w:color w:val="auto"/>
        </w:rPr>
        <w:t>“Permitted Store Closings” means (a) Store closures and related Inventory dispositions which do not exceed (i) in any Fiscal Year of the Lead Borrower and its Subsidiaries, ten percent (10%) of the number of the Loan Parties’ Stores as of the beginning of such Fiscal Year (net of new Store openings) and (ii) in the aggregate from and after the Closing Date, thirty-five percent (35%) of the number of the Loan Parties’ Stores in existence as of the Closing Date (net of new Store openings), and (b) the related Inventory is either moved to a distribution center or another retail location of the Loan Parties for future sale in the ordinary course of business or is disposed of at such Stores in accordance with liquidation agreements and with professional liquidators reasonably acceptable to the Agent.</w:t>
      </w:r>
    </w:p>
    <w:p>
      <w:pPr>
        <w:spacing w:after="0" w:line="81" w:lineRule="exact"/>
        <w:rPr>
          <w:sz w:val="20"/>
          <w:szCs w:val="20"/>
          <w:color w:val="auto"/>
        </w:rPr>
      </w:pPr>
    </w:p>
    <w:p>
      <w:pPr>
        <w:ind w:left="1040"/>
        <w:spacing w:after="0"/>
        <w:rPr>
          <w:sz w:val="20"/>
          <w:szCs w:val="20"/>
          <w:color w:val="auto"/>
        </w:rPr>
      </w:pPr>
      <w:r>
        <w:rPr>
          <w:rFonts w:ascii="Arial" w:cs="Arial" w:eastAsia="Arial" w:hAnsi="Arial"/>
          <w:sz w:val="12"/>
          <w:szCs w:val="12"/>
          <w:color w:val="auto"/>
        </w:rPr>
        <w:t>“Person” means any natural person, corporation, limited liability company, trust, joint venture, association, company, partnership, limited partnership, Governmental Authority or other entity.</w:t>
      </w:r>
    </w:p>
    <w:p>
      <w:pPr>
        <w:spacing w:after="0" w:line="132"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“Plan” means any employee benefit plan within the meaning of Section 3(3) of ERISA (including a Pension Plan), maintained for employees of the Lead Borrower or any ERISA Affiliate or any such Plan to which the Lead Borrower or any ERISA Affiliate is required to contribute on behalf of any of its employees.</w:t>
      </w:r>
    </w:p>
    <w:p>
      <w:pPr>
        <w:spacing w:after="0" w:line="95"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 xml:space="preserve">“Platform” has the meaning specified in </w:t>
      </w:r>
      <w:r>
        <w:rPr>
          <w:rFonts w:ascii="Arial" w:cs="Arial" w:eastAsia="Arial" w:hAnsi="Arial"/>
          <w:sz w:val="13"/>
          <w:szCs w:val="13"/>
          <w:u w:val="single" w:color="auto"/>
          <w:color w:val="auto"/>
        </w:rPr>
        <w:t>Section 6.02</w:t>
      </w:r>
      <w:r>
        <w:rPr>
          <w:rFonts w:ascii="Arial" w:cs="Arial" w:eastAsia="Arial" w:hAnsi="Arial"/>
          <w:sz w:val="13"/>
          <w:szCs w:val="13"/>
          <w:color w:val="auto"/>
        </w:rPr>
        <w:t>.</w:t>
      </w:r>
    </w:p>
    <w:p>
      <w:pPr>
        <w:spacing w:after="0" w:line="295"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65" w:right="439" w:bottom="1440" w:gutter="0" w:footer="0" w:header="0"/>
        </w:sectPr>
      </w:pPr>
    </w:p>
    <w:bookmarkStart w:id="50" w:name="page51"/>
    <w:bookmarkEnd w:id="50"/>
    <w:p>
      <w:pPr>
        <w:ind w:left="1040"/>
        <w:spacing w:after="0"/>
        <w:rPr>
          <w:sz w:val="20"/>
          <w:szCs w:val="20"/>
          <w:color w:val="auto"/>
        </w:rPr>
      </w:pPr>
      <w:r>
        <w:rPr>
          <w:rFonts w:ascii="Arial" w:cs="Arial" w:eastAsia="Arial" w:hAnsi="Arial"/>
          <w:sz w:val="13"/>
          <w:szCs w:val="13"/>
          <w:color w:val="auto"/>
        </w:rPr>
        <w:t xml:space="preserve">“Public Lender” has the meaning specified in </w:t>
      </w:r>
      <w:r>
        <w:rPr>
          <w:rFonts w:ascii="Arial" w:cs="Arial" w:eastAsia="Arial" w:hAnsi="Arial"/>
          <w:sz w:val="13"/>
          <w:szCs w:val="13"/>
          <w:u w:val="single" w:color="auto"/>
          <w:color w:val="auto"/>
        </w:rPr>
        <w:t>Section 6.02</w:t>
      </w:r>
      <w:r>
        <w:rPr>
          <w:rFonts w:ascii="Arial" w:cs="Arial" w:eastAsia="Arial" w:hAnsi="Arial"/>
          <w:sz w:val="13"/>
          <w:szCs w:val="13"/>
          <w:color w:val="auto"/>
        </w:rPr>
        <w:t>.</w:t>
      </w:r>
    </w:p>
    <w:p>
      <w:pPr>
        <w:spacing w:after="0" w:line="122"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“Qualified ECP Guarantor” means, at any time, each Loan Party with total assets exceeding $10,000,000 or that qualifies at such time as an “eligible contract participant” under the Commodity Exchange Act and can cause another Person to qualify as an “eligible contract participant” at such time under Section 1a(18)(A)(v)(II) of the Commodity Exchange Act.</w:t>
      </w:r>
    </w:p>
    <w:p>
      <w:pPr>
        <w:spacing w:after="0" w:line="95"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“Real Estate” means all Leases and all land, together with the buildings, structures, parking areas, and other improvements thereon, now or hereafter owned by any Loan Party, including all easements, rights-of-way, and similar rights relating thereto and all leases, tenancies, and occupancies thereof.</w:t>
      </w:r>
    </w:p>
    <w:p>
      <w:pPr>
        <w:spacing w:after="0" w:line="86"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“Recipient” means the Agent, any Lender, the L/C Issuer or any other recipient of any payment to be made by or on account of any obligation of any Loan Party hereunder.</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 xml:space="preserve">“Register” has the meaning specified in </w:t>
      </w:r>
      <w:r>
        <w:rPr>
          <w:rFonts w:ascii="Arial" w:cs="Arial" w:eastAsia="Arial" w:hAnsi="Arial"/>
          <w:sz w:val="13"/>
          <w:szCs w:val="13"/>
          <w:u w:val="single" w:color="auto"/>
          <w:color w:val="auto"/>
        </w:rPr>
        <w:t>Section 10.06(c)</w:t>
      </w:r>
      <w:r>
        <w:rPr>
          <w:rFonts w:ascii="Arial" w:cs="Arial" w:eastAsia="Arial" w:hAnsi="Arial"/>
          <w:sz w:val="13"/>
          <w:szCs w:val="13"/>
          <w:color w:val="auto"/>
        </w:rPr>
        <w:t>.</w:t>
      </w:r>
    </w:p>
    <w:p>
      <w:pPr>
        <w:spacing w:after="0" w:line="130" w:lineRule="exact"/>
        <w:rPr>
          <w:sz w:val="20"/>
          <w:szCs w:val="20"/>
          <w:color w:val="auto"/>
        </w:rPr>
      </w:pPr>
    </w:p>
    <w:p>
      <w:pPr>
        <w:ind w:left="1040"/>
        <w:spacing w:after="0"/>
        <w:rPr>
          <w:sz w:val="20"/>
          <w:szCs w:val="20"/>
          <w:color w:val="auto"/>
        </w:rPr>
      </w:pPr>
      <w:r>
        <w:rPr>
          <w:rFonts w:ascii="Arial" w:cs="Arial" w:eastAsia="Arial" w:hAnsi="Arial"/>
          <w:sz w:val="11"/>
          <w:szCs w:val="11"/>
          <w:color w:val="auto"/>
        </w:rPr>
        <w:t>“Registered Public Accounting Firm” has the meaning specified by the Securities Laws and shall be independent of the Lead Borrower and its Subsidiaries as prescribed by the Securities Laws.</w:t>
      </w:r>
    </w:p>
    <w:p>
      <w:pPr>
        <w:spacing w:after="0" w:line="144"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“Related Parties” means, with respect to any Person, such Person’s Affiliates and the partners, directors, officers, employees, agents, trustees, administrators, managers, advisors and representatives of such Person and of such Person’s Affiliates.</w:t>
      </w:r>
    </w:p>
    <w:p>
      <w:pPr>
        <w:spacing w:after="0" w:line="86"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“Reportable Event” means any of the events set forth in Section 4043(c) of ERISA, other than events for which the 30 day notice period has been waived.</w:t>
      </w:r>
    </w:p>
    <w:p>
      <w:pPr>
        <w:spacing w:after="0" w:line="130"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 xml:space="preserve">“Reports” has the meaning provided in </w:t>
      </w:r>
      <w:r>
        <w:rPr>
          <w:rFonts w:ascii="Arial" w:cs="Arial" w:eastAsia="Arial" w:hAnsi="Arial"/>
          <w:sz w:val="13"/>
          <w:szCs w:val="13"/>
          <w:u w:val="single" w:color="auto"/>
          <w:color w:val="auto"/>
        </w:rPr>
        <w:t>Section 9.12(b)</w:t>
      </w:r>
      <w:r>
        <w:rPr>
          <w:rFonts w:ascii="Arial" w:cs="Arial" w:eastAsia="Arial" w:hAnsi="Arial"/>
          <w:sz w:val="13"/>
          <w:szCs w:val="13"/>
          <w:color w:val="auto"/>
        </w:rPr>
        <w:t>.</w:t>
      </w:r>
    </w:p>
    <w:p>
      <w:pPr>
        <w:spacing w:after="0" w:line="121"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“Request for Credit Extension” means (a) with respect to a Borrowing, Conversion or continuation of Committed Loans, a Committed Loan Notice, (b) with respect to an L/C Credit Extension, a Letter of Credit Application, and (c) with respect to a Swing Line Loan, a Swing Line Loan Notice.</w:t>
      </w:r>
    </w:p>
    <w:p>
      <w:pPr>
        <w:spacing w:after="0" w:line="86" w:lineRule="exact"/>
        <w:rPr>
          <w:sz w:val="20"/>
          <w:szCs w:val="20"/>
          <w:color w:val="auto"/>
        </w:rPr>
      </w:pPr>
    </w:p>
    <w:p>
      <w:pPr>
        <w:jc w:val="both"/>
        <w:ind w:left="220" w:firstLine="808"/>
        <w:spacing w:after="0" w:line="251" w:lineRule="auto"/>
        <w:rPr>
          <w:sz w:val="20"/>
          <w:szCs w:val="20"/>
          <w:color w:val="auto"/>
        </w:rPr>
      </w:pPr>
      <w:r>
        <w:rPr>
          <w:rFonts w:ascii="Arial" w:cs="Arial" w:eastAsia="Arial" w:hAnsi="Arial"/>
          <w:sz w:val="13"/>
          <w:szCs w:val="13"/>
          <w:color w:val="auto"/>
        </w:rPr>
        <w:t xml:space="preserve">“Required Lenders” means, as of any date of determination, Lenders holding more than 50% of the sum of the Aggregate Revolving Commitments and the Outstanding Amount of the FILO Loan or, if the Aggregate Revolving Commitments and the obligation of the L/C Issuer to make L/C Credit Extensions have been terminated, Lenders holding in the aggregate more than 50% of the Total Outstandings (with the aggregate amount of each Lender’s risk participation and funded participation in L/C Obligations and Swing Line Loans being deemed “held” by such Lender for purposes of this definition);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 the Revolving Commitment of, and the portion of the Total Outstandings held or deemed held by, any Defaulting Lender shall be excluded for purposes of making a determination of Required Lenders and (ii) at any time there are two or more Lenders (who are not Affiliates of one another or Defaulting Lenders), “Required Lenders” must include a least two Lenders (who are not Affiliates of one another or Defaulting Lenders).</w:t>
      </w:r>
    </w:p>
    <w:p>
      <w:pPr>
        <w:spacing w:after="0" w:line="107" w:lineRule="exact"/>
        <w:rPr>
          <w:sz w:val="20"/>
          <w:szCs w:val="20"/>
          <w:color w:val="auto"/>
        </w:rPr>
      </w:pPr>
    </w:p>
    <w:p>
      <w:pPr>
        <w:jc w:val="both"/>
        <w:ind w:left="220" w:firstLine="808"/>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Required Supermajority Lenders</w:t>
      </w:r>
      <w:r>
        <w:rPr>
          <w:rFonts w:ascii="Arial" w:cs="Arial" w:eastAsia="Arial" w:hAnsi="Arial"/>
          <w:sz w:val="13"/>
          <w:szCs w:val="13"/>
          <w:color w:val="auto"/>
        </w:rPr>
        <w:t xml:space="preserve">” means, as of any date of determination, Lenders holding more than 66 2/3% of the sum of the Aggregate Revolving Commitments and the Outstanding Amount of the FILO Loan or, if the Aggregate Revolving Commitments and the obligation of the L/C Issuer to make L/C Credit Extensions have been terminated pursuant to </w:t>
      </w:r>
      <w:r>
        <w:rPr>
          <w:rFonts w:ascii="Arial" w:cs="Arial" w:eastAsia="Arial" w:hAnsi="Arial"/>
          <w:sz w:val="13"/>
          <w:szCs w:val="13"/>
          <w:u w:val="single" w:color="auto"/>
          <w:color w:val="auto"/>
        </w:rPr>
        <w:t>Section 8.02</w:t>
      </w:r>
      <w:r>
        <w:rPr>
          <w:rFonts w:ascii="Arial" w:cs="Arial" w:eastAsia="Arial" w:hAnsi="Arial"/>
          <w:sz w:val="13"/>
          <w:szCs w:val="13"/>
          <w:color w:val="auto"/>
        </w:rPr>
        <w:t xml:space="preserve">, Lenders holding in the aggregate more than 66 2/3% of the Total Outstandings (with the aggregate amount of each Lender’s risk participation and funded participation in L/C Obligations and Swing Line Loans being deemed “held” by such Lender for purposes of this definition);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 the Revolving Commitment of, and the</w:t>
      </w:r>
    </w:p>
    <w:p>
      <w:pPr>
        <w:spacing w:after="0" w:line="271"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51" w:name="page52"/>
    <w:bookmarkEnd w:id="51"/>
    <w:p>
      <w:pPr>
        <w:jc w:val="both"/>
        <w:ind w:left="220"/>
        <w:spacing w:after="0" w:line="259" w:lineRule="auto"/>
        <w:rPr>
          <w:sz w:val="20"/>
          <w:szCs w:val="20"/>
          <w:color w:val="auto"/>
        </w:rPr>
      </w:pPr>
      <w:r>
        <w:rPr>
          <w:rFonts w:ascii="Arial" w:cs="Arial" w:eastAsia="Arial" w:hAnsi="Arial"/>
          <w:sz w:val="13"/>
          <w:szCs w:val="13"/>
          <w:color w:val="auto"/>
        </w:rPr>
        <w:t>portion of the Total Outstandings held or deemed held by, any Defaulting Lender shall be excluded for purposes of making a determination of Required Supermajority Lenders and (ii) at any time there are two or more Lenders (who are not Affiliates of one another or Defaulting Lenders), “Required Supermajority Lenders” must include a least two Lenders (who are not Affiliates of one another or Defaulting Lenders).</w:t>
      </w:r>
    </w:p>
    <w:p>
      <w:pPr>
        <w:spacing w:after="0" w:line="94"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“Reserves” means all Inventory Reserves, Availability Reserves and the FILO Push Down Reserve. The Agent shall have the right, at any time and from time to time after the Closing Date in its reasonable discretion to establish, modify or eliminate Reserves.</w:t>
      </w:r>
    </w:p>
    <w:p>
      <w:pPr>
        <w:spacing w:after="0" w:line="95" w:lineRule="exact"/>
        <w:rPr>
          <w:sz w:val="20"/>
          <w:szCs w:val="20"/>
          <w:color w:val="auto"/>
        </w:rPr>
      </w:pPr>
    </w:p>
    <w:p>
      <w:pPr>
        <w:jc w:val="both"/>
        <w:ind w:left="220" w:firstLine="808"/>
        <w:spacing w:after="0" w:line="254" w:lineRule="auto"/>
        <w:rPr>
          <w:sz w:val="20"/>
          <w:szCs w:val="20"/>
          <w:color w:val="auto"/>
        </w:rPr>
      </w:pPr>
      <w:r>
        <w:rPr>
          <w:rFonts w:ascii="Arial" w:cs="Arial" w:eastAsia="Arial" w:hAnsi="Arial"/>
          <w:sz w:val="13"/>
          <w:szCs w:val="13"/>
          <w:color w:val="auto"/>
        </w:rPr>
        <w:t>“Responsible Officer” means the chief executive officer, president, chief financial officer, treasurer or assistant treasurer of a Loan Party or any of the other individuals designated in writing to the Agent by an existing Responsible Officer of a Loan Party as an authorized signatory of any certificate or other document to be delivered hereunder.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97" w:lineRule="exact"/>
        <w:rPr>
          <w:sz w:val="20"/>
          <w:szCs w:val="20"/>
          <w:color w:val="auto"/>
        </w:rPr>
      </w:pPr>
    </w:p>
    <w:p>
      <w:pPr>
        <w:jc w:val="both"/>
        <w:ind w:left="220" w:firstLine="808"/>
        <w:spacing w:after="0" w:line="252" w:lineRule="auto"/>
        <w:rPr>
          <w:sz w:val="20"/>
          <w:szCs w:val="20"/>
          <w:color w:val="auto"/>
        </w:rPr>
      </w:pPr>
      <w:r>
        <w:rPr>
          <w:rFonts w:ascii="Arial" w:cs="Arial" w:eastAsia="Arial" w:hAnsi="Arial"/>
          <w:sz w:val="13"/>
          <w:szCs w:val="13"/>
          <w:color w:val="auto"/>
        </w:rPr>
        <w:t>“Restricted Payment” means any dividend or other distribution (whether in cash, securities or other property) with respect to any capital stock or other Equity Interest of any Person or any of its Subsidiaries, or any payment (whether in cash, securities or other property), including any sinking fund or similar deposit, on account of the purchase, redemption, retirement, defeasance, acquisition, cancellation or termination of any such capital stock or other Equity Interest, or on account of any return of capital to such Person’s stockholders, partners or members (or the equivalent of any thereof), or any option, warrant or other right to acquire any such dividend or other distribution or payment. Without limiting the foregoing, “Restricted Payments” with respect to any Person shall also include all payments made by such Person with any proceeds of a dissolution or liquidation of such Person.</w:t>
      </w:r>
    </w:p>
    <w:p>
      <w:pPr>
        <w:spacing w:after="0" w:line="98" w:lineRule="exact"/>
        <w:rPr>
          <w:sz w:val="20"/>
          <w:szCs w:val="20"/>
          <w:color w:val="auto"/>
        </w:rPr>
      </w:pPr>
    </w:p>
    <w:p>
      <w:pPr>
        <w:jc w:val="both"/>
        <w:ind w:left="220" w:firstLine="808"/>
        <w:spacing w:after="0" w:line="290" w:lineRule="auto"/>
        <w:rPr>
          <w:sz w:val="20"/>
          <w:szCs w:val="20"/>
          <w:color w:val="auto"/>
        </w:rPr>
      </w:pPr>
      <w:r>
        <w:rPr>
          <w:rFonts w:ascii="Arial" w:cs="Arial" w:eastAsia="Arial" w:hAnsi="Arial"/>
          <w:sz w:val="12"/>
          <w:szCs w:val="12"/>
          <w:color w:val="auto"/>
        </w:rPr>
        <w:t xml:space="preserve">“Revolving Commitments” means, as to each Revolving Lender, its obligation to (a) make Committed Loans to the Borrowers pursuant to Article II and (b) purchase participations in L/C Obligations and in Swing Line Loans, in an aggregate principal amount at any one time outstanding not to exceed the amount set forth opposite such Revolving Lender’s name on </w:t>
      </w:r>
      <w:r>
        <w:rPr>
          <w:rFonts w:ascii="Arial" w:cs="Arial" w:eastAsia="Arial" w:hAnsi="Arial"/>
          <w:sz w:val="12"/>
          <w:szCs w:val="12"/>
          <w:u w:val="single" w:color="auto"/>
          <w:color w:val="auto"/>
        </w:rPr>
        <w:t>Schedule 2.01</w:t>
      </w:r>
      <w:r>
        <w:rPr>
          <w:rFonts w:ascii="Arial" w:cs="Arial" w:eastAsia="Arial" w:hAnsi="Arial"/>
          <w:sz w:val="12"/>
          <w:szCs w:val="12"/>
          <w:color w:val="auto"/>
        </w:rPr>
        <w:t xml:space="preserve"> or in the Assignment and Assumption pursuant to which such Revolving Lender becomes a party hereto, as applicable, as such amount may be adjusted from time to time in accordance with this Agreement.</w:t>
      </w:r>
    </w:p>
    <w:p>
      <w:pPr>
        <w:spacing w:after="0" w:line="85"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“Revolving Lenders” means Lenders having Revolving Commitments from time to time or at any time.</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“Revolving Loan” means a Committed Loan or Swing Line Loan, as the context may require.</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“Revolving Loan Cap” means, at any time of determination, the lesser of (a) the Aggregate Revolving Commitments or (b) the Borrowing Base.</w:t>
      </w:r>
    </w:p>
    <w:p>
      <w:pPr>
        <w:spacing w:after="0" w:line="130" w:lineRule="exact"/>
        <w:rPr>
          <w:sz w:val="20"/>
          <w:szCs w:val="20"/>
          <w:color w:val="auto"/>
        </w:rPr>
      </w:pPr>
    </w:p>
    <w:p>
      <w:pPr>
        <w:jc w:val="both"/>
        <w:ind w:left="220" w:firstLine="808"/>
        <w:spacing w:after="0" w:line="252" w:lineRule="auto"/>
        <w:rPr>
          <w:sz w:val="20"/>
          <w:szCs w:val="20"/>
          <w:color w:val="auto"/>
        </w:rPr>
      </w:pPr>
      <w:r>
        <w:rPr>
          <w:rFonts w:ascii="Arial" w:cs="Arial" w:eastAsia="Arial" w:hAnsi="Arial"/>
          <w:sz w:val="13"/>
          <w:szCs w:val="13"/>
          <w:color w:val="auto"/>
        </w:rPr>
        <w:t xml:space="preserve">“RP Conditions” means, at the time of determination with respect to the making of any Restricted Payment, that (a) no Default or Event of Default then exists or would arise as a result of the making of such Restricted Payment, and (b)(i) for the thirty (30) day period prior to the making of such Restricted Payment and after giving pro forma effect to such Restricted Payment, the Availability will be equal to or greater than the greater of (x) fifteen percent (15%) of the Revolving Loan Cap and (y) $15,000,000, and (ii) after giving pro forma effect to such Restricted Payment, the Consolidated Fixed Charge Coverage Ratio, tested on a trailing twelve month basis, is equal to or greater than 1.0:1.0;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this clause (b)(ii) shall not apply if Availability for the thirty (30) day period prior to the making of such Restricted Payment and after giving pro forma effect to such Restricted Payment was equal to or greater than the</w:t>
      </w:r>
    </w:p>
    <w:p>
      <w:pPr>
        <w:spacing w:after="0" w:line="272"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52" w:name="page53"/>
    <w:bookmarkEnd w:id="52"/>
    <w:p>
      <w:pPr>
        <w:jc w:val="both"/>
        <w:ind w:left="220"/>
        <w:spacing w:after="0" w:line="291" w:lineRule="auto"/>
        <w:rPr>
          <w:sz w:val="20"/>
          <w:szCs w:val="20"/>
          <w:color w:val="auto"/>
        </w:rPr>
      </w:pPr>
      <w:r>
        <w:rPr>
          <w:rFonts w:ascii="Arial" w:cs="Arial" w:eastAsia="Arial" w:hAnsi="Arial"/>
          <w:sz w:val="12"/>
          <w:szCs w:val="12"/>
          <w:color w:val="auto"/>
        </w:rPr>
        <w:t>greater of (x) twenty percent (20%) of the Revolving Loan Cap (calculated without giving effect to the FILO Push Down Reserve) and (y) $20,000,000. Prior to undertaking any Restricted Payment which is subject to the RP Conditions, the Lead Borrower shall deliver to the Agent (i) a certificate signed by the Chief Executive Officer, President or Chief Financial Officer of the Lead Borrower certifying that the conditions contained in clauses (a) and (b) of the preceding sentence have been satisfied, and (ii) evidence of satisfaction of the conditions contained in clause (b) (including a reasonably detailed calculation).</w:t>
      </w:r>
    </w:p>
    <w:p>
      <w:pPr>
        <w:spacing w:after="0" w:line="76" w:lineRule="exact"/>
        <w:rPr>
          <w:sz w:val="20"/>
          <w:szCs w:val="20"/>
          <w:color w:val="auto"/>
        </w:rPr>
      </w:pPr>
    </w:p>
    <w:p>
      <w:pPr>
        <w:jc w:val="both"/>
        <w:ind w:left="220" w:firstLine="808"/>
        <w:spacing w:after="0" w:line="258" w:lineRule="auto"/>
        <w:rPr>
          <w:sz w:val="20"/>
          <w:szCs w:val="20"/>
          <w:color w:val="auto"/>
        </w:rPr>
      </w:pPr>
      <w:r>
        <w:rPr>
          <w:rFonts w:ascii="Arial" w:cs="Arial" w:eastAsia="Arial" w:hAnsi="Arial"/>
          <w:sz w:val="13"/>
          <w:szCs w:val="13"/>
          <w:color w:val="auto"/>
        </w:rPr>
        <w:t>“Sanctioned Entity” means (a) a country or a government of a country, (b) an agency of the government of a country, (c) an organization directly or indirectly controlled by a country or its government, or (d) a Person resident in or determined to be resident in a country, in each case of clauses (a) through (d) that is a target of Sanctions, including a target of any country sanctions program administered and enforced by OFAC.</w:t>
      </w:r>
    </w:p>
    <w:p>
      <w:pPr>
        <w:spacing w:after="0" w:line="103" w:lineRule="exact"/>
        <w:rPr>
          <w:sz w:val="20"/>
          <w:szCs w:val="20"/>
          <w:color w:val="auto"/>
        </w:rPr>
      </w:pPr>
    </w:p>
    <w:p>
      <w:pPr>
        <w:jc w:val="both"/>
        <w:ind w:left="220" w:firstLine="808"/>
        <w:spacing w:after="0" w:line="290" w:lineRule="auto"/>
        <w:rPr>
          <w:sz w:val="20"/>
          <w:szCs w:val="20"/>
          <w:color w:val="auto"/>
        </w:rPr>
      </w:pPr>
      <w:r>
        <w:rPr>
          <w:rFonts w:ascii="Arial" w:cs="Arial" w:eastAsia="Arial" w:hAnsi="Arial"/>
          <w:sz w:val="12"/>
          <w:szCs w:val="12"/>
          <w:color w:val="auto"/>
        </w:rPr>
        <w:t>“Sanctioned Person” means, at any time (a) any Person named on the list of Specially Designated Nationals and Blocked Persons maintained by OFAC (“SDN”), OFAC’s consolidated Non-SDN list or any other Sanctions-related list maintained by any Governmental Authority, (b) a Person or legal entity that is a target of Sanctions, (c) any Person operating, organized or resident in a Sanctioned Entity, or (d) any Person directly or indirectly owned or controlled (individually or in the aggregate) by or acting on behalf of any such Person or Persons described in clauses (a) through (c) above.</w:t>
      </w:r>
    </w:p>
    <w:p>
      <w:pPr>
        <w:spacing w:after="0" w:line="76" w:lineRule="exact"/>
        <w:rPr>
          <w:sz w:val="20"/>
          <w:szCs w:val="20"/>
          <w:color w:val="auto"/>
        </w:rPr>
      </w:pPr>
    </w:p>
    <w:p>
      <w:pPr>
        <w:jc w:val="both"/>
        <w:ind w:left="220" w:firstLine="808"/>
        <w:spacing w:after="0" w:line="252" w:lineRule="auto"/>
        <w:rPr>
          <w:sz w:val="20"/>
          <w:szCs w:val="20"/>
          <w:color w:val="auto"/>
        </w:rPr>
      </w:pPr>
      <w:r>
        <w:rPr>
          <w:rFonts w:ascii="Arial" w:cs="Arial" w:eastAsia="Arial" w:hAnsi="Arial"/>
          <w:sz w:val="13"/>
          <w:szCs w:val="13"/>
          <w:color w:val="auto"/>
        </w:rPr>
        <w:t>“Sanctions” means individually and collectively, respectively, any and all economic sanctions, trade sanctions, financial sanctions, sectoral sanctions, secondary sanctions, trade embargoes anti-terrorism laws and other sanctions laws, regulations or embargoes, including those imposed, administered or enforced from time to time by: (a) the United States of America, including those administered by OFAC, the U.S. Department of State, the U.S. Department of Commerce, or through any existing or future executive order, (b) the United Nations Security Council, (c) the European Union or any European Union member state, (d) Her Majesty’s Treasury of the United Kingdom, or (e) any other Governmental Authority with jurisdiction over any Credit Party or any Loan Party or any of their respective Subsidiaries or Affiliates.</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“S&amp;P” means Standard &amp; Poor’s Ratings Services, a division of The McGraw-Hill Companies, Inc. and any successor thereto.</w:t>
      </w:r>
    </w:p>
    <w:p>
      <w:pPr>
        <w:spacing w:after="0" w:line="130"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“Sarbanes-Oxley” means the Sarbanes-Oxley Act of 2002.</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“SEC” means the Securities and Exchange Commission, or any Governmental Authority succeeding to any of its principal functions.</w:t>
      </w:r>
    </w:p>
    <w:p>
      <w:pPr>
        <w:spacing w:after="0" w:line="121"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“Securities Laws” means the Securities Act of 1933, as amended, the Securities Exchange Act of 1934, as amended, Sarbanes-Oxley, and the applicable accounting and auditing principles, rules, standards and practices promulgated, approved or incorporated by the SEC or the PCAOB.</w:t>
      </w:r>
    </w:p>
    <w:p>
      <w:pPr>
        <w:spacing w:after="0" w:line="95"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“Security Agreement” means the Second Amended and Restated Security Agreement dated as of the Closing Date among the Loan Parties and the Agent.</w:t>
      </w:r>
    </w:p>
    <w:p>
      <w:pPr>
        <w:spacing w:after="0" w:line="121"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“Security Documents” means the Security Agreement, the Account Control Agreements, the Credit Card Notifications, and each other security agreement or other instrument or document executed and delivered to the Agent pursuant to this Agreement or any other Loan Document granting a Lien to secure any of the Obligations.</w:t>
      </w:r>
    </w:p>
    <w:p>
      <w:pPr>
        <w:spacing w:after="0" w:line="86"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 xml:space="preserve">“Settlement Date” has the meaning provided in </w:t>
      </w:r>
      <w:r>
        <w:rPr>
          <w:rFonts w:ascii="Arial" w:cs="Arial" w:eastAsia="Arial" w:hAnsi="Arial"/>
          <w:sz w:val="13"/>
          <w:szCs w:val="13"/>
          <w:u w:val="single" w:color="auto"/>
          <w:color w:val="auto"/>
        </w:rPr>
        <w:t>Section 2.14(a)</w:t>
      </w:r>
      <w:r>
        <w:rPr>
          <w:rFonts w:ascii="Arial" w:cs="Arial" w:eastAsia="Arial" w:hAnsi="Arial"/>
          <w:sz w:val="13"/>
          <w:szCs w:val="13"/>
          <w:color w:val="auto"/>
        </w:rPr>
        <w:t>.</w:t>
      </w:r>
    </w:p>
    <w:p>
      <w:pPr>
        <w:spacing w:after="0" w:line="295"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53" w:name="page54"/>
    <w:bookmarkEnd w:id="53"/>
    <w:p>
      <w:pPr>
        <w:ind w:left="1040"/>
        <w:spacing w:after="0"/>
        <w:rPr>
          <w:sz w:val="20"/>
          <w:szCs w:val="20"/>
          <w:color w:val="auto"/>
        </w:rPr>
      </w:pPr>
      <w:r>
        <w:rPr>
          <w:rFonts w:ascii="Arial" w:cs="Arial" w:eastAsia="Arial" w:hAnsi="Arial"/>
          <w:sz w:val="12"/>
          <w:szCs w:val="12"/>
          <w:color w:val="auto"/>
        </w:rPr>
        <w:t>“Shareholders’ Equity” means, as of any date of determination, consolidated shareholders’ equity of the Lead Borrower and its Subsidiaries as of that date determined in accordance with</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3"/>
          <w:szCs w:val="13"/>
          <w:color w:val="auto"/>
        </w:rPr>
        <w:t>GAAP.</w:t>
      </w:r>
    </w:p>
    <w:p>
      <w:pPr>
        <w:spacing w:after="0" w:line="111"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“Shrink” means Inventory which has been lost, misplaced, stolen, or is otherwise unaccounted for.</w:t>
      </w:r>
    </w:p>
    <w:p>
      <w:pPr>
        <w:spacing w:after="0" w:line="130" w:lineRule="exact"/>
        <w:rPr>
          <w:sz w:val="20"/>
          <w:szCs w:val="20"/>
          <w:color w:val="auto"/>
        </w:rPr>
      </w:pPr>
    </w:p>
    <w:p>
      <w:pPr>
        <w:jc w:val="both"/>
        <w:ind w:left="220" w:firstLine="808"/>
        <w:spacing w:after="0" w:line="274" w:lineRule="auto"/>
        <w:rPr>
          <w:sz w:val="20"/>
          <w:szCs w:val="20"/>
          <w:color w:val="auto"/>
        </w:rPr>
      </w:pPr>
      <w:r>
        <w:rPr>
          <w:rFonts w:ascii="Arial" w:cs="Arial" w:eastAsia="Arial" w:hAnsi="Arial"/>
          <w:sz w:val="12"/>
          <w:szCs w:val="12"/>
          <w:color w:val="auto"/>
        </w:rPr>
        <w:t>“Solvent” and “Solvency” means, with respect to any Person on a particular date, that on such date (a) at fair valuation, all of the properties and assets of such Person are greater than the sum of the debts, including contingent liabilities, of such Person, (b) the present fair saleable value of the properties and assets of such Person is not less than the amount that would be required to pay the probable liability of such Person on its debts as they become absolute and matured, (c) such Person is able to realize upon its properties and assets and pay its debts and other liabilities, contingent obligations and other commitments as they mature in the normal course of business, (d) such Person does not intend to, and does not believe that it will, incur debts beyond such Person’s ability to pay as such debts mature, and (e) such Person is not engaged in a business or a transaction, and is not about to engage in a business or transaction, for which such Person’s properties and assets would constitute unreasonably small capital after giving due consideration to the prevailing practices in the industry in which such Person is engaged. The amount of all guarantees at any time shall be computed as the amount that, in light of all the facts and circumstances existing at the time, can reasonably be expected to become an actual or matured liability.</w:t>
      </w:r>
    </w:p>
    <w:p>
      <w:pPr>
        <w:spacing w:after="0" w:line="86" w:lineRule="exact"/>
        <w:rPr>
          <w:sz w:val="20"/>
          <w:szCs w:val="20"/>
          <w:color w:val="auto"/>
        </w:rPr>
      </w:pPr>
    </w:p>
    <w:p>
      <w:pPr>
        <w:ind w:left="1040"/>
        <w:spacing w:after="0"/>
        <w:rPr>
          <w:sz w:val="20"/>
          <w:szCs w:val="20"/>
          <w:color w:val="auto"/>
        </w:rPr>
      </w:pPr>
      <w:r>
        <w:rPr>
          <w:rFonts w:ascii="Arial" w:cs="Arial" w:eastAsia="Arial" w:hAnsi="Arial"/>
          <w:sz w:val="12"/>
          <w:szCs w:val="12"/>
          <w:color w:val="auto"/>
        </w:rPr>
        <w:t xml:space="preserve">“Specified Loan Party” means any Loan Party that is not then an “eligible contract participant” under the Commodity Exchange Act (determined prior to giving effect to </w:t>
      </w:r>
      <w:r>
        <w:rPr>
          <w:rFonts w:ascii="Arial" w:cs="Arial" w:eastAsia="Arial" w:hAnsi="Arial"/>
          <w:sz w:val="12"/>
          <w:szCs w:val="12"/>
          <w:u w:val="single" w:color="auto"/>
          <w:color w:val="auto"/>
        </w:rPr>
        <w:t>Section 10.25</w:t>
      </w:r>
      <w:r>
        <w:rPr>
          <w:rFonts w:ascii="Arial" w:cs="Arial" w:eastAsia="Arial" w:hAnsi="Arial"/>
          <w:sz w:val="12"/>
          <w:szCs w:val="12"/>
          <w:color w:val="auto"/>
        </w:rPr>
        <w:t>).</w:t>
      </w:r>
    </w:p>
    <w:p>
      <w:pPr>
        <w:spacing w:after="0" w:line="132" w:lineRule="exact"/>
        <w:rPr>
          <w:sz w:val="20"/>
          <w:szCs w:val="20"/>
          <w:color w:val="auto"/>
        </w:rPr>
      </w:pPr>
    </w:p>
    <w:p>
      <w:pPr>
        <w:jc w:val="both"/>
        <w:ind w:left="220" w:firstLine="808"/>
        <w:spacing w:after="0" w:line="327" w:lineRule="auto"/>
        <w:rPr>
          <w:sz w:val="20"/>
          <w:szCs w:val="20"/>
          <w:color w:val="auto"/>
        </w:rPr>
      </w:pPr>
      <w:r>
        <w:rPr>
          <w:rFonts w:ascii="Arial" w:cs="Arial" w:eastAsia="Arial" w:hAnsi="Arial"/>
          <w:sz w:val="11"/>
          <w:szCs w:val="11"/>
          <w:color w:val="auto"/>
        </w:rPr>
        <w:t xml:space="preserve">“Spot Rate” for a currency means the rate determined by the Agent to be the rate quoted by the Person acting in such capacity as the spot rate for the purchase by such Person of such currency with another currency through its principal foreign exchange trading office at approximately 11:00 a.m. on the date two (2) Business Days prior to the date of such determination;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Agent may obtain such spot rate from another financial institution designated by the Agent if the Person acting in such capacity does not have as of the date of determination a spot buying rate for any such currency.</w:t>
      </w:r>
    </w:p>
    <w:p>
      <w:pPr>
        <w:spacing w:after="0" w:line="68" w:lineRule="exact"/>
        <w:rPr>
          <w:sz w:val="20"/>
          <w:szCs w:val="20"/>
          <w:color w:val="auto"/>
        </w:rPr>
      </w:pPr>
    </w:p>
    <w:p>
      <w:pPr>
        <w:jc w:val="both"/>
        <w:ind w:left="220" w:firstLine="808"/>
        <w:spacing w:after="0" w:line="290" w:lineRule="auto"/>
        <w:rPr>
          <w:sz w:val="20"/>
          <w:szCs w:val="20"/>
          <w:color w:val="auto"/>
        </w:rPr>
      </w:pPr>
      <w:r>
        <w:rPr>
          <w:rFonts w:ascii="Arial" w:cs="Arial" w:eastAsia="Arial" w:hAnsi="Arial"/>
          <w:sz w:val="12"/>
          <w:szCs w:val="12"/>
          <w:color w:val="auto"/>
        </w:rPr>
        <w:t>“Standby Letter of Credit” means any Letter of Credit that is not a Commercial Letter of Credit and that (a) is used in lieu or in support of performance guaranties or performance, surety or similar bonds (excluding appeal bonds) arising in the ordinary course of business, (b) is used in lieu or in support of stay or appeal bonds, (c) supports the payment of insurance premiums for reasonably necessary casualty insurance carried by any of the Loan Parties, or (d) supports payment or performance for identified purchases or exchanges of products or services in the ordinary course of business.</w:t>
      </w:r>
    </w:p>
    <w:p>
      <w:pPr>
        <w:spacing w:after="0" w:line="76"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“Stated Amount” means at any time the maximum amount for which a Letter of Credit may be honored.</w:t>
      </w:r>
    </w:p>
    <w:p>
      <w:pPr>
        <w:spacing w:after="0" w:line="121" w:lineRule="exact"/>
        <w:rPr>
          <w:sz w:val="20"/>
          <w:szCs w:val="20"/>
          <w:color w:val="auto"/>
        </w:rPr>
      </w:pPr>
    </w:p>
    <w:p>
      <w:pPr>
        <w:jc w:val="both"/>
        <w:ind w:left="220" w:firstLine="808"/>
        <w:spacing w:after="0" w:line="251" w:lineRule="auto"/>
        <w:rPr>
          <w:sz w:val="20"/>
          <w:szCs w:val="20"/>
          <w:color w:val="auto"/>
        </w:rPr>
      </w:pPr>
      <w:r>
        <w:rPr>
          <w:rFonts w:ascii="Arial" w:cs="Arial" w:eastAsia="Arial" w:hAnsi="Arial"/>
          <w:sz w:val="13"/>
          <w:szCs w:val="13"/>
          <w:color w:val="auto"/>
        </w:rPr>
        <w:t>“Statutory Reserve Rate” means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FRB to which the Agent is subject with respect to the Adjusted LIBOR Rate, for eurocurrency funding (currently referred to as “Eurocurrency Liabilities” in Regulation D of the Board). Such reserve percentages shall include those imposed pursuant to such Regulation D. LIBOR Rate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w:t>
      </w:r>
    </w:p>
    <w:p>
      <w:pPr>
        <w:spacing w:after="0" w:line="272"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54" w:name="page55"/>
    <w:bookmarkEnd w:id="54"/>
    <w:p>
      <w:pPr>
        <w:ind w:left="1040"/>
        <w:spacing w:after="0"/>
        <w:rPr>
          <w:sz w:val="20"/>
          <w:szCs w:val="20"/>
          <w:color w:val="auto"/>
        </w:rPr>
      </w:pPr>
      <w:r>
        <w:rPr>
          <w:rFonts w:ascii="Arial" w:cs="Arial" w:eastAsia="Arial" w:hAnsi="Arial"/>
          <w:sz w:val="12"/>
          <w:szCs w:val="12"/>
          <w:color w:val="auto"/>
        </w:rPr>
        <w:t>“Store” means any retail store (which may include any Real Estate, fixtures, Equipment, Inventory and other property related thereto) operated, or to be operated, by any Loan Party.</w:t>
      </w:r>
    </w:p>
    <w:p>
      <w:pPr>
        <w:spacing w:after="0" w:line="134" w:lineRule="exact"/>
        <w:rPr>
          <w:sz w:val="20"/>
          <w:szCs w:val="20"/>
          <w:color w:val="auto"/>
        </w:rPr>
      </w:pPr>
    </w:p>
    <w:p>
      <w:pPr>
        <w:jc w:val="both"/>
        <w:ind w:left="220" w:firstLine="808"/>
        <w:spacing w:after="0" w:line="290" w:lineRule="auto"/>
        <w:rPr>
          <w:sz w:val="20"/>
          <w:szCs w:val="20"/>
          <w:color w:val="auto"/>
        </w:rPr>
      </w:pPr>
      <w:r>
        <w:rPr>
          <w:rFonts w:ascii="Arial" w:cs="Arial" w:eastAsia="Arial" w:hAnsi="Arial"/>
          <w:sz w:val="12"/>
          <w:szCs w:val="12"/>
          <w:color w:val="auto"/>
        </w:rPr>
        <w:t>“Subsidiary” of a Person means a corporation, partnership, joint venture, limited liability company or other business entity of which a majority of the Equity Interests having ordinary voting power for the election of directors or other governing body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a Loan Party.</w:t>
      </w:r>
    </w:p>
    <w:p>
      <w:pPr>
        <w:spacing w:after="0" w:line="85" w:lineRule="exact"/>
        <w:rPr>
          <w:sz w:val="20"/>
          <w:szCs w:val="20"/>
          <w:color w:val="auto"/>
        </w:rPr>
      </w:pPr>
    </w:p>
    <w:p>
      <w:pPr>
        <w:jc w:val="both"/>
        <w:ind w:left="220" w:firstLine="808"/>
        <w:spacing w:after="0" w:line="295" w:lineRule="auto"/>
        <w:rPr>
          <w:sz w:val="20"/>
          <w:szCs w:val="20"/>
          <w:color w:val="auto"/>
        </w:rPr>
      </w:pPr>
      <w:r>
        <w:rPr>
          <w:rFonts w:ascii="Arial" w:cs="Arial" w:eastAsia="Arial" w:hAnsi="Arial"/>
          <w:sz w:val="11"/>
          <w:szCs w:val="11"/>
          <w:color w:val="auto"/>
        </w:rPr>
        <w:t>“Swap Contract”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w:t>
      </w:r>
    </w:p>
    <w:p>
      <w:pPr>
        <w:spacing w:after="0" w:line="1" w:lineRule="exact"/>
        <w:rPr>
          <w:sz w:val="20"/>
          <w:szCs w:val="20"/>
          <w:color w:val="auto"/>
        </w:rPr>
      </w:pPr>
    </w:p>
    <w:p>
      <w:pPr>
        <w:jc w:val="both"/>
        <w:ind w:left="220" w:firstLine="5"/>
        <w:spacing w:after="0" w:line="250" w:lineRule="auto"/>
        <w:tabs>
          <w:tab w:leader="none" w:pos="407" w:val="left"/>
        </w:tabs>
        <w:numPr>
          <w:ilvl w:val="0"/>
          <w:numId w:val="45"/>
        </w:numPr>
        <w:rPr>
          <w:rFonts w:ascii="Arial" w:cs="Arial" w:eastAsia="Arial" w:hAnsi="Arial"/>
          <w:sz w:val="13"/>
          <w:szCs w:val="13"/>
          <w:color w:val="auto"/>
        </w:rPr>
      </w:pPr>
      <w:r>
        <w:rPr>
          <w:rFonts w:ascii="Arial" w:cs="Arial" w:eastAsia="Arial" w:hAnsi="Arial"/>
          <w:sz w:val="13"/>
          <w:szCs w:val="13"/>
          <w:color w:val="auto"/>
        </w:rPr>
        <w:t>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“Master Agreement”), including any such obligations or liabilities under any Master Agreement.</w:t>
      </w:r>
    </w:p>
    <w:p>
      <w:pPr>
        <w:spacing w:after="0" w:line="99"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“Swap Obligations” means with respect to any Loan Party any obligation to pay or perform under any agreement, contract or transaction that constitutes a “swap” within the meaning of Section 1a(47) of the Commodity Exchange Act.</w:t>
      </w:r>
    </w:p>
    <w:p>
      <w:pPr>
        <w:spacing w:after="0" w:line="86" w:lineRule="exact"/>
        <w:rPr>
          <w:sz w:val="20"/>
          <w:szCs w:val="20"/>
          <w:color w:val="auto"/>
        </w:rPr>
      </w:pPr>
    </w:p>
    <w:p>
      <w:pPr>
        <w:jc w:val="both"/>
        <w:ind w:left="220" w:firstLine="808"/>
        <w:spacing w:after="0" w:line="254" w:lineRule="auto"/>
        <w:rPr>
          <w:sz w:val="20"/>
          <w:szCs w:val="20"/>
          <w:color w:val="auto"/>
        </w:rPr>
      </w:pPr>
      <w:r>
        <w:rPr>
          <w:rFonts w:ascii="Arial" w:cs="Arial" w:eastAsia="Arial" w:hAnsi="Arial"/>
          <w:sz w:val="13"/>
          <w:szCs w:val="13"/>
          <w:color w:val="auto"/>
        </w:rPr>
        <w:t>“Swap Termination Value”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06"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 xml:space="preserve">“Swing Line Borrowing” means a borrowing of a Swing Line Loan pursuant to </w:t>
      </w:r>
      <w:r>
        <w:rPr>
          <w:rFonts w:ascii="Arial" w:cs="Arial" w:eastAsia="Arial" w:hAnsi="Arial"/>
          <w:sz w:val="13"/>
          <w:szCs w:val="13"/>
          <w:u w:val="single" w:color="auto"/>
          <w:color w:val="auto"/>
        </w:rPr>
        <w:t>Section 2.04</w:t>
      </w:r>
      <w:r>
        <w:rPr>
          <w:rFonts w:ascii="Arial" w:cs="Arial" w:eastAsia="Arial" w:hAnsi="Arial"/>
          <w:sz w:val="13"/>
          <w:szCs w:val="13"/>
          <w:color w:val="auto"/>
        </w:rPr>
        <w:t>.</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“Swing Line Lender” means Bank of America, in its capacity as provider of Swing Line Loans, or any successor swing line lender hereunder.</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 xml:space="preserve">“Swing Line Loan” has the meaning specified in </w:t>
      </w:r>
      <w:r>
        <w:rPr>
          <w:rFonts w:ascii="Arial" w:cs="Arial" w:eastAsia="Arial" w:hAnsi="Arial"/>
          <w:sz w:val="13"/>
          <w:szCs w:val="13"/>
          <w:u w:val="single" w:color="auto"/>
          <w:color w:val="auto"/>
        </w:rPr>
        <w:t>Section 2.04(a)</w:t>
      </w:r>
      <w:r>
        <w:rPr>
          <w:rFonts w:ascii="Arial" w:cs="Arial" w:eastAsia="Arial" w:hAnsi="Arial"/>
          <w:sz w:val="13"/>
          <w:szCs w:val="13"/>
          <w:color w:val="auto"/>
        </w:rPr>
        <w:t>.</w:t>
      </w:r>
    </w:p>
    <w:p>
      <w:pPr>
        <w:spacing w:after="0" w:line="130"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 xml:space="preserve">“Swing Line Loan Notice” means a notice of a Swing Line Borrowing pursuant to </w:t>
      </w:r>
      <w:r>
        <w:rPr>
          <w:rFonts w:ascii="Arial" w:cs="Arial" w:eastAsia="Arial" w:hAnsi="Arial"/>
          <w:sz w:val="13"/>
          <w:szCs w:val="13"/>
          <w:u w:val="single" w:color="auto"/>
          <w:color w:val="auto"/>
        </w:rPr>
        <w:t>Section 2.04(b)</w:t>
      </w:r>
      <w:r>
        <w:rPr>
          <w:rFonts w:ascii="Arial" w:cs="Arial" w:eastAsia="Arial" w:hAnsi="Arial"/>
          <w:sz w:val="13"/>
          <w:szCs w:val="13"/>
          <w:color w:val="auto"/>
        </w:rPr>
        <w:t>, which, if in writing, shall be substantially in the form of Exhibit B.</w:t>
      </w:r>
    </w:p>
    <w:p>
      <w:pPr>
        <w:spacing w:after="0" w:line="121"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“Swing Line Note” means the promissory note of the Borrowers substantially in the form of Exhibit C-2, payable to the order of the Swing Line Lender, evidencing the Swing Line Loans made by the Swing Line Lender.</w:t>
      </w:r>
    </w:p>
    <w:p>
      <w:pPr>
        <w:spacing w:after="0" w:line="260"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55" w:name="page56"/>
    <w:bookmarkEnd w:id="55"/>
    <w:p>
      <w:pPr>
        <w:jc w:val="both"/>
        <w:ind w:left="220" w:firstLine="808"/>
        <w:spacing w:after="0" w:line="255" w:lineRule="auto"/>
        <w:rPr>
          <w:sz w:val="20"/>
          <w:szCs w:val="20"/>
          <w:color w:val="auto"/>
        </w:rPr>
      </w:pPr>
      <w:r>
        <w:rPr>
          <w:rFonts w:ascii="Arial" w:cs="Arial" w:eastAsia="Arial" w:hAnsi="Arial"/>
          <w:sz w:val="13"/>
          <w:szCs w:val="13"/>
          <w:color w:val="auto"/>
        </w:rPr>
        <w:t>“Swing Line Sublimit” means an amount equal to the lesser of (a) $15,000,000 and (b) the Aggregate Revolving Commitments. The Swing Line Sublimit is part of, and not in addition to, the Aggregate Revolving Commitments. A permanent reduction of the Aggregate Revolving Commitments shall not require a corresponding pro rata reduction in the Swing Line Sublimit; provided, however, that if the Aggregate Revolving Commitments are reduced to an amount less than the Swing Line Sublimit, then the Swing Line Sublimit shall be reduced to an amount equal to (or, at Lead Borrower’s option, less than) the Aggregate Revolving Commitments.</w:t>
      </w:r>
    </w:p>
    <w:p>
      <w:pPr>
        <w:spacing w:after="0" w:line="96"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“Syndication Agent” means Wells Fargo Bank, National Association.</w:t>
      </w:r>
    </w:p>
    <w:p>
      <w:pPr>
        <w:spacing w:after="0" w:line="130" w:lineRule="exact"/>
        <w:rPr>
          <w:sz w:val="20"/>
          <w:szCs w:val="20"/>
          <w:color w:val="auto"/>
        </w:rPr>
      </w:pPr>
    </w:p>
    <w:p>
      <w:pPr>
        <w:jc w:val="both"/>
        <w:ind w:left="220" w:firstLine="808"/>
        <w:spacing w:after="0" w:line="258" w:lineRule="auto"/>
        <w:rPr>
          <w:sz w:val="20"/>
          <w:szCs w:val="20"/>
          <w:color w:val="auto"/>
        </w:rPr>
      </w:pPr>
      <w:r>
        <w:rPr>
          <w:rFonts w:ascii="Arial" w:cs="Arial" w:eastAsia="Arial" w:hAnsi="Arial"/>
          <w:sz w:val="13"/>
          <w:szCs w:val="13"/>
          <w:color w:val="auto"/>
        </w:rPr>
        <w:t>“Synthetic Lease Obligation” means the monetary obligation of a Person under (a) a so-called synthetic, off-balance sheet or tax retention lease, or (b) 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94"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“Taxes”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86" w:lineRule="exact"/>
        <w:rPr>
          <w:sz w:val="20"/>
          <w:szCs w:val="20"/>
          <w:color w:val="auto"/>
        </w:rPr>
      </w:pPr>
    </w:p>
    <w:p>
      <w:pPr>
        <w:jc w:val="both"/>
        <w:ind w:left="220" w:firstLine="808"/>
        <w:spacing w:after="0" w:line="258" w:lineRule="auto"/>
        <w:rPr>
          <w:sz w:val="20"/>
          <w:szCs w:val="20"/>
          <w:color w:val="auto"/>
        </w:rPr>
      </w:pPr>
      <w:r>
        <w:rPr>
          <w:rFonts w:ascii="Arial" w:cs="Arial" w:eastAsia="Arial" w:hAnsi="Arial"/>
          <w:sz w:val="13"/>
          <w:szCs w:val="13"/>
          <w:color w:val="auto"/>
        </w:rPr>
        <w:t xml:space="preserve">“Termination Date” means the earliest to occur of (i) the Maturity Date, (ii) the date on which the maturity of the Obligations is accelerated (or deemed accelerated) and the Aggregate Revolving Commitments are irrevocably terminated (or deemed terminated) in accordance with </w:t>
      </w:r>
      <w:r>
        <w:rPr>
          <w:rFonts w:ascii="Arial" w:cs="Arial" w:eastAsia="Arial" w:hAnsi="Arial"/>
          <w:sz w:val="13"/>
          <w:szCs w:val="13"/>
          <w:u w:val="single" w:color="auto"/>
          <w:color w:val="auto"/>
        </w:rPr>
        <w:t>Article VIII</w:t>
      </w:r>
      <w:r>
        <w:rPr>
          <w:rFonts w:ascii="Arial" w:cs="Arial" w:eastAsia="Arial" w:hAnsi="Arial"/>
          <w:sz w:val="13"/>
          <w:szCs w:val="13"/>
          <w:color w:val="auto"/>
        </w:rPr>
        <w:t xml:space="preserve">, or (iii) the termination of the Aggregate Revolving Commitments in accordance with the provisions of </w:t>
      </w:r>
      <w:r>
        <w:rPr>
          <w:rFonts w:ascii="Arial" w:cs="Arial" w:eastAsia="Arial" w:hAnsi="Arial"/>
          <w:sz w:val="13"/>
          <w:szCs w:val="13"/>
          <w:u w:val="single" w:color="auto"/>
          <w:color w:val="auto"/>
        </w:rPr>
        <w:t>Section 2.06</w:t>
      </w:r>
      <w:r>
        <w:rPr>
          <w:rFonts w:ascii="Arial" w:cs="Arial" w:eastAsia="Arial" w:hAnsi="Arial"/>
          <w:sz w:val="13"/>
          <w:szCs w:val="13"/>
          <w:color w:val="auto"/>
        </w:rPr>
        <w:t xml:space="preserve"> hereof.</w:t>
      </w:r>
    </w:p>
    <w:p>
      <w:pPr>
        <w:spacing w:after="0" w:line="103"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“Total Outstandings” means the aggregate Outstanding Amount of all Loans and all L/C Obligations.</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“Total Revolving Outstandings” means the aggregate Outstanding Amount of all Committed Loans, Swing Line Loans and all L/C Obligations.</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 xml:space="preserve">“Trademark” has the meaning specified in the Security Agreement. “Trading with the Enemy Act” has the meaning set forth in </w:t>
      </w:r>
      <w:r>
        <w:rPr>
          <w:rFonts w:ascii="Arial" w:cs="Arial" w:eastAsia="Arial" w:hAnsi="Arial"/>
          <w:sz w:val="13"/>
          <w:szCs w:val="13"/>
          <w:u w:val="single" w:color="auto"/>
          <w:color w:val="auto"/>
        </w:rPr>
        <w:t>Section 10.18</w:t>
      </w:r>
      <w:r>
        <w:rPr>
          <w:rFonts w:ascii="Arial" w:cs="Arial" w:eastAsia="Arial" w:hAnsi="Arial"/>
          <w:sz w:val="13"/>
          <w:szCs w:val="13"/>
          <w:color w:val="auto"/>
        </w:rPr>
        <w:t>.</w:t>
      </w:r>
    </w:p>
    <w:p>
      <w:pPr>
        <w:spacing w:after="0" w:line="130"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“Type” means, with respect to a Committed Loan or the outstanding portion of the FILO Loan, its character as a Base Rate Loan or a LIBOR Rate Loan.</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“UCC” or “Uniform Commercial Code” shall have the meaning given to such term in the Security Agreement.</w:t>
      </w:r>
    </w:p>
    <w:p>
      <w:pPr>
        <w:spacing w:after="0" w:line="121"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“UCP 600” means, with respect to any Letter of Credit, the Uniform Customs and Practice for Documentary Credits, International Chamber of Commerce (“ICC”) Publication No. 600 (or such later version thereof as may be in effect at the time of issuance).</w:t>
      </w:r>
    </w:p>
    <w:p>
      <w:pPr>
        <w:spacing w:after="0" w:line="95"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 xml:space="preserve">“UFCA” has the meaning specified in </w:t>
      </w:r>
      <w:r>
        <w:rPr>
          <w:rFonts w:ascii="Arial" w:cs="Arial" w:eastAsia="Arial" w:hAnsi="Arial"/>
          <w:sz w:val="13"/>
          <w:szCs w:val="13"/>
          <w:u w:val="single" w:color="auto"/>
          <w:color w:val="auto"/>
        </w:rPr>
        <w:t>Section 10.21(c)</w:t>
      </w:r>
      <w:r>
        <w:rPr>
          <w:rFonts w:ascii="Arial" w:cs="Arial" w:eastAsia="Arial" w:hAnsi="Arial"/>
          <w:sz w:val="13"/>
          <w:szCs w:val="13"/>
          <w:color w:val="auto"/>
        </w:rPr>
        <w:t>.</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 xml:space="preserve">“UFTA” has the meaning specified in </w:t>
      </w:r>
      <w:r>
        <w:rPr>
          <w:rFonts w:ascii="Arial" w:cs="Arial" w:eastAsia="Arial" w:hAnsi="Arial"/>
          <w:sz w:val="13"/>
          <w:szCs w:val="13"/>
          <w:u w:val="single" w:color="auto"/>
          <w:color w:val="auto"/>
        </w:rPr>
        <w:t>Section 10.21(c)</w:t>
      </w:r>
      <w:r>
        <w:rPr>
          <w:rFonts w:ascii="Arial" w:cs="Arial" w:eastAsia="Arial" w:hAnsi="Arial"/>
          <w:sz w:val="13"/>
          <w:szCs w:val="13"/>
          <w:color w:val="auto"/>
        </w:rPr>
        <w:t>.</w:t>
      </w:r>
    </w:p>
    <w:p>
      <w:pPr>
        <w:spacing w:after="0" w:line="295"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56" w:name="page57"/>
    <w:bookmarkEnd w:id="56"/>
    <w:p>
      <w:pPr>
        <w:jc w:val="both"/>
        <w:ind w:left="220" w:firstLine="808"/>
        <w:spacing w:after="0" w:line="259" w:lineRule="auto"/>
        <w:rPr>
          <w:sz w:val="20"/>
          <w:szCs w:val="20"/>
          <w:color w:val="auto"/>
        </w:rPr>
      </w:pPr>
      <w:r>
        <w:rPr>
          <w:rFonts w:ascii="Arial" w:cs="Arial" w:eastAsia="Arial" w:hAnsi="Arial"/>
          <w:sz w:val="13"/>
          <w:szCs w:val="13"/>
          <w:color w:val="auto"/>
        </w:rPr>
        <w:t>“Unintentional Overadvance” means an Overadvance which, to the Agent’s knowledge, did not constitute an Overadvance when made but which has become an Overadvance resulting from changed circumstances beyond the control of the Credit Parties, including, without limitation, a reduction in the Appraised Value of property or assets included in the Borrowing Base or the FILO Borrowing Base or misrepresentation by the Loan Parties.</w:t>
      </w:r>
    </w:p>
    <w:p>
      <w:pPr>
        <w:spacing w:after="0" w:line="94"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“United States” and “U.S.” mean the United States of America.</w:t>
      </w:r>
    </w:p>
    <w:p>
      <w:pPr>
        <w:spacing w:after="0" w:line="130"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 xml:space="preserve">“Unreimbursed Amount” has the meaning specified in </w:t>
      </w:r>
      <w:r>
        <w:rPr>
          <w:rFonts w:ascii="Arial" w:cs="Arial" w:eastAsia="Arial" w:hAnsi="Arial"/>
          <w:sz w:val="13"/>
          <w:szCs w:val="13"/>
          <w:u w:val="single" w:color="auto"/>
          <w:color w:val="auto"/>
        </w:rPr>
        <w:t>Section 2.03(c)(i)</w:t>
      </w:r>
      <w:r>
        <w:rPr>
          <w:rFonts w:ascii="Arial" w:cs="Arial" w:eastAsia="Arial" w:hAnsi="Arial"/>
          <w:sz w:val="13"/>
          <w:szCs w:val="13"/>
          <w:color w:val="auto"/>
        </w:rPr>
        <w:t>.</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“U.S. Person” means any Person that is a “United States Person” as defined in Section 7701(a)(30) of the Code.</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 xml:space="preserve">“U.S. Tax Compliance Certificate” has the meaning specified in </w:t>
      </w:r>
      <w:r>
        <w:rPr>
          <w:rFonts w:ascii="Arial" w:cs="Arial" w:eastAsia="Arial" w:hAnsi="Arial"/>
          <w:sz w:val="13"/>
          <w:szCs w:val="13"/>
          <w:u w:val="single" w:color="auto"/>
          <w:color w:val="auto"/>
        </w:rPr>
        <w:t>Section 3.01(e)(ii)(B)(III)</w:t>
      </w:r>
      <w:r>
        <w:rPr>
          <w:rFonts w:ascii="Arial" w:cs="Arial" w:eastAsia="Arial" w:hAnsi="Arial"/>
          <w:sz w:val="13"/>
          <w:szCs w:val="13"/>
          <w:color w:val="auto"/>
        </w:rPr>
        <w:t>.</w:t>
      </w:r>
    </w:p>
    <w:p>
      <w:pPr>
        <w:spacing w:after="0" w:line="130"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“Write-Down and Conversion Powers”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09"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3"/>
          <w:szCs w:val="13"/>
          <w:b w:val="1"/>
          <w:bCs w:val="1"/>
          <w:color w:val="auto"/>
        </w:rPr>
        <w:t>1.02</w:t>
      </w:r>
      <w:r>
        <w:rPr>
          <w:sz w:val="20"/>
          <w:szCs w:val="20"/>
          <w:color w:val="auto"/>
        </w:rPr>
        <w:tab/>
      </w:r>
      <w:r>
        <w:rPr>
          <w:rFonts w:ascii="Arial" w:cs="Arial" w:eastAsia="Arial" w:hAnsi="Arial"/>
          <w:sz w:val="11"/>
          <w:szCs w:val="11"/>
          <w:b w:val="1"/>
          <w:bCs w:val="1"/>
          <w:color w:val="auto"/>
        </w:rPr>
        <w:t>Other Interpretive Provisions</w:t>
      </w:r>
      <w:r>
        <w:rPr>
          <w:rFonts w:ascii="Arial" w:cs="Arial" w:eastAsia="Arial" w:hAnsi="Arial"/>
          <w:sz w:val="11"/>
          <w:szCs w:val="11"/>
          <w:color w:val="auto"/>
        </w:rPr>
        <w:t>. With reference to this Agreement and each other Loan Document, unless otherwise specified herein or in such other Loan Document:</w:t>
      </w:r>
    </w:p>
    <w:p>
      <w:pPr>
        <w:spacing w:after="0" w:line="152" w:lineRule="exact"/>
        <w:rPr>
          <w:sz w:val="20"/>
          <w:szCs w:val="20"/>
          <w:color w:val="auto"/>
        </w:rPr>
      </w:pPr>
    </w:p>
    <w:p>
      <w:pPr>
        <w:jc w:val="both"/>
        <w:ind w:left="1080" w:firstLine="739"/>
        <w:spacing w:after="0" w:line="271" w:lineRule="auto"/>
        <w:tabs>
          <w:tab w:leader="none" w:pos="2403"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Arial" w:cs="Arial" w:eastAsia="Arial" w:hAnsi="Arial"/>
          <w:sz w:val="12"/>
          <w:szCs w:val="12"/>
          <w:u w:val="single" w:color="auto"/>
          <w:color w:val="auto"/>
        </w:rPr>
        <w:t>include</w:t>
      </w:r>
      <w:r>
        <w:rPr>
          <w:rFonts w:ascii="Arial" w:cs="Arial" w:eastAsia="Arial" w:hAnsi="Arial"/>
          <w:sz w:val="12"/>
          <w:szCs w:val="12"/>
          <w:color w:val="auto"/>
        </w:rPr>
        <w:t>,” “</w:t>
      </w:r>
      <w:r>
        <w:rPr>
          <w:rFonts w:ascii="Arial" w:cs="Arial" w:eastAsia="Arial" w:hAnsi="Arial"/>
          <w:sz w:val="12"/>
          <w:szCs w:val="12"/>
          <w:u w:val="single" w:color="auto"/>
          <w:color w:val="auto"/>
        </w:rPr>
        <w:t>includes</w:t>
      </w:r>
      <w:r>
        <w:rPr>
          <w:rFonts w:ascii="Arial" w:cs="Arial" w:eastAsia="Arial" w:hAnsi="Arial"/>
          <w:sz w:val="12"/>
          <w:szCs w:val="12"/>
          <w:color w:val="auto"/>
        </w:rPr>
        <w:t>” and “</w:t>
      </w:r>
      <w:r>
        <w:rPr>
          <w:rFonts w:ascii="Arial" w:cs="Arial" w:eastAsia="Arial" w:hAnsi="Arial"/>
          <w:sz w:val="12"/>
          <w:szCs w:val="12"/>
          <w:u w:val="single" w:color="auto"/>
          <w:color w:val="auto"/>
        </w:rPr>
        <w:t>including</w:t>
      </w:r>
      <w:r>
        <w:rPr>
          <w:rFonts w:ascii="Arial" w:cs="Arial" w:eastAsia="Arial" w:hAnsi="Arial"/>
          <w:sz w:val="12"/>
          <w:szCs w:val="12"/>
          <w:color w:val="auto"/>
        </w:rPr>
        <w:t>” shall be deemed to be followed by the phrase “without limitation.” The word “</w:t>
      </w:r>
      <w:r>
        <w:rPr>
          <w:rFonts w:ascii="Arial" w:cs="Arial" w:eastAsia="Arial" w:hAnsi="Arial"/>
          <w:sz w:val="12"/>
          <w:szCs w:val="12"/>
          <w:u w:val="single" w:color="auto"/>
          <w:color w:val="auto"/>
        </w:rPr>
        <w:t>will</w:t>
      </w:r>
      <w:r>
        <w:rPr>
          <w:rFonts w:ascii="Arial" w:cs="Arial" w:eastAsia="Arial" w:hAnsi="Arial"/>
          <w:sz w:val="12"/>
          <w:szCs w:val="12"/>
          <w:color w:val="auto"/>
        </w:rPr>
        <w:t>” shall be construed to have the same meaning and effect as the word “</w:t>
      </w:r>
      <w:r>
        <w:rPr>
          <w:rFonts w:ascii="Arial" w:cs="Arial" w:eastAsia="Arial" w:hAnsi="Arial"/>
          <w:sz w:val="12"/>
          <w:szCs w:val="12"/>
          <w:u w:val="single" w:color="auto"/>
          <w:color w:val="auto"/>
        </w:rPr>
        <w:t>shall</w:t>
      </w:r>
      <w:r>
        <w:rPr>
          <w:rFonts w:ascii="Arial" w:cs="Arial" w:eastAsia="Arial" w:hAnsi="Arial"/>
          <w:sz w:val="12"/>
          <w:szCs w:val="12"/>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Arial" w:cs="Arial" w:eastAsia="Arial" w:hAnsi="Arial"/>
          <w:sz w:val="12"/>
          <w:szCs w:val="12"/>
          <w:u w:val="single" w:color="auto"/>
          <w:color w:val="auto"/>
        </w:rPr>
        <w:t>herein</w:t>
      </w:r>
      <w:r>
        <w:rPr>
          <w:rFonts w:ascii="Arial" w:cs="Arial" w:eastAsia="Arial" w:hAnsi="Arial"/>
          <w:sz w:val="12"/>
          <w:szCs w:val="12"/>
          <w:color w:val="auto"/>
        </w:rPr>
        <w:t>,” “</w:t>
      </w:r>
      <w:r>
        <w:rPr>
          <w:rFonts w:ascii="Arial" w:cs="Arial" w:eastAsia="Arial" w:hAnsi="Arial"/>
          <w:sz w:val="12"/>
          <w:szCs w:val="12"/>
          <w:u w:val="single" w:color="auto"/>
          <w:color w:val="auto"/>
        </w:rPr>
        <w:t>hereof</w:t>
      </w:r>
      <w:r>
        <w:rPr>
          <w:rFonts w:ascii="Arial" w:cs="Arial" w:eastAsia="Arial" w:hAnsi="Arial"/>
          <w:sz w:val="12"/>
          <w:szCs w:val="12"/>
          <w:color w:val="auto"/>
        </w:rPr>
        <w:t>” and “</w:t>
      </w:r>
      <w:r>
        <w:rPr>
          <w:rFonts w:ascii="Arial" w:cs="Arial" w:eastAsia="Arial" w:hAnsi="Arial"/>
          <w:sz w:val="12"/>
          <w:szCs w:val="12"/>
          <w:u w:val="single" w:color="auto"/>
          <w:color w:val="auto"/>
        </w:rPr>
        <w:t>hereunder</w:t>
      </w:r>
      <w:r>
        <w:rPr>
          <w:rFonts w:ascii="Arial" w:cs="Arial" w:eastAsia="Arial" w:hAnsi="Arial"/>
          <w:sz w:val="12"/>
          <w:szCs w:val="12"/>
          <w:color w:val="auto"/>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rules, regulations, orders and provisions consolidating, amending, replacing or interpreting such law and any reference to any law or regulation shall, unless otherwise specified, refer to such law or regulation as amended, modified or supplemented from time to time, and (vi) the words “</w:t>
      </w:r>
      <w:r>
        <w:rPr>
          <w:rFonts w:ascii="Arial" w:cs="Arial" w:eastAsia="Arial" w:hAnsi="Arial"/>
          <w:sz w:val="12"/>
          <w:szCs w:val="12"/>
          <w:u w:val="single" w:color="auto"/>
          <w:color w:val="auto"/>
        </w:rPr>
        <w:t>asset</w:t>
      </w:r>
      <w:r>
        <w:rPr>
          <w:rFonts w:ascii="Arial" w:cs="Arial" w:eastAsia="Arial" w:hAnsi="Arial"/>
          <w:sz w:val="12"/>
          <w:szCs w:val="12"/>
          <w:color w:val="auto"/>
        </w:rPr>
        <w:t>” and “</w:t>
      </w:r>
      <w:r>
        <w:rPr>
          <w:rFonts w:ascii="Arial" w:cs="Arial" w:eastAsia="Arial" w:hAnsi="Arial"/>
          <w:sz w:val="12"/>
          <w:szCs w:val="12"/>
          <w:u w:val="single" w:color="auto"/>
          <w:color w:val="auto"/>
        </w:rPr>
        <w:t>property</w:t>
      </w:r>
      <w:r>
        <w:rPr>
          <w:rFonts w:ascii="Arial" w:cs="Arial" w:eastAsia="Arial" w:hAnsi="Arial"/>
          <w:sz w:val="12"/>
          <w:szCs w:val="12"/>
          <w:color w:val="auto"/>
        </w:rPr>
        <w:t>” shall be construed to have the same meaning and effect and to refer to any and all tangible and intangible assets and properties, including cash, securities, accounts and contract rights.</w:t>
      </w:r>
    </w:p>
    <w:p>
      <w:pPr>
        <w:spacing w:after="0" w:line="114" w:lineRule="exact"/>
        <w:rPr>
          <w:rFonts w:ascii="Arial" w:cs="Arial" w:eastAsia="Arial" w:hAnsi="Arial"/>
          <w:sz w:val="12"/>
          <w:szCs w:val="12"/>
          <w:color w:val="auto"/>
        </w:rPr>
      </w:pPr>
    </w:p>
    <w:p>
      <w:pPr>
        <w:ind w:left="1080" w:firstLine="739"/>
        <w:spacing w:after="0" w:line="271" w:lineRule="auto"/>
        <w:tabs>
          <w:tab w:leader="none" w:pos="2410" w:val="left"/>
        </w:tabs>
        <w:numPr>
          <w:ilvl w:val="0"/>
          <w:numId w:val="46"/>
        </w:numPr>
        <w:rPr>
          <w:rFonts w:ascii="Arial" w:cs="Arial" w:eastAsia="Arial" w:hAnsi="Arial"/>
          <w:sz w:val="13"/>
          <w:szCs w:val="13"/>
          <w:color w:val="auto"/>
        </w:rPr>
      </w:pPr>
      <w:r>
        <w:rPr>
          <w:rFonts w:ascii="Arial" w:cs="Arial" w:eastAsia="Arial" w:hAnsi="Arial"/>
          <w:sz w:val="13"/>
          <w:szCs w:val="13"/>
          <w:color w:val="auto"/>
        </w:rPr>
        <w:t>In the computation of periods of time from a specified date to a later specified date, the word “</w:t>
      </w:r>
      <w:r>
        <w:rPr>
          <w:rFonts w:ascii="Arial" w:cs="Arial" w:eastAsia="Arial" w:hAnsi="Arial"/>
          <w:sz w:val="13"/>
          <w:szCs w:val="13"/>
          <w:u w:val="single" w:color="auto"/>
          <w:color w:val="auto"/>
        </w:rPr>
        <w:t>from</w:t>
      </w:r>
      <w:r>
        <w:rPr>
          <w:rFonts w:ascii="Arial" w:cs="Arial" w:eastAsia="Arial" w:hAnsi="Arial"/>
          <w:sz w:val="13"/>
          <w:szCs w:val="13"/>
          <w:color w:val="auto"/>
        </w:rPr>
        <w:t>” means “</w:t>
      </w:r>
      <w:r>
        <w:rPr>
          <w:rFonts w:ascii="Arial" w:cs="Arial" w:eastAsia="Arial" w:hAnsi="Arial"/>
          <w:sz w:val="13"/>
          <w:szCs w:val="13"/>
          <w:u w:val="single" w:color="auto"/>
          <w:color w:val="auto"/>
        </w:rPr>
        <w:t>from and including</w:t>
      </w:r>
      <w:r>
        <w:rPr>
          <w:rFonts w:ascii="Arial" w:cs="Arial" w:eastAsia="Arial" w:hAnsi="Arial"/>
          <w:sz w:val="13"/>
          <w:szCs w:val="13"/>
          <w:color w:val="auto"/>
        </w:rPr>
        <w:t>;” the words “</w:t>
      </w:r>
      <w:r>
        <w:rPr>
          <w:rFonts w:ascii="Arial" w:cs="Arial" w:eastAsia="Arial" w:hAnsi="Arial"/>
          <w:sz w:val="13"/>
          <w:szCs w:val="13"/>
          <w:u w:val="single" w:color="auto"/>
          <w:color w:val="auto"/>
        </w:rPr>
        <w:t>to</w:t>
      </w:r>
      <w:r>
        <w:rPr>
          <w:rFonts w:ascii="Arial" w:cs="Arial" w:eastAsia="Arial" w:hAnsi="Arial"/>
          <w:sz w:val="13"/>
          <w:szCs w:val="13"/>
          <w:color w:val="auto"/>
        </w:rPr>
        <w:t>” and “</w:t>
      </w:r>
      <w:r>
        <w:rPr>
          <w:rFonts w:ascii="Arial" w:cs="Arial" w:eastAsia="Arial" w:hAnsi="Arial"/>
          <w:sz w:val="13"/>
          <w:szCs w:val="13"/>
          <w:u w:val="single" w:color="auto"/>
          <w:color w:val="auto"/>
        </w:rPr>
        <w:t>until</w:t>
      </w:r>
      <w:r>
        <w:rPr>
          <w:rFonts w:ascii="Arial" w:cs="Arial" w:eastAsia="Arial" w:hAnsi="Arial"/>
          <w:sz w:val="13"/>
          <w:szCs w:val="13"/>
          <w:color w:val="auto"/>
        </w:rPr>
        <w:t>” each mean “</w:t>
      </w:r>
      <w:r>
        <w:rPr>
          <w:rFonts w:ascii="Arial" w:cs="Arial" w:eastAsia="Arial" w:hAnsi="Arial"/>
          <w:sz w:val="13"/>
          <w:szCs w:val="13"/>
          <w:u w:val="single" w:color="auto"/>
          <w:color w:val="auto"/>
        </w:rPr>
        <w:t>to but excluding</w:t>
      </w:r>
      <w:r>
        <w:rPr>
          <w:rFonts w:ascii="Arial" w:cs="Arial" w:eastAsia="Arial" w:hAnsi="Arial"/>
          <w:sz w:val="13"/>
          <w:szCs w:val="13"/>
          <w:color w:val="auto"/>
        </w:rPr>
        <w:t>;” and the word “</w:t>
      </w:r>
      <w:r>
        <w:rPr>
          <w:rFonts w:ascii="Arial" w:cs="Arial" w:eastAsia="Arial" w:hAnsi="Arial"/>
          <w:sz w:val="13"/>
          <w:szCs w:val="13"/>
          <w:u w:val="single" w:color="auto"/>
          <w:color w:val="auto"/>
        </w:rPr>
        <w:t>through</w:t>
      </w:r>
      <w:r>
        <w:rPr>
          <w:rFonts w:ascii="Arial" w:cs="Arial" w:eastAsia="Arial" w:hAnsi="Arial"/>
          <w:sz w:val="13"/>
          <w:szCs w:val="13"/>
          <w:color w:val="auto"/>
        </w:rPr>
        <w:t>” means “</w:t>
      </w:r>
      <w:r>
        <w:rPr>
          <w:rFonts w:ascii="Arial" w:cs="Arial" w:eastAsia="Arial" w:hAnsi="Arial"/>
          <w:sz w:val="13"/>
          <w:szCs w:val="13"/>
          <w:u w:val="single" w:color="auto"/>
          <w:color w:val="auto"/>
        </w:rPr>
        <w:t>to and including</w:t>
      </w:r>
      <w:r>
        <w:rPr>
          <w:rFonts w:ascii="Arial" w:cs="Arial" w:eastAsia="Arial" w:hAnsi="Arial"/>
          <w:sz w:val="13"/>
          <w:szCs w:val="13"/>
          <w:color w:val="auto"/>
        </w:rPr>
        <w:t>.”</w:t>
      </w:r>
    </w:p>
    <w:p>
      <w:pPr>
        <w:spacing w:after="0" w:line="260"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57" w:name="page58"/>
    <w:bookmarkEnd w:id="57"/>
    <w:p>
      <w:pPr>
        <w:ind w:left="2400" w:hanging="581"/>
        <w:spacing w:after="0"/>
        <w:tabs>
          <w:tab w:leader="none" w:pos="2400" w:val="left"/>
        </w:tabs>
        <w:numPr>
          <w:ilvl w:val="0"/>
          <w:numId w:val="47"/>
        </w:numPr>
        <w:rPr>
          <w:rFonts w:ascii="Arial" w:cs="Arial" w:eastAsia="Arial" w:hAnsi="Arial"/>
          <w:sz w:val="11"/>
          <w:szCs w:val="11"/>
          <w:color w:val="auto"/>
        </w:rPr>
      </w:pPr>
      <w:r>
        <w:rPr>
          <w:rFonts w:ascii="Arial" w:cs="Arial" w:eastAsia="Arial" w:hAnsi="Arial"/>
          <w:sz w:val="11"/>
          <w:szCs w:val="11"/>
          <w:color w:val="auto"/>
        </w:rPr>
        <w:t>Section headings herein and in the other Loan Documents are included for convenience of reference only and shall not affect the interpretation of this Agreement or any</w:t>
      </w:r>
    </w:p>
    <w:p>
      <w:pPr>
        <w:spacing w:after="0" w:line="38" w:lineRule="exact"/>
        <w:rPr>
          <w:rFonts w:ascii="Arial" w:cs="Arial" w:eastAsia="Arial" w:hAnsi="Arial"/>
          <w:sz w:val="11"/>
          <w:szCs w:val="11"/>
          <w:color w:val="auto"/>
        </w:rPr>
      </w:pPr>
    </w:p>
    <w:p>
      <w:pPr>
        <w:ind w:left="1080"/>
        <w:spacing w:after="0"/>
        <w:rPr>
          <w:rFonts w:ascii="Arial" w:cs="Arial" w:eastAsia="Arial" w:hAnsi="Arial"/>
          <w:sz w:val="11"/>
          <w:szCs w:val="11"/>
          <w:color w:val="auto"/>
        </w:rPr>
      </w:pPr>
      <w:r>
        <w:rPr>
          <w:rFonts w:ascii="Arial" w:cs="Arial" w:eastAsia="Arial" w:hAnsi="Arial"/>
          <w:sz w:val="13"/>
          <w:szCs w:val="13"/>
          <w:color w:val="auto"/>
        </w:rPr>
        <w:t>other Loan Document.</w:t>
      </w:r>
    </w:p>
    <w:p>
      <w:pPr>
        <w:spacing w:after="0" w:line="137" w:lineRule="exact"/>
        <w:rPr>
          <w:rFonts w:ascii="Arial" w:cs="Arial" w:eastAsia="Arial" w:hAnsi="Arial"/>
          <w:sz w:val="11"/>
          <w:szCs w:val="11"/>
          <w:color w:val="auto"/>
        </w:rPr>
      </w:pPr>
    </w:p>
    <w:p>
      <w:pPr>
        <w:jc w:val="both"/>
        <w:ind w:left="1080" w:firstLine="739"/>
        <w:spacing w:after="0" w:line="275" w:lineRule="auto"/>
        <w:tabs>
          <w:tab w:leader="none" w:pos="2410" w:val="left"/>
        </w:tabs>
        <w:numPr>
          <w:ilvl w:val="0"/>
          <w:numId w:val="47"/>
        </w:numPr>
        <w:rPr>
          <w:rFonts w:ascii="Arial" w:cs="Arial" w:eastAsia="Arial" w:hAnsi="Arial"/>
          <w:sz w:val="12"/>
          <w:szCs w:val="12"/>
          <w:color w:val="auto"/>
        </w:rPr>
      </w:pPr>
      <w:r>
        <w:rPr>
          <w:rFonts w:ascii="Arial" w:cs="Arial" w:eastAsia="Arial" w:hAnsi="Arial"/>
          <w:sz w:val="12"/>
          <w:szCs w:val="12"/>
          <w:color w:val="auto"/>
        </w:rPr>
        <w:t>Any reference herein or in any other Loan Document to the satisfaction, repayment, or payment in full of the Obligations shall mean the repayment in Dollars in full in cash or immediately available funds (or, in the case of contingent reimbursement obligations with respect to Letters of Credit and Bank Products (other than Swap Contracts), providing Cash Collateralization) of all of the Obligations (including the payment of any termination amount then applicable (or which would or could become applicable as a result of the repayment of the other Obligations) under Swap Contracts) other than (i) unasserted contingent indemnification Obligations, (ii) any Obligations relating to Bank Products (including Swap Contracts) that, at such time, are allowed by the applicable Bank Product provider to remain outstanding without being required to be repaid or Cash Collateralized, and (iii) any Obligations relating to Cash Management Services that, at such time, are allowed by the applicable provider of such Cash Management Services to remain outstanding without being required to be repaid.</w:t>
      </w:r>
    </w:p>
    <w:p>
      <w:pPr>
        <w:spacing w:after="0" w:line="110"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3"/>
          <w:szCs w:val="13"/>
          <w:b w:val="1"/>
          <w:bCs w:val="1"/>
          <w:color w:val="auto"/>
        </w:rPr>
        <w:t>1.03</w:t>
      </w:r>
      <w:r>
        <w:rPr>
          <w:sz w:val="20"/>
          <w:szCs w:val="20"/>
          <w:color w:val="auto"/>
        </w:rPr>
        <w:tab/>
      </w:r>
      <w:r>
        <w:rPr>
          <w:rFonts w:ascii="Arial" w:cs="Arial" w:eastAsia="Arial" w:hAnsi="Arial"/>
          <w:sz w:val="11"/>
          <w:szCs w:val="11"/>
          <w:b w:val="1"/>
          <w:bCs w:val="1"/>
          <w:color w:val="auto"/>
        </w:rPr>
        <w:t>Accounting Terms</w:t>
      </w:r>
    </w:p>
    <w:p>
      <w:pPr>
        <w:spacing w:after="0" w:line="152" w:lineRule="exact"/>
        <w:rPr>
          <w:sz w:val="20"/>
          <w:szCs w:val="20"/>
          <w:color w:val="auto"/>
        </w:rPr>
      </w:pPr>
    </w:p>
    <w:p>
      <w:pPr>
        <w:jc w:val="both"/>
        <w:ind w:left="1080" w:firstLine="739"/>
        <w:spacing w:after="0" w:line="258" w:lineRule="auto"/>
        <w:tabs>
          <w:tab w:leader="none" w:pos="2403" w:val="left"/>
        </w:tabs>
        <w:numPr>
          <w:ilvl w:val="0"/>
          <w:numId w:val="48"/>
        </w:numPr>
        <w:rPr>
          <w:rFonts w:ascii="Arial" w:cs="Arial" w:eastAsia="Arial" w:hAnsi="Arial"/>
          <w:sz w:val="13"/>
          <w:szCs w:val="13"/>
          <w:color w:val="auto"/>
        </w:rPr>
      </w:pPr>
      <w:r>
        <w:rPr>
          <w:rFonts w:ascii="Arial" w:cs="Arial" w:eastAsia="Arial" w:hAnsi="Arial"/>
          <w:sz w:val="13"/>
          <w:szCs w:val="13"/>
          <w:u w:val="single" w:color="auto"/>
          <w:color w:val="auto"/>
        </w:rPr>
        <w:t>Generally</w:t>
      </w:r>
      <w:r>
        <w:rPr>
          <w:rFonts w:ascii="Arial" w:cs="Arial" w:eastAsia="Arial" w:hAnsi="Arial"/>
          <w:sz w:val="13"/>
          <w:szCs w:val="13"/>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w:t>
      </w:r>
    </w:p>
    <w:p>
      <w:pPr>
        <w:spacing w:after="0" w:line="121" w:lineRule="exact"/>
        <w:rPr>
          <w:rFonts w:ascii="Arial" w:cs="Arial" w:eastAsia="Arial" w:hAnsi="Arial"/>
          <w:sz w:val="13"/>
          <w:szCs w:val="13"/>
          <w:color w:val="auto"/>
        </w:rPr>
      </w:pPr>
    </w:p>
    <w:p>
      <w:pPr>
        <w:jc w:val="both"/>
        <w:ind w:left="1080" w:firstLine="739"/>
        <w:spacing w:after="0" w:line="272" w:lineRule="auto"/>
        <w:tabs>
          <w:tab w:leader="none" w:pos="2410" w:val="left"/>
        </w:tabs>
        <w:numPr>
          <w:ilvl w:val="0"/>
          <w:numId w:val="48"/>
        </w:numPr>
        <w:rPr>
          <w:rFonts w:ascii="Arial" w:cs="Arial" w:eastAsia="Arial" w:hAnsi="Arial"/>
          <w:sz w:val="12"/>
          <w:szCs w:val="12"/>
          <w:color w:val="auto"/>
        </w:rPr>
      </w:pPr>
      <w:r>
        <w:rPr>
          <w:rFonts w:ascii="Arial" w:cs="Arial" w:eastAsia="Arial" w:hAnsi="Arial"/>
          <w:sz w:val="12"/>
          <w:szCs w:val="12"/>
          <w:u w:val="single" w:color="auto"/>
          <w:color w:val="auto"/>
        </w:rPr>
        <w:t>Changes in GAAP</w:t>
      </w:r>
      <w:r>
        <w:rPr>
          <w:rFonts w:ascii="Arial" w:cs="Arial" w:eastAsia="Arial" w:hAnsi="Arial"/>
          <w:sz w:val="12"/>
          <w:szCs w:val="12"/>
          <w:color w:val="auto"/>
        </w:rPr>
        <w:t xml:space="preserve">. If at any time any change in GAAP would affect the computation of any financial ratio or requirement set forth in any Loan Document, and either the Lead Borrower or the Required Lenders shall so request, the Agent, the Lenders and the Lead Borrower shall negotiate in good faith to amend such ratio or requirement to preserve the original intent thereof in light of such change in GAAP (subject to the approval of the Required Lenders); </w:t>
      </w:r>
      <w:r>
        <w:rPr>
          <w:rFonts w:ascii="Arial" w:cs="Arial" w:eastAsia="Arial" w:hAnsi="Arial"/>
          <w:sz w:val="12"/>
          <w:szCs w:val="12"/>
          <w:u w:val="single" w:color="auto"/>
          <w:color w:val="auto"/>
        </w:rPr>
        <w:t>provided that</w:t>
      </w:r>
      <w:r>
        <w:rPr>
          <w:rFonts w:ascii="Arial" w:cs="Arial" w:eastAsia="Arial" w:hAnsi="Arial"/>
          <w:sz w:val="12"/>
          <w:szCs w:val="12"/>
          <w:color w:val="auto"/>
        </w:rPr>
        <w:t>, until so amended, (i) such ratio or requirement shall continue to be computed in accordance with GAAP prior to such change therein and (ii) the Lead Borrower shall provide to the Agent and the Lenders financial statements and other documents required under this Agreement or as reasonably requested hereunder setting forth a reconciliation between calculations of such ratio or requirement made before and after giving effect to such change in GAAP. Notwithstanding any other provision contained herein, all terms of an accounting or financial nature used herein shall be construed, and all computations of amounts and ratios referred to herein shall be made, without giving effect to any change in accounting for leases pursuant to GAAP resulting from the implementation of FASB ASU No. 2016-02, Leases (Topic 842), to the extent such adoption would require treating any lease (or similar arrangement conveying the right to use) as a Capital Lease Obligation where such lease (or similar arrangement) would not have been required to be so treated under GAAP as in effect on December 31, 2015.</w:t>
      </w:r>
    </w:p>
    <w:p>
      <w:pPr>
        <w:spacing w:after="0" w:line="111" w:lineRule="exact"/>
        <w:rPr>
          <w:sz w:val="20"/>
          <w:szCs w:val="20"/>
          <w:color w:val="auto"/>
        </w:rPr>
      </w:pPr>
    </w:p>
    <w:p>
      <w:pPr>
        <w:jc w:val="both"/>
        <w:ind w:left="220" w:firstLine="808"/>
        <w:spacing w:after="0" w:line="261" w:lineRule="auto"/>
        <w:rPr>
          <w:sz w:val="20"/>
          <w:szCs w:val="20"/>
          <w:color w:val="auto"/>
        </w:rPr>
      </w:pPr>
      <w:r>
        <w:rPr>
          <w:rFonts w:ascii="Arial" w:cs="Arial" w:eastAsia="Arial" w:hAnsi="Arial"/>
          <w:sz w:val="13"/>
          <w:szCs w:val="13"/>
          <w:b w:val="1"/>
          <w:bCs w:val="1"/>
          <w:color w:val="auto"/>
        </w:rPr>
        <w:t>1.04 Rounding</w:t>
      </w:r>
      <w:r>
        <w:rPr>
          <w:rFonts w:ascii="Arial" w:cs="Arial" w:eastAsia="Arial" w:hAnsi="Arial"/>
          <w:sz w:val="13"/>
          <w:szCs w:val="13"/>
          <w:color w:val="auto"/>
        </w:rPr>
        <w:t>. Any financial ratios required to be maintained by the Loan Parties pursuant to this Agreement shall be calculated by dividing the appropriate component by the other</w:t>
      </w:r>
      <w:r>
        <w:rPr>
          <w:rFonts w:ascii="Arial" w:cs="Arial" w:eastAsia="Arial" w:hAnsi="Arial"/>
          <w:sz w:val="13"/>
          <w:szCs w:val="13"/>
          <w:b w:val="1"/>
          <w:bCs w:val="1"/>
          <w:color w:val="auto"/>
        </w:rPr>
        <w:t xml:space="preserve"> </w:t>
      </w:r>
      <w:r>
        <w:rPr>
          <w:rFonts w:ascii="Arial" w:cs="Arial" w:eastAsia="Arial" w:hAnsi="Arial"/>
          <w:sz w:val="13"/>
          <w:szCs w:val="13"/>
          <w:color w:val="auto"/>
        </w:rPr>
        <w:t>component, carrying the result to one place more than the number of places by which such ratio is expressed herein and rounding the result up or down to the nearest number (with a rounding-up if there is no nearest number).</w:t>
      </w:r>
    </w:p>
    <w:p>
      <w:pPr>
        <w:spacing w:after="0" w:line="114"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58" w:name="page59"/>
    <w:bookmarkEnd w:id="58"/>
    <w:tbl>
      <w:tblPr>
        <w:tblLayout w:type="fixed"/>
        <w:tblInd w:w="1040" w:type="dxa"/>
        <w:tblCellMar>
          <w:top w:w="0" w:type="dxa"/>
          <w:left w:w="0" w:type="dxa"/>
          <w:bottom w:w="0" w:type="dxa"/>
          <w:right w:w="0" w:type="dxa"/>
        </w:tblCellMar>
      </w:tblPr>
      <w:tr>
        <w:trPr>
          <w:trHeight w:val="171"/>
        </w:trPr>
        <w:tc>
          <w:tcPr>
            <w:tcW w:w="440" w:type="dxa"/>
            <w:vAlign w:val="bottom"/>
          </w:tcPr>
          <w:p>
            <w:pPr>
              <w:jc w:val="right"/>
              <w:ind w:right="154"/>
              <w:spacing w:after="0"/>
              <w:rPr>
                <w:sz w:val="20"/>
                <w:szCs w:val="20"/>
                <w:color w:val="auto"/>
              </w:rPr>
            </w:pPr>
            <w:r>
              <w:rPr>
                <w:rFonts w:ascii="Arial" w:cs="Arial" w:eastAsia="Arial" w:hAnsi="Arial"/>
                <w:sz w:val="13"/>
                <w:szCs w:val="13"/>
                <w:b w:val="1"/>
                <w:bCs w:val="1"/>
                <w:color w:val="auto"/>
                <w:w w:val="78"/>
              </w:rPr>
              <w:t>1.05</w:t>
            </w:r>
          </w:p>
        </w:tc>
        <w:tc>
          <w:tcPr>
            <w:tcW w:w="9740" w:type="dxa"/>
            <w:vAlign w:val="bottom"/>
          </w:tcPr>
          <w:p>
            <w:pPr>
              <w:ind w:left="220"/>
              <w:spacing w:after="0"/>
              <w:rPr>
                <w:sz w:val="20"/>
                <w:szCs w:val="20"/>
                <w:color w:val="auto"/>
              </w:rPr>
            </w:pPr>
            <w:r>
              <w:rPr>
                <w:rFonts w:ascii="Arial" w:cs="Arial" w:eastAsia="Arial" w:hAnsi="Arial"/>
                <w:sz w:val="13"/>
                <w:szCs w:val="13"/>
                <w:b w:val="1"/>
                <w:bCs w:val="1"/>
                <w:color w:val="auto"/>
              </w:rPr>
              <w:t>Times of Day</w:t>
            </w:r>
            <w:r>
              <w:rPr>
                <w:rFonts w:ascii="Arial" w:cs="Arial" w:eastAsia="Arial" w:hAnsi="Arial"/>
                <w:sz w:val="13"/>
                <w:szCs w:val="13"/>
                <w:color w:val="auto"/>
              </w:rPr>
              <w:t>. Unless otherwise specified, all references herein to times of day shall be references to Eastern time (daylight or standard, as applicable).</w:t>
            </w:r>
          </w:p>
        </w:tc>
      </w:tr>
      <w:tr>
        <w:trPr>
          <w:trHeight w:val="268"/>
        </w:trPr>
        <w:tc>
          <w:tcPr>
            <w:tcW w:w="440" w:type="dxa"/>
            <w:vAlign w:val="bottom"/>
          </w:tcPr>
          <w:p>
            <w:pPr>
              <w:jc w:val="right"/>
              <w:ind w:right="154"/>
              <w:spacing w:after="0"/>
              <w:rPr>
                <w:sz w:val="20"/>
                <w:szCs w:val="20"/>
                <w:color w:val="auto"/>
              </w:rPr>
            </w:pPr>
            <w:r>
              <w:rPr>
                <w:rFonts w:ascii="Arial" w:cs="Arial" w:eastAsia="Arial" w:hAnsi="Arial"/>
                <w:sz w:val="13"/>
                <w:szCs w:val="13"/>
                <w:b w:val="1"/>
                <w:bCs w:val="1"/>
                <w:color w:val="auto"/>
                <w:w w:val="78"/>
              </w:rPr>
              <w:t>1.06</w:t>
            </w:r>
          </w:p>
        </w:tc>
        <w:tc>
          <w:tcPr>
            <w:tcW w:w="9740" w:type="dxa"/>
            <w:vAlign w:val="bottom"/>
          </w:tcPr>
          <w:p>
            <w:pPr>
              <w:ind w:left="220"/>
              <w:spacing w:after="0"/>
              <w:rPr>
                <w:sz w:val="20"/>
                <w:szCs w:val="20"/>
                <w:color w:val="auto"/>
              </w:rPr>
            </w:pPr>
            <w:r>
              <w:rPr>
                <w:rFonts w:ascii="Arial" w:cs="Arial" w:eastAsia="Arial" w:hAnsi="Arial"/>
                <w:sz w:val="13"/>
                <w:szCs w:val="13"/>
                <w:b w:val="1"/>
                <w:bCs w:val="1"/>
                <w:color w:val="auto"/>
                <w:w w:val="92"/>
              </w:rPr>
              <w:t>Letter of Credit Amounts</w:t>
            </w:r>
            <w:r>
              <w:rPr>
                <w:rFonts w:ascii="Arial" w:cs="Arial" w:eastAsia="Arial" w:hAnsi="Arial"/>
                <w:sz w:val="13"/>
                <w:szCs w:val="13"/>
                <w:color w:val="auto"/>
                <w:w w:val="92"/>
              </w:rPr>
              <w:t>. Unless otherwise specified, all references herein to the amount of a Letter of Credit at any time shall be deemed to be the Stated Amount of such Letter</w:t>
            </w:r>
          </w:p>
        </w:tc>
      </w:tr>
    </w:tbl>
    <w:p>
      <w:pPr>
        <w:jc w:val="both"/>
        <w:ind w:left="220"/>
        <w:spacing w:after="0" w:line="250" w:lineRule="auto"/>
        <w:rPr>
          <w:sz w:val="20"/>
          <w:szCs w:val="20"/>
          <w:color w:val="auto"/>
        </w:rPr>
      </w:pPr>
      <w:r>
        <w:rPr>
          <w:rFonts w:ascii="Arial" w:cs="Arial" w:eastAsia="Arial" w:hAnsi="Arial"/>
          <w:sz w:val="13"/>
          <w:szCs w:val="13"/>
          <w:color w:val="auto"/>
        </w:rPr>
        <w:t>of Credit in effect at such time; provided, however, that with respect to any Letter of Credit that, by its terms or the terms of any Issuer Documents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22"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ARTICLE II</w:t>
      </w:r>
    </w:p>
    <w:p>
      <w:pPr>
        <w:spacing w:after="0" w:line="18" w:lineRule="exact"/>
        <w:rPr>
          <w:sz w:val="20"/>
          <w:szCs w:val="20"/>
          <w:color w:val="auto"/>
        </w:rPr>
      </w:pPr>
    </w:p>
    <w:p>
      <w:pPr>
        <w:ind w:left="2660"/>
        <w:spacing w:after="0"/>
        <w:rPr>
          <w:sz w:val="20"/>
          <w:szCs w:val="20"/>
          <w:color w:val="auto"/>
        </w:rPr>
      </w:pPr>
      <w:r>
        <w:rPr>
          <w:rFonts w:ascii="Arial" w:cs="Arial" w:eastAsia="Arial" w:hAnsi="Arial"/>
          <w:sz w:val="13"/>
          <w:szCs w:val="13"/>
          <w:b w:val="1"/>
          <w:bCs w:val="1"/>
          <w:color w:val="auto"/>
        </w:rPr>
        <w:t>THE COMMITMENTS AND CREDIT EXTENSIONS</w:t>
      </w:r>
    </w:p>
    <w:p>
      <w:pPr>
        <w:spacing w:after="0" w:line="134"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3"/>
          <w:szCs w:val="13"/>
          <w:b w:val="1"/>
          <w:bCs w:val="1"/>
          <w:color w:val="auto"/>
        </w:rPr>
        <w:t>2.01</w:t>
      </w:r>
      <w:r>
        <w:rPr>
          <w:sz w:val="20"/>
          <w:szCs w:val="20"/>
          <w:color w:val="auto"/>
        </w:rPr>
        <w:tab/>
      </w:r>
      <w:r>
        <w:rPr>
          <w:rFonts w:ascii="Arial" w:cs="Arial" w:eastAsia="Arial" w:hAnsi="Arial"/>
          <w:sz w:val="11"/>
          <w:szCs w:val="11"/>
          <w:b w:val="1"/>
          <w:bCs w:val="1"/>
          <w:color w:val="auto"/>
        </w:rPr>
        <w:t>Committed Loans; Reserves</w:t>
      </w:r>
      <w:r>
        <w:rPr>
          <w:rFonts w:ascii="Arial" w:cs="Arial" w:eastAsia="Arial" w:hAnsi="Arial"/>
          <w:sz w:val="11"/>
          <w:szCs w:val="11"/>
          <w:color w:val="auto"/>
        </w:rPr>
        <w:t>.</w:t>
      </w:r>
    </w:p>
    <w:p>
      <w:pPr>
        <w:spacing w:after="0" w:line="152" w:lineRule="exact"/>
        <w:rPr>
          <w:sz w:val="20"/>
          <w:szCs w:val="20"/>
          <w:color w:val="auto"/>
        </w:rPr>
      </w:pPr>
    </w:p>
    <w:p>
      <w:pPr>
        <w:jc w:val="both"/>
        <w:ind w:left="1080" w:firstLine="739"/>
        <w:spacing w:after="0" w:line="258" w:lineRule="auto"/>
        <w:tabs>
          <w:tab w:leader="none" w:pos="2403" w:val="left"/>
        </w:tabs>
        <w:numPr>
          <w:ilvl w:val="0"/>
          <w:numId w:val="49"/>
        </w:numPr>
        <w:rPr>
          <w:rFonts w:ascii="Arial" w:cs="Arial" w:eastAsia="Arial" w:hAnsi="Arial"/>
          <w:sz w:val="13"/>
          <w:szCs w:val="13"/>
          <w:color w:val="auto"/>
        </w:rPr>
      </w:pPr>
      <w:r>
        <w:rPr>
          <w:rFonts w:ascii="Arial" w:cs="Arial" w:eastAsia="Arial" w:hAnsi="Arial"/>
          <w:sz w:val="13"/>
          <w:szCs w:val="13"/>
          <w:color w:val="auto"/>
        </w:rPr>
        <w:t>Subject to the terms and conditions set forth herein, each Revolving Lender severally agrees to make loans (each such loan, a “Committed Loan”) to the Borrowers from time to time, on any Business Day during the Availability Period, in an aggregate amount not to exceed at any time outstanding the lesser of (x) the amount of such Revolving Lender’s Revolving Commitment, or (y) such Revolving Lender’s Applicable Percentage of the Borrowing Base; subject in each case to the following limitations:</w:t>
      </w:r>
    </w:p>
    <w:p>
      <w:pPr>
        <w:spacing w:after="0" w:line="121" w:lineRule="exact"/>
        <w:rPr>
          <w:rFonts w:ascii="Arial" w:cs="Arial" w:eastAsia="Arial" w:hAnsi="Arial"/>
          <w:sz w:val="13"/>
          <w:szCs w:val="13"/>
          <w:color w:val="auto"/>
        </w:rPr>
      </w:pPr>
    </w:p>
    <w:p>
      <w:pPr>
        <w:ind w:left="3120" w:hanging="556"/>
        <w:spacing w:after="0"/>
        <w:tabs>
          <w:tab w:leader="none" w:pos="3120" w:val="left"/>
        </w:tabs>
        <w:numPr>
          <w:ilvl w:val="1"/>
          <w:numId w:val="49"/>
        </w:numPr>
        <w:rPr>
          <w:rFonts w:ascii="Arial" w:cs="Arial" w:eastAsia="Arial" w:hAnsi="Arial"/>
          <w:sz w:val="13"/>
          <w:szCs w:val="13"/>
          <w:color w:val="auto"/>
        </w:rPr>
      </w:pPr>
      <w:r>
        <w:rPr>
          <w:rFonts w:ascii="Arial" w:cs="Arial" w:eastAsia="Arial" w:hAnsi="Arial"/>
          <w:sz w:val="13"/>
          <w:szCs w:val="13"/>
          <w:color w:val="auto"/>
        </w:rPr>
        <w:t>after giving effect to any Committed Borrowing, the Total Revolving Outstandings shall not exceed the Revolving Loan Cap,</w:t>
      </w:r>
    </w:p>
    <w:p>
      <w:pPr>
        <w:spacing w:after="0" w:line="147" w:lineRule="exact"/>
        <w:rPr>
          <w:rFonts w:ascii="Arial" w:cs="Arial" w:eastAsia="Arial" w:hAnsi="Arial"/>
          <w:sz w:val="13"/>
          <w:szCs w:val="13"/>
          <w:color w:val="auto"/>
        </w:rPr>
      </w:pPr>
    </w:p>
    <w:p>
      <w:pPr>
        <w:jc w:val="both"/>
        <w:ind w:left="1080" w:firstLine="1484"/>
        <w:spacing w:after="0" w:line="258" w:lineRule="auto"/>
        <w:tabs>
          <w:tab w:leader="none" w:pos="3164" w:val="left"/>
        </w:tabs>
        <w:numPr>
          <w:ilvl w:val="1"/>
          <w:numId w:val="49"/>
        </w:numPr>
        <w:rPr>
          <w:rFonts w:ascii="Arial" w:cs="Arial" w:eastAsia="Arial" w:hAnsi="Arial"/>
          <w:sz w:val="13"/>
          <w:szCs w:val="13"/>
          <w:color w:val="auto"/>
        </w:rPr>
      </w:pPr>
      <w:r>
        <w:rPr>
          <w:rFonts w:ascii="Arial" w:cs="Arial" w:eastAsia="Arial" w:hAnsi="Arial"/>
          <w:sz w:val="13"/>
          <w:szCs w:val="13"/>
          <w:color w:val="auto"/>
        </w:rPr>
        <w:t xml:space="preserve">after giving effect to any Committed Borrowing, the aggregate Outstanding Amount of the Committed Loans of any Revolving Lender,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such Revolving Lender’s Applicable Percentage of the Outstanding Amount of all L/C Obligations,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such Revolving Lender’s Applicable Percentage of the Outstanding Amount of all Swing Line Loans shall not exceed such Revolving Lender’s Revolving Commitment, and</w:t>
      </w:r>
    </w:p>
    <w:p>
      <w:pPr>
        <w:spacing w:after="0" w:line="121" w:lineRule="exact"/>
        <w:rPr>
          <w:rFonts w:ascii="Arial" w:cs="Arial" w:eastAsia="Arial" w:hAnsi="Arial"/>
          <w:sz w:val="13"/>
          <w:szCs w:val="13"/>
          <w:color w:val="auto"/>
        </w:rPr>
      </w:pPr>
    </w:p>
    <w:p>
      <w:pPr>
        <w:ind w:left="3200" w:hanging="637"/>
        <w:spacing w:after="0"/>
        <w:tabs>
          <w:tab w:leader="none" w:pos="3200" w:val="left"/>
        </w:tabs>
        <w:numPr>
          <w:ilvl w:val="1"/>
          <w:numId w:val="49"/>
        </w:numPr>
        <w:rPr>
          <w:rFonts w:ascii="Arial" w:cs="Arial" w:eastAsia="Arial" w:hAnsi="Arial"/>
          <w:sz w:val="13"/>
          <w:szCs w:val="13"/>
          <w:color w:val="auto"/>
        </w:rPr>
      </w:pPr>
      <w:r>
        <w:rPr>
          <w:rFonts w:ascii="Arial" w:cs="Arial" w:eastAsia="Arial" w:hAnsi="Arial"/>
          <w:sz w:val="13"/>
          <w:szCs w:val="13"/>
          <w:color w:val="auto"/>
        </w:rPr>
        <w:t>The Outstanding Amount of all L/C Obligations shall not at any time exceed the Letter of Credit Sublimit.</w:t>
      </w:r>
    </w:p>
    <w:p>
      <w:pPr>
        <w:spacing w:after="0" w:line="148" w:lineRule="exact"/>
        <w:rPr>
          <w:sz w:val="20"/>
          <w:szCs w:val="20"/>
          <w:color w:val="auto"/>
        </w:rPr>
      </w:pPr>
    </w:p>
    <w:p>
      <w:pPr>
        <w:ind w:left="220"/>
        <w:spacing w:after="0" w:line="271" w:lineRule="auto"/>
        <w:rPr>
          <w:sz w:val="20"/>
          <w:szCs w:val="20"/>
          <w:color w:val="auto"/>
        </w:rPr>
      </w:pPr>
      <w:r>
        <w:rPr>
          <w:rFonts w:ascii="Arial" w:cs="Arial" w:eastAsia="Arial" w:hAnsi="Arial"/>
          <w:sz w:val="13"/>
          <w:szCs w:val="13"/>
          <w:color w:val="auto"/>
        </w:rPr>
        <w:t xml:space="preserve">Within the limits of each Revolving Lender’s Revolving Commitment, and subject to the other terms and conditions hereof, the Borrowers may borrow under this </w:t>
      </w:r>
      <w:r>
        <w:rPr>
          <w:rFonts w:ascii="Arial" w:cs="Arial" w:eastAsia="Arial" w:hAnsi="Arial"/>
          <w:sz w:val="13"/>
          <w:szCs w:val="13"/>
          <w:u w:val="single" w:color="auto"/>
          <w:color w:val="auto"/>
        </w:rPr>
        <w:t>Section 2.01</w:t>
      </w:r>
      <w:r>
        <w:rPr>
          <w:rFonts w:ascii="Arial" w:cs="Arial" w:eastAsia="Arial" w:hAnsi="Arial"/>
          <w:sz w:val="13"/>
          <w:szCs w:val="13"/>
          <w:color w:val="auto"/>
        </w:rPr>
        <w:t xml:space="preserve">, prepay under </w:t>
      </w:r>
      <w:r>
        <w:rPr>
          <w:rFonts w:ascii="Arial" w:cs="Arial" w:eastAsia="Arial" w:hAnsi="Arial"/>
          <w:sz w:val="13"/>
          <w:szCs w:val="13"/>
          <w:u w:val="single" w:color="auto"/>
          <w:color w:val="auto"/>
        </w:rPr>
        <w:t>Section 2.05</w:t>
      </w:r>
      <w:r>
        <w:rPr>
          <w:rFonts w:ascii="Arial" w:cs="Arial" w:eastAsia="Arial" w:hAnsi="Arial"/>
          <w:sz w:val="13"/>
          <w:szCs w:val="13"/>
          <w:color w:val="auto"/>
        </w:rPr>
        <w:t xml:space="preserve">, and reborrow under this </w:t>
      </w:r>
      <w:r>
        <w:rPr>
          <w:rFonts w:ascii="Arial" w:cs="Arial" w:eastAsia="Arial" w:hAnsi="Arial"/>
          <w:sz w:val="13"/>
          <w:szCs w:val="13"/>
          <w:u w:val="single" w:color="auto"/>
          <w:color w:val="auto"/>
        </w:rPr>
        <w:t>Section 2.01</w:t>
      </w:r>
      <w:r>
        <w:rPr>
          <w:rFonts w:ascii="Arial" w:cs="Arial" w:eastAsia="Arial" w:hAnsi="Arial"/>
          <w:sz w:val="13"/>
          <w:szCs w:val="13"/>
          <w:color w:val="auto"/>
        </w:rPr>
        <w:t>.</w:t>
      </w:r>
    </w:p>
    <w:p>
      <w:pPr>
        <w:spacing w:after="0" w:line="50" w:lineRule="exact"/>
        <w:rPr>
          <w:sz w:val="20"/>
          <w:szCs w:val="20"/>
          <w:color w:val="auto"/>
        </w:rPr>
      </w:pPr>
    </w:p>
    <w:p>
      <w:pPr>
        <w:jc w:val="both"/>
        <w:ind w:left="1080" w:firstLine="739"/>
        <w:spacing w:after="0" w:line="258" w:lineRule="auto"/>
        <w:tabs>
          <w:tab w:leader="none" w:pos="2410" w:val="left"/>
        </w:tabs>
        <w:numPr>
          <w:ilvl w:val="0"/>
          <w:numId w:val="50"/>
        </w:numPr>
        <w:rPr>
          <w:rFonts w:ascii="Arial" w:cs="Arial" w:eastAsia="Arial" w:hAnsi="Arial"/>
          <w:sz w:val="13"/>
          <w:szCs w:val="13"/>
          <w:color w:val="auto"/>
        </w:rPr>
      </w:pPr>
      <w:r>
        <w:rPr>
          <w:rFonts w:ascii="Arial" w:cs="Arial" w:eastAsia="Arial" w:hAnsi="Arial"/>
          <w:sz w:val="13"/>
          <w:szCs w:val="13"/>
          <w:color w:val="auto"/>
        </w:rPr>
        <w:t>Each FILO Lender severally agrees, on the terms and conditions hereinafter set forth, to make its portion of the FILO Loan to the Borrowers on the Closing Date in a principal amount equal to its FILO Commitment. Amounts repaid in respect of the FILO Loan may not be reborrowed. Upon each applicable FILO Lender’s making of its portion of the FILO Loan on the Closing Date, the FILO Commitment of such FILO Lender shall be terminated.</w:t>
      </w:r>
    </w:p>
    <w:p>
      <w:pPr>
        <w:spacing w:after="0" w:line="117"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3"/>
          <w:szCs w:val="13"/>
          <w:b w:val="1"/>
          <w:bCs w:val="1"/>
          <w:color w:val="auto"/>
        </w:rPr>
        <w:t>2.02</w:t>
      </w:r>
      <w:r>
        <w:rPr>
          <w:sz w:val="20"/>
          <w:szCs w:val="20"/>
          <w:color w:val="auto"/>
        </w:rPr>
        <w:tab/>
      </w:r>
      <w:r>
        <w:rPr>
          <w:rFonts w:ascii="Arial" w:cs="Arial" w:eastAsia="Arial" w:hAnsi="Arial"/>
          <w:sz w:val="11"/>
          <w:szCs w:val="11"/>
          <w:b w:val="1"/>
          <w:bCs w:val="1"/>
          <w:color w:val="auto"/>
        </w:rPr>
        <w:t>Borrowings, Conversions and Continuations of Committed Loans</w:t>
      </w:r>
      <w:r>
        <w:rPr>
          <w:rFonts w:ascii="Arial" w:cs="Arial" w:eastAsia="Arial" w:hAnsi="Arial"/>
          <w:sz w:val="11"/>
          <w:szCs w:val="11"/>
          <w:color w:val="auto"/>
        </w:rPr>
        <w:t>.</w:t>
      </w:r>
    </w:p>
    <w:p>
      <w:pPr>
        <w:spacing w:after="0" w:line="152" w:lineRule="exact"/>
        <w:rPr>
          <w:sz w:val="20"/>
          <w:szCs w:val="20"/>
          <w:color w:val="auto"/>
        </w:rPr>
      </w:pPr>
    </w:p>
    <w:p>
      <w:pPr>
        <w:jc w:val="both"/>
        <w:ind w:left="220" w:firstLine="1620"/>
        <w:spacing w:after="0" w:line="258" w:lineRule="auto"/>
        <w:tabs>
          <w:tab w:leader="none" w:pos="2412" w:val="left"/>
        </w:tabs>
        <w:numPr>
          <w:ilvl w:val="0"/>
          <w:numId w:val="51"/>
        </w:numPr>
        <w:rPr>
          <w:rFonts w:ascii="Arial" w:cs="Arial" w:eastAsia="Arial" w:hAnsi="Arial"/>
          <w:sz w:val="13"/>
          <w:szCs w:val="13"/>
          <w:color w:val="auto"/>
        </w:rPr>
      </w:pPr>
      <w:r>
        <w:rPr>
          <w:rFonts w:ascii="Arial" w:cs="Arial" w:eastAsia="Arial" w:hAnsi="Arial"/>
          <w:sz w:val="13"/>
          <w:szCs w:val="13"/>
          <w:color w:val="auto"/>
        </w:rPr>
        <w:t xml:space="preserve">Committed Loans (other than Swing Line Loans) and the outstanding portion of the FILO Loan shall be either Base Rate Loans or LIBOR Rate Loans as the Lead Borrower may request subject to and in accordance with this </w:t>
      </w:r>
      <w:r>
        <w:rPr>
          <w:rFonts w:ascii="Arial" w:cs="Arial" w:eastAsia="Arial" w:hAnsi="Arial"/>
          <w:sz w:val="13"/>
          <w:szCs w:val="13"/>
          <w:u w:val="single" w:color="auto"/>
          <w:color w:val="auto"/>
        </w:rPr>
        <w:t>Section 2.02</w:t>
      </w:r>
      <w:r>
        <w:rPr>
          <w:rFonts w:ascii="Arial" w:cs="Arial" w:eastAsia="Arial" w:hAnsi="Arial"/>
          <w:sz w:val="13"/>
          <w:szCs w:val="13"/>
          <w:color w:val="auto"/>
        </w:rPr>
        <w:t xml:space="preserve">. All Swing Line Loans shall be only Base Rate Loans. Subject to the other provisions of this </w:t>
      </w:r>
      <w:r>
        <w:rPr>
          <w:rFonts w:ascii="Arial" w:cs="Arial" w:eastAsia="Arial" w:hAnsi="Arial"/>
          <w:sz w:val="13"/>
          <w:szCs w:val="13"/>
          <w:u w:val="single" w:color="auto"/>
          <w:color w:val="auto"/>
        </w:rPr>
        <w:t>Section 2.02</w:t>
      </w:r>
      <w:r>
        <w:rPr>
          <w:rFonts w:ascii="Arial" w:cs="Arial" w:eastAsia="Arial" w:hAnsi="Arial"/>
          <w:sz w:val="13"/>
          <w:szCs w:val="13"/>
          <w:color w:val="auto"/>
        </w:rPr>
        <w:t>, Committed Borrowings of more than one Type may be incurred at the same time.</w:t>
      </w:r>
    </w:p>
    <w:p>
      <w:pPr>
        <w:spacing w:after="0" w:line="115"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4" w:right="439" w:bottom="1440" w:gutter="0" w:footer="0" w:header="0"/>
        </w:sectPr>
      </w:pPr>
    </w:p>
    <w:bookmarkStart w:id="59" w:name="page60"/>
    <w:bookmarkEnd w:id="59"/>
    <w:p>
      <w:pPr>
        <w:jc w:val="both"/>
        <w:ind w:left="220" w:firstLine="1620"/>
        <w:spacing w:after="0" w:line="296" w:lineRule="auto"/>
        <w:tabs>
          <w:tab w:leader="none" w:pos="2420" w:val="left"/>
        </w:tabs>
        <w:numPr>
          <w:ilvl w:val="0"/>
          <w:numId w:val="52"/>
        </w:numPr>
        <w:rPr>
          <w:rFonts w:ascii="Arial" w:cs="Arial" w:eastAsia="Arial" w:hAnsi="Arial"/>
          <w:sz w:val="11"/>
          <w:szCs w:val="11"/>
          <w:color w:val="auto"/>
        </w:rPr>
      </w:pPr>
      <w:r>
        <w:rPr>
          <w:rFonts w:ascii="Arial" w:cs="Arial" w:eastAsia="Arial" w:hAnsi="Arial"/>
          <w:sz w:val="11"/>
          <w:szCs w:val="11"/>
          <w:color w:val="auto"/>
        </w:rPr>
        <w:t xml:space="preserve">Each Committed Borrowing, each Conversion of Committed Loans or the outstanding FILO Loan from one Type to the other, and each continuation of LIBOR Rate Loans shall be made upon the Lead Borrower’s irrevocable notice to the Agent, which may be given by telephone. Each such notice must be received by the Agent not later than 1:00 p.m. (i) three (3) Business Days prior to the requested date of any Borrowing of, Conversion to or continuation of LIBOR Rate Loans or of any Conversion of LIBOR Rate Loans to Base Rate Loans, and (ii) one (1) Business Day prior to the requested date of any Borrowing of Base Rate Loans. Each telephonic notice by the Lead Borrower pursuant to this </w:t>
      </w:r>
      <w:r>
        <w:rPr>
          <w:rFonts w:ascii="Arial" w:cs="Arial" w:eastAsia="Arial" w:hAnsi="Arial"/>
          <w:sz w:val="11"/>
          <w:szCs w:val="11"/>
          <w:u w:val="single" w:color="auto"/>
          <w:color w:val="auto"/>
        </w:rPr>
        <w:t>Section 2.02(b)</w:t>
      </w:r>
      <w:r>
        <w:rPr>
          <w:rFonts w:ascii="Arial" w:cs="Arial" w:eastAsia="Arial" w:hAnsi="Arial"/>
          <w:sz w:val="11"/>
          <w:szCs w:val="11"/>
          <w:color w:val="auto"/>
        </w:rPr>
        <w:t xml:space="preserve"> must be confirmed promptly by delivery to the Agent of a written Committed Loan Notice, appropriately completed and signed by a Responsible Officer of the Lead Borrower. Each Borrowing of, Conversion to or continuation of LIBOR Rate Loans shall be in a principal amount of $1,000,000 or a whole multiple of $100,000 in excess thereof. Except as provided in </w:t>
      </w:r>
      <w:r>
        <w:rPr>
          <w:rFonts w:ascii="Arial" w:cs="Arial" w:eastAsia="Arial" w:hAnsi="Arial"/>
          <w:sz w:val="11"/>
          <w:szCs w:val="11"/>
          <w:u w:val="single" w:color="auto"/>
          <w:color w:val="auto"/>
        </w:rPr>
        <w:t>Sections 2.03(c)</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2.04(c)</w:t>
      </w:r>
      <w:r>
        <w:rPr>
          <w:rFonts w:ascii="Arial" w:cs="Arial" w:eastAsia="Arial" w:hAnsi="Arial"/>
          <w:sz w:val="11"/>
          <w:szCs w:val="11"/>
          <w:color w:val="auto"/>
        </w:rPr>
        <w:t>, each Borrowing of or Conversion to Base Rate Loans shall be in sum minimum amounts as the Agent may require. Each Committed Loan Notice (whether telephonic or written) shall specify (i) whether the Lead Borrower is requesting a Committed Borrowing or the FILO Loan, as applicable, a Conversion of Committed Loans or the outstanding portion of the FILO Loan, as applicable, from one Type to the other, or a continuation of LIBOR Rate Loans, (ii) the requested date of the Borrowing, Conversion or continuation, as the case may be (which shall be a Business Day), (iii) the principal amount of Committed Loans or the outstanding portion of the FILO Loan, as applicable, to be borrowed, Converted or continued, (iv) the Type of Committed Loans or the outstanding FILO Loan, as applicable, to be borrowed or to which existing Committed Loans or the outstanding FILO Loan, as applicable, are to be Converted, and (v) if applicable, the duration of the Interest Period with respect thereto. If the Lead Borrower fails to specify a Type of Committed Loan or the outstanding portion of the FILO Loan, as applicable, in a Committed Loan Notice or if the Lead Borrower fails to give a timely notice requesting a Conversion or continuation, then the applicable Committed Loans or the outstanding portion of the FILO Loan, as applicable, shall be made as, or Converted to, Base Rate Loans. Any such automatic Conversion to Base Rate Loans shall be effective as of the last day of the Interest Period then in effect with respect to the applicable LIBOR Rate Loans. If the Lead Borrower requests a Borrowing of, Conversion to, or continuation of LIBOR Rate Loans in any such Committed Loan Notice, but fails to specify an Interest Period, it will be deemed to have specified an Interest Period of one month. Notwithstanding anything to the contrary herein, a Swing Line Loan may not be Converted to a LIBOR Rate Loan.</w:t>
      </w:r>
    </w:p>
    <w:p>
      <w:pPr>
        <w:spacing w:after="0" w:line="258" w:lineRule="exact"/>
        <w:rPr>
          <w:rFonts w:ascii="Arial" w:cs="Arial" w:eastAsia="Arial" w:hAnsi="Arial"/>
          <w:sz w:val="11"/>
          <w:szCs w:val="11"/>
          <w:color w:val="auto"/>
        </w:rPr>
      </w:pPr>
    </w:p>
    <w:p>
      <w:pPr>
        <w:jc w:val="both"/>
        <w:ind w:left="220" w:firstLine="1620"/>
        <w:spacing w:after="0" w:line="273" w:lineRule="auto"/>
        <w:tabs>
          <w:tab w:leader="none" w:pos="2412" w:val="left"/>
        </w:tabs>
        <w:numPr>
          <w:ilvl w:val="0"/>
          <w:numId w:val="52"/>
        </w:numPr>
        <w:rPr>
          <w:rFonts w:ascii="Arial" w:cs="Arial" w:eastAsia="Arial" w:hAnsi="Arial"/>
          <w:sz w:val="12"/>
          <w:szCs w:val="12"/>
          <w:color w:val="auto"/>
        </w:rPr>
      </w:pPr>
      <w:r>
        <w:rPr>
          <w:rFonts w:ascii="Arial" w:cs="Arial" w:eastAsia="Arial" w:hAnsi="Arial"/>
          <w:sz w:val="12"/>
          <w:szCs w:val="12"/>
          <w:color w:val="auto"/>
        </w:rPr>
        <w:t xml:space="preserve">Following receipt of a Committed Loan Notice, the Agent shall promptly notify each Revolving Lender of the amount of its Applicable Percentage of the applicable Committed Loans, and if no timely notice of a Conversion or continuation is provided by the Lead Borrower, the Agent shall notify each Lender of the details of any automatic Conversion to Base Rate Loans described in </w:t>
      </w:r>
      <w:r>
        <w:rPr>
          <w:rFonts w:ascii="Arial" w:cs="Arial" w:eastAsia="Arial" w:hAnsi="Arial"/>
          <w:sz w:val="12"/>
          <w:szCs w:val="12"/>
          <w:u w:val="single" w:color="auto"/>
          <w:color w:val="auto"/>
        </w:rPr>
        <w:t>Section 2.02(b)</w:t>
      </w:r>
      <w:r>
        <w:rPr>
          <w:rFonts w:ascii="Arial" w:cs="Arial" w:eastAsia="Arial" w:hAnsi="Arial"/>
          <w:sz w:val="12"/>
          <w:szCs w:val="12"/>
          <w:color w:val="auto"/>
        </w:rPr>
        <w:t xml:space="preserve">. In the case of a Committed Borrowing, each Revolving Lender shall make the amount of its Committed Loan available to the Agent in immediately available funds at the Agent’s Office not later than 2:00 p.m. on the Business Day specified in the applicable Committed Loan Notice. Upon satisfaction of the applicable conditions set forth in </w:t>
      </w:r>
      <w:r>
        <w:rPr>
          <w:rFonts w:ascii="Arial" w:cs="Arial" w:eastAsia="Arial" w:hAnsi="Arial"/>
          <w:sz w:val="12"/>
          <w:szCs w:val="12"/>
          <w:u w:val="single" w:color="auto"/>
          <w:color w:val="auto"/>
        </w:rPr>
        <w:t>Section 4.02</w:t>
      </w:r>
      <w:r>
        <w:rPr>
          <w:rFonts w:ascii="Arial" w:cs="Arial" w:eastAsia="Arial" w:hAnsi="Arial"/>
          <w:sz w:val="12"/>
          <w:szCs w:val="12"/>
          <w:color w:val="auto"/>
        </w:rPr>
        <w:t xml:space="preserve"> (and, if such Borrowing is the initial Credit Extension, </w:t>
      </w:r>
      <w:r>
        <w:rPr>
          <w:rFonts w:ascii="Arial" w:cs="Arial" w:eastAsia="Arial" w:hAnsi="Arial"/>
          <w:sz w:val="12"/>
          <w:szCs w:val="12"/>
          <w:u w:val="single" w:color="auto"/>
          <w:color w:val="auto"/>
        </w:rPr>
        <w:t>Section 4.01</w:t>
      </w:r>
      <w:r>
        <w:rPr>
          <w:rFonts w:ascii="Arial" w:cs="Arial" w:eastAsia="Arial" w:hAnsi="Arial"/>
          <w:sz w:val="12"/>
          <w:szCs w:val="12"/>
          <w:color w:val="auto"/>
        </w:rPr>
        <w:t xml:space="preserve">), the Agent shall make all funds so received available to the Borrowers in like funds as received by the Agent either by (i) crediting the account of the Lead Borrower on the books of Bank of America with the amount of such funds or (ii) wire transfer of such funds, in each case in accordance with instructions provided to (and reasonably acceptable to) the Agent by the Lead Borrower;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if, on the date the Committed Loan Notice with respect to such Borrowing is given by the Lead Borrower, there are L/C Borrowings outstanding, then the proceeds of such Borrowing, </w:t>
      </w:r>
      <w:r>
        <w:rPr>
          <w:rFonts w:ascii="Arial" w:cs="Arial" w:eastAsia="Arial" w:hAnsi="Arial"/>
          <w:sz w:val="12"/>
          <w:szCs w:val="12"/>
          <w:u w:val="single" w:color="auto"/>
          <w:color w:val="auto"/>
        </w:rPr>
        <w:t>first</w:t>
      </w:r>
      <w:r>
        <w:rPr>
          <w:rFonts w:ascii="Arial" w:cs="Arial" w:eastAsia="Arial" w:hAnsi="Arial"/>
          <w:sz w:val="12"/>
          <w:szCs w:val="12"/>
          <w:color w:val="auto"/>
        </w:rPr>
        <w:t xml:space="preserve">, shall be applied to the payment in full of any such L/C Borrowings, and </w:t>
      </w:r>
      <w:r>
        <w:rPr>
          <w:rFonts w:ascii="Arial" w:cs="Arial" w:eastAsia="Arial" w:hAnsi="Arial"/>
          <w:sz w:val="12"/>
          <w:szCs w:val="12"/>
          <w:u w:val="single" w:color="auto"/>
          <w:color w:val="auto"/>
        </w:rPr>
        <w:t>second</w:t>
      </w:r>
      <w:r>
        <w:rPr>
          <w:rFonts w:ascii="Arial" w:cs="Arial" w:eastAsia="Arial" w:hAnsi="Arial"/>
          <w:sz w:val="12"/>
          <w:szCs w:val="12"/>
          <w:color w:val="auto"/>
        </w:rPr>
        <w:t>, shall be made available to the Borrowers as provided above.</w:t>
      </w:r>
    </w:p>
    <w:p>
      <w:pPr>
        <w:spacing w:after="0" w:line="252"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60" w:name="page61"/>
    <w:bookmarkEnd w:id="60"/>
    <w:p>
      <w:pPr>
        <w:jc w:val="both"/>
        <w:ind w:left="220" w:firstLine="1620"/>
        <w:spacing w:after="0" w:line="252" w:lineRule="auto"/>
        <w:tabs>
          <w:tab w:leader="none" w:pos="2420" w:val="left"/>
        </w:tabs>
        <w:numPr>
          <w:ilvl w:val="0"/>
          <w:numId w:val="53"/>
        </w:numPr>
        <w:rPr>
          <w:rFonts w:ascii="Arial" w:cs="Arial" w:eastAsia="Arial" w:hAnsi="Arial"/>
          <w:sz w:val="13"/>
          <w:szCs w:val="13"/>
          <w:color w:val="auto"/>
        </w:rPr>
      </w:pPr>
      <w:r>
        <w:rPr>
          <w:rFonts w:ascii="Arial" w:cs="Arial" w:eastAsia="Arial" w:hAnsi="Arial"/>
          <w:sz w:val="13"/>
          <w:szCs w:val="13"/>
          <w:color w:val="auto"/>
        </w:rPr>
        <w:t xml:space="preserve">The Agent, without the request of the Lead Borrower, may advance any interest, fee, service charge (including direct wire fees), expenses, or other payment to which any Credit Party is entitled from the Loan Parties pursuant hereto or any other Loan Document and may charge the same to the Loan Account notwithstanding that an Overadvance may result thereby. The Agent shall advise the Lead Borrower of any such advance or charge promptly after the making thereof. Such action on the part of the Agent shall not constitute a waiver of the Agent’s rights and the Borrowers’ obligations under </w:t>
      </w:r>
      <w:r>
        <w:rPr>
          <w:rFonts w:ascii="Arial" w:cs="Arial" w:eastAsia="Arial" w:hAnsi="Arial"/>
          <w:sz w:val="13"/>
          <w:szCs w:val="13"/>
          <w:u w:val="single" w:color="auto"/>
          <w:color w:val="auto"/>
        </w:rPr>
        <w:t>Section 2.05(d)</w:t>
      </w:r>
      <w:r>
        <w:rPr>
          <w:rFonts w:ascii="Arial" w:cs="Arial" w:eastAsia="Arial" w:hAnsi="Arial"/>
          <w:sz w:val="13"/>
          <w:szCs w:val="13"/>
          <w:color w:val="auto"/>
        </w:rPr>
        <w:t xml:space="preserve">. Any amount which is added to the principal balance of the Loan Account as provided in this </w:t>
      </w:r>
      <w:r>
        <w:rPr>
          <w:rFonts w:ascii="Arial" w:cs="Arial" w:eastAsia="Arial" w:hAnsi="Arial"/>
          <w:sz w:val="13"/>
          <w:szCs w:val="13"/>
          <w:u w:val="single" w:color="auto"/>
          <w:color w:val="auto"/>
        </w:rPr>
        <w:t>Section 2.02(d)</w:t>
      </w:r>
      <w:r>
        <w:rPr>
          <w:rFonts w:ascii="Arial" w:cs="Arial" w:eastAsia="Arial" w:hAnsi="Arial"/>
          <w:sz w:val="13"/>
          <w:szCs w:val="13"/>
          <w:color w:val="auto"/>
        </w:rPr>
        <w:t xml:space="preserve"> shall bear interest at the interest rate then and thereafter applicable to Base Rate Loans.</w:t>
      </w:r>
    </w:p>
    <w:p>
      <w:pPr>
        <w:spacing w:after="0" w:line="126" w:lineRule="exact"/>
        <w:rPr>
          <w:rFonts w:ascii="Arial" w:cs="Arial" w:eastAsia="Arial" w:hAnsi="Arial"/>
          <w:sz w:val="13"/>
          <w:szCs w:val="13"/>
          <w:color w:val="auto"/>
        </w:rPr>
      </w:pPr>
    </w:p>
    <w:p>
      <w:pPr>
        <w:ind w:left="220" w:firstLine="1624"/>
        <w:spacing w:after="0" w:line="271" w:lineRule="auto"/>
        <w:tabs>
          <w:tab w:leader="none" w:pos="2412" w:val="left"/>
        </w:tabs>
        <w:numPr>
          <w:ilvl w:val="0"/>
          <w:numId w:val="53"/>
        </w:numPr>
        <w:rPr>
          <w:rFonts w:ascii="Arial" w:cs="Arial" w:eastAsia="Arial" w:hAnsi="Arial"/>
          <w:sz w:val="13"/>
          <w:szCs w:val="13"/>
          <w:color w:val="auto"/>
        </w:rPr>
      </w:pPr>
      <w:r>
        <w:rPr>
          <w:rFonts w:ascii="Arial" w:cs="Arial" w:eastAsia="Arial" w:hAnsi="Arial"/>
          <w:sz w:val="13"/>
          <w:szCs w:val="13"/>
          <w:color w:val="auto"/>
        </w:rPr>
        <w:t>Except as otherwise provided herein, a LIBOR Rate Loan may be continued or Converted only on the last day of an Interest Period for such LIBOR Rate Loan. During the existence of a Default or an Event of Default, no Loans may be requested as, Converted to or continued as LIBOR Rate Loans without the Consent of the Required Lenders.</w:t>
      </w:r>
    </w:p>
    <w:p>
      <w:pPr>
        <w:spacing w:after="0" w:line="112" w:lineRule="exact"/>
        <w:rPr>
          <w:rFonts w:ascii="Arial" w:cs="Arial" w:eastAsia="Arial" w:hAnsi="Arial"/>
          <w:sz w:val="13"/>
          <w:szCs w:val="13"/>
          <w:color w:val="auto"/>
        </w:rPr>
      </w:pPr>
    </w:p>
    <w:p>
      <w:pPr>
        <w:jc w:val="both"/>
        <w:ind w:left="220" w:firstLine="1624"/>
        <w:spacing w:after="0" w:line="258" w:lineRule="auto"/>
        <w:tabs>
          <w:tab w:leader="none" w:pos="2397"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Agent shall promptly notify the Lead Borrower and the Lenders of the interest rate applicable to any Interest Period for LIBOR Rate Loans upon determination of such interest rate. At any time that Base Rate Loans are outstanding, the Agent shall notify the Lead Borrower and the Lenders of any change in Bank of America’s prime rate used in determining the Base Rate promptly following the public announcement of such change.</w:t>
      </w:r>
    </w:p>
    <w:p>
      <w:pPr>
        <w:spacing w:after="0" w:line="121" w:lineRule="exact"/>
        <w:rPr>
          <w:rFonts w:ascii="Arial" w:cs="Arial" w:eastAsia="Arial" w:hAnsi="Arial"/>
          <w:sz w:val="13"/>
          <w:szCs w:val="13"/>
          <w:color w:val="auto"/>
        </w:rPr>
      </w:pPr>
    </w:p>
    <w:p>
      <w:pPr>
        <w:jc w:val="both"/>
        <w:ind w:left="220" w:firstLine="1624"/>
        <w:spacing w:after="0" w:line="258" w:lineRule="auto"/>
        <w:tabs>
          <w:tab w:leader="none" w:pos="2419" w:val="left"/>
        </w:tabs>
        <w:numPr>
          <w:ilvl w:val="0"/>
          <w:numId w:val="53"/>
        </w:numPr>
        <w:rPr>
          <w:rFonts w:ascii="Arial" w:cs="Arial" w:eastAsia="Arial" w:hAnsi="Arial"/>
          <w:sz w:val="13"/>
          <w:szCs w:val="13"/>
          <w:color w:val="auto"/>
        </w:rPr>
      </w:pPr>
      <w:r>
        <w:rPr>
          <w:rFonts w:ascii="Arial" w:cs="Arial" w:eastAsia="Arial" w:hAnsi="Arial"/>
          <w:sz w:val="13"/>
          <w:szCs w:val="13"/>
          <w:color w:val="auto"/>
        </w:rPr>
        <w:t>After giving effect to all Committed Borrowings, all Conversions of Committed Loans or the outstanding FILO Loan, as applicable, from one Type to the other, and all continuations of Committed Loans or the outstanding FILO Loan, as applicable, as the same Type, there shall not be more than (i) five (5) Interest Periods in effect with respect to the Revolving Loans that are LIBOR Rate Loans and (ii) one (1) Interest Period in effect with respect to the FILO Loan that is a LIBOR Rate Loan.</w:t>
      </w:r>
    </w:p>
    <w:p>
      <w:pPr>
        <w:spacing w:after="0" w:line="121" w:lineRule="exact"/>
        <w:rPr>
          <w:rFonts w:ascii="Arial" w:cs="Arial" w:eastAsia="Arial" w:hAnsi="Arial"/>
          <w:sz w:val="13"/>
          <w:szCs w:val="13"/>
          <w:color w:val="auto"/>
        </w:rPr>
      </w:pPr>
    </w:p>
    <w:p>
      <w:pPr>
        <w:jc w:val="both"/>
        <w:ind w:left="220" w:firstLine="1624"/>
        <w:spacing w:after="0" w:line="273" w:lineRule="auto"/>
        <w:tabs>
          <w:tab w:leader="none" w:pos="2419" w:val="left"/>
        </w:tabs>
        <w:numPr>
          <w:ilvl w:val="0"/>
          <w:numId w:val="53"/>
        </w:numPr>
        <w:rPr>
          <w:rFonts w:ascii="Arial" w:cs="Arial" w:eastAsia="Arial" w:hAnsi="Arial"/>
          <w:sz w:val="12"/>
          <w:szCs w:val="12"/>
          <w:color w:val="auto"/>
        </w:rPr>
      </w:pPr>
      <w:r>
        <w:rPr>
          <w:rFonts w:ascii="Arial" w:cs="Arial" w:eastAsia="Arial" w:hAnsi="Arial"/>
          <w:sz w:val="12"/>
          <w:szCs w:val="12"/>
          <w:color w:val="auto"/>
        </w:rPr>
        <w:t xml:space="preserve">The Agent, the Lenders, the Swing Line Lender and the L/C Issuer shall have no obligation to make any Loan or to provide any Letter of Credit if an Overadvance would result. The Agent may, in its discretion, make Permitted Overadvances without the consent of the Borrowers, the Lenders, the Swing Line Lender and the L/C Issuer and the Borrowers and each Lender and L/C Issuer shall be bound thereby. Any Permitted Overadvance may, but shall not be required to, constitute a Swing Line Loan. A Permitted Overadvance is for the account of the Borrowers and shall constitute a Base Rate Loan and an Obligation and shall be repaid by the Borrowers in accordance with the provisions </w:t>
      </w:r>
      <w:r>
        <w:rPr>
          <w:rFonts w:ascii="Arial" w:cs="Arial" w:eastAsia="Arial" w:hAnsi="Arial"/>
          <w:sz w:val="12"/>
          <w:szCs w:val="12"/>
          <w:u w:val="single" w:color="auto"/>
          <w:color w:val="auto"/>
        </w:rPr>
        <w:t>Section 2.05(d)</w:t>
      </w:r>
      <w:r>
        <w:rPr>
          <w:rFonts w:ascii="Arial" w:cs="Arial" w:eastAsia="Arial" w:hAnsi="Arial"/>
          <w:sz w:val="12"/>
          <w:szCs w:val="12"/>
          <w:color w:val="auto"/>
        </w:rPr>
        <w:t xml:space="preserve">. The making of any such Permitted Overadvance on any one occasion shall not obligate the Agent or any Lender to make or permit any Permitted Overadvance on any other occasion or to permit such Permitted Overadvances to remain outstanding. The making by the Agent of a Permitted Overadvance shall not modify or abrogate any of the provisions of </w:t>
      </w:r>
      <w:r>
        <w:rPr>
          <w:rFonts w:ascii="Arial" w:cs="Arial" w:eastAsia="Arial" w:hAnsi="Arial"/>
          <w:sz w:val="12"/>
          <w:szCs w:val="12"/>
          <w:u w:val="single" w:color="auto"/>
          <w:color w:val="auto"/>
        </w:rPr>
        <w:t>Section 2.03</w:t>
      </w:r>
      <w:r>
        <w:rPr>
          <w:rFonts w:ascii="Arial" w:cs="Arial" w:eastAsia="Arial" w:hAnsi="Arial"/>
          <w:sz w:val="12"/>
          <w:szCs w:val="12"/>
          <w:color w:val="auto"/>
        </w:rPr>
        <w:t xml:space="preserve"> regarding the Revolving Lenders’ obligations to purchase participations with respect to Letter of Credits or of </w:t>
      </w:r>
      <w:r>
        <w:rPr>
          <w:rFonts w:ascii="Arial" w:cs="Arial" w:eastAsia="Arial" w:hAnsi="Arial"/>
          <w:sz w:val="12"/>
          <w:szCs w:val="12"/>
          <w:u w:val="single" w:color="auto"/>
          <w:color w:val="auto"/>
        </w:rPr>
        <w:t>Section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2.04</w:t>
      </w:r>
      <w:r>
        <w:rPr>
          <w:rFonts w:ascii="Arial" w:cs="Arial" w:eastAsia="Arial" w:hAnsi="Arial"/>
          <w:sz w:val="12"/>
          <w:szCs w:val="12"/>
          <w:color w:val="auto"/>
        </w:rPr>
        <w:t xml:space="preserve"> regarding the Revolving Lenders’ obligations to purchase participations with respect to Swing Line Loans. The Agent shall have no liability for, and no Loan Party or Credit Party shall have the right to, or shall, bring any claim of any kind whatsoever against the Agent with respect to Unintentional Overadvances regardless of the amount of any such Overadvance(s).</w:t>
      </w:r>
    </w:p>
    <w:p>
      <w:pPr>
        <w:spacing w:after="0" w:line="109"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3"/>
          <w:szCs w:val="13"/>
          <w:b w:val="1"/>
          <w:bCs w:val="1"/>
          <w:color w:val="auto"/>
        </w:rPr>
        <w:t>2.03</w:t>
      </w:r>
      <w:r>
        <w:rPr>
          <w:sz w:val="20"/>
          <w:szCs w:val="20"/>
          <w:color w:val="auto"/>
        </w:rPr>
        <w:tab/>
      </w:r>
      <w:r>
        <w:rPr>
          <w:rFonts w:ascii="Arial" w:cs="Arial" w:eastAsia="Arial" w:hAnsi="Arial"/>
          <w:sz w:val="12"/>
          <w:szCs w:val="12"/>
          <w:b w:val="1"/>
          <w:bCs w:val="1"/>
          <w:color w:val="auto"/>
        </w:rPr>
        <w:t>Letters of Credit</w:t>
      </w:r>
      <w:r>
        <w:rPr>
          <w:rFonts w:ascii="Arial" w:cs="Arial" w:eastAsia="Arial" w:hAnsi="Arial"/>
          <w:sz w:val="12"/>
          <w:szCs w:val="12"/>
          <w:color w:val="auto"/>
        </w:rPr>
        <w:t>.</w:t>
      </w:r>
    </w:p>
    <w:p>
      <w:pPr>
        <w:spacing w:after="0" w:line="152" w:lineRule="exact"/>
        <w:rPr>
          <w:sz w:val="20"/>
          <w:szCs w:val="20"/>
          <w:color w:val="auto"/>
        </w:rPr>
      </w:pPr>
    </w:p>
    <w:p>
      <w:pPr>
        <w:ind w:left="2420" w:hanging="580"/>
        <w:spacing w:after="0"/>
        <w:tabs>
          <w:tab w:leader="none" w:pos="2420" w:val="left"/>
        </w:tabs>
        <w:numPr>
          <w:ilvl w:val="0"/>
          <w:numId w:val="54"/>
        </w:numPr>
        <w:rPr>
          <w:rFonts w:ascii="Arial" w:cs="Arial" w:eastAsia="Arial" w:hAnsi="Arial"/>
          <w:sz w:val="13"/>
          <w:szCs w:val="13"/>
          <w:color w:val="auto"/>
        </w:rPr>
      </w:pPr>
      <w:r>
        <w:rPr>
          <w:rFonts w:ascii="Arial" w:cs="Arial" w:eastAsia="Arial" w:hAnsi="Arial"/>
          <w:sz w:val="13"/>
          <w:szCs w:val="13"/>
          <w:u w:val="single" w:color="auto"/>
          <w:color w:val="auto"/>
        </w:rPr>
        <w:t>The Letter of Credit Commitment</w:t>
      </w:r>
      <w:r>
        <w:rPr>
          <w:rFonts w:ascii="Arial" w:cs="Arial" w:eastAsia="Arial" w:hAnsi="Arial"/>
          <w:sz w:val="13"/>
          <w:szCs w:val="13"/>
          <w:color w:val="auto"/>
        </w:rPr>
        <w:t>.</w:t>
      </w:r>
    </w:p>
    <w:p>
      <w:pPr>
        <w:spacing w:after="0" w:line="147" w:lineRule="exact"/>
        <w:rPr>
          <w:rFonts w:ascii="Arial" w:cs="Arial" w:eastAsia="Arial" w:hAnsi="Arial"/>
          <w:sz w:val="13"/>
          <w:szCs w:val="13"/>
          <w:color w:val="auto"/>
        </w:rPr>
      </w:pPr>
    </w:p>
    <w:p>
      <w:pPr>
        <w:jc w:val="both"/>
        <w:ind w:left="220" w:firstLine="2428"/>
        <w:spacing w:after="0" w:line="258" w:lineRule="auto"/>
        <w:tabs>
          <w:tab w:leader="none" w:pos="3201" w:val="left"/>
        </w:tabs>
        <w:numPr>
          <w:ilvl w:val="1"/>
          <w:numId w:val="54"/>
        </w:numPr>
        <w:rPr>
          <w:rFonts w:ascii="Arial" w:cs="Arial" w:eastAsia="Arial" w:hAnsi="Arial"/>
          <w:sz w:val="13"/>
          <w:szCs w:val="13"/>
          <w:color w:val="auto"/>
        </w:rPr>
      </w:pPr>
      <w:r>
        <w:rPr>
          <w:rFonts w:ascii="Arial" w:cs="Arial" w:eastAsia="Arial" w:hAnsi="Arial"/>
          <w:sz w:val="13"/>
          <w:szCs w:val="13"/>
          <w:color w:val="auto"/>
        </w:rPr>
        <w:t xml:space="preserve">Subject to the terms and conditions set forth herein, (A) the L/C Issuer agrees, in reliance upon the agreements of the Revolving Lenders set forth in this </w:t>
      </w:r>
      <w:r>
        <w:rPr>
          <w:rFonts w:ascii="Arial" w:cs="Arial" w:eastAsia="Arial" w:hAnsi="Arial"/>
          <w:sz w:val="13"/>
          <w:szCs w:val="13"/>
          <w:u w:val="single" w:color="auto"/>
          <w:color w:val="auto"/>
        </w:rPr>
        <w:t>Section 2.03</w:t>
      </w:r>
      <w:r>
        <w:rPr>
          <w:rFonts w:ascii="Arial" w:cs="Arial" w:eastAsia="Arial" w:hAnsi="Arial"/>
          <w:sz w:val="13"/>
          <w:szCs w:val="13"/>
          <w:color w:val="auto"/>
        </w:rPr>
        <w:t>, (1) from time to time on any Business Day during the period from the Closing Date until the Letter of Credit Expiration Date, to issue Letters of Credit for the account of the Borrowers and the other Loan Parties,</w:t>
      </w:r>
    </w:p>
    <w:p>
      <w:pPr>
        <w:spacing w:after="0" w:line="115"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61" w:name="page62"/>
    <w:bookmarkEnd w:id="61"/>
    <w:p>
      <w:pPr>
        <w:jc w:val="both"/>
        <w:ind w:left="220"/>
        <w:spacing w:after="0" w:line="272" w:lineRule="auto"/>
        <w:rPr>
          <w:sz w:val="20"/>
          <w:szCs w:val="20"/>
          <w:color w:val="auto"/>
        </w:rPr>
      </w:pPr>
      <w:r>
        <w:rPr>
          <w:rFonts w:ascii="Arial" w:cs="Arial" w:eastAsia="Arial" w:hAnsi="Arial"/>
          <w:sz w:val="12"/>
          <w:szCs w:val="12"/>
          <w:color w:val="auto"/>
        </w:rPr>
        <w:t xml:space="preserve">and to amend or extend Letters of Credit previously issued by it, in accordance with </w:t>
      </w:r>
      <w:r>
        <w:rPr>
          <w:rFonts w:ascii="Arial" w:cs="Arial" w:eastAsia="Arial" w:hAnsi="Arial"/>
          <w:sz w:val="12"/>
          <w:szCs w:val="12"/>
          <w:u w:val="single" w:color="auto"/>
          <w:color w:val="auto"/>
        </w:rPr>
        <w:t>Section 2.03(b)</w:t>
      </w:r>
      <w:r>
        <w:rPr>
          <w:rFonts w:ascii="Arial" w:cs="Arial" w:eastAsia="Arial" w:hAnsi="Arial"/>
          <w:sz w:val="12"/>
          <w:szCs w:val="12"/>
          <w:color w:val="auto"/>
        </w:rPr>
        <w:t xml:space="preserve"> below, and (2) to honor drawings under the Letters of Credit; and (B) the Revolving Lenders severally agree to participate in Letters of Credit issued for the account of the Borrowers and the other Loan Parties and any drawings thereunder;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after giving effect to any L/C Credit Extension with respect to any Letter of Credit, (x) the Total Revolving Outstandings shall not exceed the Revolving Loan Cap, (y) the aggregate Outstanding Amount of the Committed Loans of any Revolving Lender,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such Revolving Lender’s Applicable Percentage of the Outstanding Amount of all L/C Obligations,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such Revolving Lender’s Applicable Percentage of the Outstanding Amount of all Swing Line Loans shall not exceed such Lender’s Commitment, and (z) the Outstanding Amount of the L/C Obligations shall not exceed the Letter of Credit Sublimit. Each request by the Lead Borrower for the issuance or amendment of a Letter of Credit shall be deemed to be a representation by the Borrowers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Borrowers may, during the foregoing period, obtain Letters of Credit to replace Letters of Credit that have expired or that have been drawn upon and reimbursed. All Existing Letters of Credit shall be deemed to have been issued pursuant hereto, and from and after the Closing Date shall be subject to and governed by the terms and conditions hereof.</w:t>
      </w:r>
    </w:p>
    <w:p>
      <w:pPr>
        <w:spacing w:after="0" w:line="116" w:lineRule="exact"/>
        <w:rPr>
          <w:sz w:val="20"/>
          <w:szCs w:val="20"/>
          <w:color w:val="auto"/>
        </w:rPr>
      </w:pPr>
    </w:p>
    <w:p>
      <w:pPr>
        <w:ind w:left="3240" w:hanging="592"/>
        <w:spacing w:after="0"/>
        <w:tabs>
          <w:tab w:leader="none" w:pos="32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L/C Issuer shall not issue any Letter of Credit, if:</w:t>
      </w:r>
    </w:p>
    <w:p>
      <w:pPr>
        <w:spacing w:after="0" w:line="147" w:lineRule="exact"/>
        <w:rPr>
          <w:rFonts w:ascii="Arial" w:cs="Arial" w:eastAsia="Arial" w:hAnsi="Arial"/>
          <w:sz w:val="13"/>
          <w:szCs w:val="13"/>
          <w:color w:val="auto"/>
        </w:rPr>
      </w:pPr>
    </w:p>
    <w:p>
      <w:pPr>
        <w:ind w:left="1080" w:firstLine="2229"/>
        <w:spacing w:after="0" w:line="271" w:lineRule="auto"/>
        <w:tabs>
          <w:tab w:leader="none" w:pos="3930" w:val="left"/>
        </w:tabs>
        <w:numPr>
          <w:ilvl w:val="1"/>
          <w:numId w:val="55"/>
        </w:numPr>
        <w:rPr>
          <w:rFonts w:ascii="Arial" w:cs="Arial" w:eastAsia="Arial" w:hAnsi="Arial"/>
          <w:sz w:val="13"/>
          <w:szCs w:val="13"/>
          <w:color w:val="auto"/>
        </w:rPr>
      </w:pPr>
      <w:r>
        <w:rPr>
          <w:rFonts w:ascii="Arial" w:cs="Arial" w:eastAsia="Arial" w:hAnsi="Arial"/>
          <w:sz w:val="13"/>
          <w:szCs w:val="13"/>
          <w:color w:val="auto"/>
        </w:rPr>
        <w:t xml:space="preserve">subject to </w:t>
      </w:r>
      <w:r>
        <w:rPr>
          <w:rFonts w:ascii="Arial" w:cs="Arial" w:eastAsia="Arial" w:hAnsi="Arial"/>
          <w:sz w:val="13"/>
          <w:szCs w:val="13"/>
          <w:u w:val="single" w:color="auto"/>
          <w:color w:val="auto"/>
        </w:rPr>
        <w:t>Section 2.03(b)(iii)</w:t>
      </w:r>
      <w:r>
        <w:rPr>
          <w:rFonts w:ascii="Arial" w:cs="Arial" w:eastAsia="Arial" w:hAnsi="Arial"/>
          <w:sz w:val="13"/>
          <w:szCs w:val="13"/>
          <w:color w:val="auto"/>
        </w:rPr>
        <w:t>, the expiry date of such requested Standby Letter of Credit would occur more than twelve months after the date of issuance or last extension, unless the Required Lenders have approved such expiry date; or</w:t>
      </w:r>
    </w:p>
    <w:p>
      <w:pPr>
        <w:spacing w:after="0" w:line="112" w:lineRule="exact"/>
        <w:rPr>
          <w:rFonts w:ascii="Arial" w:cs="Arial" w:eastAsia="Arial" w:hAnsi="Arial"/>
          <w:sz w:val="13"/>
          <w:szCs w:val="13"/>
          <w:color w:val="auto"/>
        </w:rPr>
      </w:pPr>
    </w:p>
    <w:p>
      <w:pPr>
        <w:ind w:left="3920" w:hanging="610"/>
        <w:spacing w:after="0"/>
        <w:tabs>
          <w:tab w:leader="none" w:pos="3920" w:val="left"/>
        </w:tabs>
        <w:numPr>
          <w:ilvl w:val="1"/>
          <w:numId w:val="55"/>
        </w:numPr>
        <w:rPr>
          <w:rFonts w:ascii="Arial" w:cs="Arial" w:eastAsia="Arial" w:hAnsi="Arial"/>
          <w:sz w:val="12"/>
          <w:szCs w:val="12"/>
          <w:color w:val="auto"/>
        </w:rPr>
      </w:pPr>
      <w:r>
        <w:rPr>
          <w:rFonts w:ascii="Arial" w:cs="Arial" w:eastAsia="Arial" w:hAnsi="Arial"/>
          <w:sz w:val="12"/>
          <w:szCs w:val="12"/>
          <w:color w:val="auto"/>
        </w:rPr>
        <w:t>the expiry date of such requested Commercial Letter of Credit would occur more than 120 days after the date of issuance, unless the</w:t>
      </w:r>
    </w:p>
    <w:p>
      <w:pPr>
        <w:spacing w:after="0" w:line="25" w:lineRule="exact"/>
        <w:rPr>
          <w:rFonts w:ascii="Arial" w:cs="Arial" w:eastAsia="Arial" w:hAnsi="Arial"/>
          <w:sz w:val="12"/>
          <w:szCs w:val="12"/>
          <w:color w:val="auto"/>
        </w:rPr>
      </w:pPr>
    </w:p>
    <w:p>
      <w:pPr>
        <w:ind w:left="1080"/>
        <w:spacing w:after="0"/>
        <w:rPr>
          <w:rFonts w:ascii="Arial" w:cs="Arial" w:eastAsia="Arial" w:hAnsi="Arial"/>
          <w:sz w:val="12"/>
          <w:szCs w:val="12"/>
          <w:color w:val="auto"/>
        </w:rPr>
      </w:pPr>
      <w:r>
        <w:rPr>
          <w:rFonts w:ascii="Arial" w:cs="Arial" w:eastAsia="Arial" w:hAnsi="Arial"/>
          <w:sz w:val="13"/>
          <w:szCs w:val="13"/>
          <w:color w:val="auto"/>
        </w:rPr>
        <w:t>Required Lenders have approved such expiry date; or</w:t>
      </w:r>
    </w:p>
    <w:p>
      <w:pPr>
        <w:spacing w:after="0" w:line="137" w:lineRule="exact"/>
        <w:rPr>
          <w:rFonts w:ascii="Arial" w:cs="Arial" w:eastAsia="Arial" w:hAnsi="Arial"/>
          <w:sz w:val="12"/>
          <w:szCs w:val="12"/>
          <w:color w:val="auto"/>
        </w:rPr>
      </w:pPr>
    </w:p>
    <w:p>
      <w:pPr>
        <w:jc w:val="both"/>
        <w:ind w:left="1080" w:firstLine="2230"/>
        <w:spacing w:after="0" w:line="258" w:lineRule="auto"/>
        <w:tabs>
          <w:tab w:leader="none" w:pos="3923" w:val="left"/>
        </w:tabs>
        <w:numPr>
          <w:ilvl w:val="1"/>
          <w:numId w:val="55"/>
        </w:numPr>
        <w:rPr>
          <w:rFonts w:ascii="Arial" w:cs="Arial" w:eastAsia="Arial" w:hAnsi="Arial"/>
          <w:sz w:val="13"/>
          <w:szCs w:val="13"/>
          <w:color w:val="auto"/>
        </w:rPr>
      </w:pPr>
      <w:r>
        <w:rPr>
          <w:rFonts w:ascii="Arial" w:cs="Arial" w:eastAsia="Arial" w:hAnsi="Arial"/>
          <w:sz w:val="13"/>
          <w:szCs w:val="13"/>
          <w:color w:val="auto"/>
        </w:rPr>
        <w:t>the expiry date of such requested Letter of Credit would occur after the Letter of Credit Expiration Date, unless either such Letter of Credit is Cash Collateralized on or prior to the date of issuance of such Letter of Credit (or such later date as to which the Agent may agree) or all the Revolving Lenders have approved such expiry date; or.</w:t>
      </w:r>
    </w:p>
    <w:p>
      <w:pPr>
        <w:spacing w:after="0" w:line="121" w:lineRule="exact"/>
        <w:rPr>
          <w:rFonts w:ascii="Arial" w:cs="Arial" w:eastAsia="Arial" w:hAnsi="Arial"/>
          <w:sz w:val="13"/>
          <w:szCs w:val="13"/>
          <w:color w:val="auto"/>
        </w:rPr>
      </w:pPr>
    </w:p>
    <w:p>
      <w:pPr>
        <w:jc w:val="both"/>
        <w:ind w:left="1080" w:firstLine="2230"/>
        <w:spacing w:after="0" w:line="278" w:lineRule="auto"/>
        <w:tabs>
          <w:tab w:leader="none" w:pos="3932" w:val="left"/>
        </w:tabs>
        <w:numPr>
          <w:ilvl w:val="1"/>
          <w:numId w:val="55"/>
        </w:numPr>
        <w:rPr>
          <w:rFonts w:ascii="Arial" w:cs="Arial" w:eastAsia="Arial" w:hAnsi="Arial"/>
          <w:sz w:val="12"/>
          <w:szCs w:val="12"/>
          <w:color w:val="auto"/>
        </w:rPr>
      </w:pPr>
      <w:r>
        <w:rPr>
          <w:rFonts w:ascii="Arial" w:cs="Arial" w:eastAsia="Arial" w:hAnsi="Arial"/>
          <w:sz w:val="12"/>
          <w:szCs w:val="12"/>
          <w:color w:val="auto"/>
        </w:rPr>
        <w:t>any order, judgment or decree of any Governmental Authority or arbitrator shall by its terms purport to enjoin or restrain the L/C Issuer from issuing such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such Letter of Credit in particular or shall impose upon the L/C Issuer with respect to such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spacing w:after="0" w:line="110" w:lineRule="exact"/>
        <w:rPr>
          <w:rFonts w:ascii="Arial" w:cs="Arial" w:eastAsia="Arial" w:hAnsi="Arial"/>
          <w:sz w:val="12"/>
          <w:szCs w:val="12"/>
          <w:color w:val="auto"/>
        </w:rPr>
      </w:pPr>
    </w:p>
    <w:p>
      <w:pPr>
        <w:ind w:left="3900" w:hanging="591"/>
        <w:spacing w:after="0"/>
        <w:tabs>
          <w:tab w:leader="none" w:pos="3900" w:val="left"/>
        </w:tabs>
        <w:numPr>
          <w:ilvl w:val="1"/>
          <w:numId w:val="55"/>
        </w:numPr>
        <w:rPr>
          <w:rFonts w:ascii="Arial" w:cs="Arial" w:eastAsia="Arial" w:hAnsi="Arial"/>
          <w:sz w:val="13"/>
          <w:szCs w:val="13"/>
          <w:color w:val="auto"/>
        </w:rPr>
      </w:pPr>
      <w:r>
        <w:rPr>
          <w:rFonts w:ascii="Arial" w:cs="Arial" w:eastAsia="Arial" w:hAnsi="Arial"/>
          <w:sz w:val="13"/>
          <w:szCs w:val="13"/>
          <w:color w:val="auto"/>
        </w:rPr>
        <w:t>the issuance of such Letter of Credit would violate one or more policies of the L/C Issuer applicable to letters of credit generally;</w:t>
      </w:r>
    </w:p>
    <w:p>
      <w:pPr>
        <w:spacing w:after="0" w:line="147" w:lineRule="exact"/>
        <w:rPr>
          <w:rFonts w:ascii="Arial" w:cs="Arial" w:eastAsia="Arial" w:hAnsi="Arial"/>
          <w:sz w:val="13"/>
          <w:szCs w:val="13"/>
          <w:color w:val="auto"/>
        </w:rPr>
      </w:pPr>
    </w:p>
    <w:p>
      <w:pPr>
        <w:jc w:val="both"/>
        <w:ind w:left="1080" w:firstLine="2229"/>
        <w:spacing w:after="0" w:line="258" w:lineRule="auto"/>
        <w:tabs>
          <w:tab w:leader="none" w:pos="3909" w:val="left"/>
        </w:tabs>
        <w:numPr>
          <w:ilvl w:val="1"/>
          <w:numId w:val="55"/>
        </w:numPr>
        <w:rPr>
          <w:rFonts w:ascii="Arial" w:cs="Arial" w:eastAsia="Arial" w:hAnsi="Arial"/>
          <w:sz w:val="13"/>
          <w:szCs w:val="13"/>
          <w:color w:val="auto"/>
        </w:rPr>
      </w:pPr>
      <w:r>
        <w:rPr>
          <w:rFonts w:ascii="Arial" w:cs="Arial" w:eastAsia="Arial" w:hAnsi="Arial"/>
          <w:sz w:val="13"/>
          <w:szCs w:val="13"/>
          <w:color w:val="auto"/>
        </w:rPr>
        <w:t xml:space="preserve">except as otherwise agreed by the Agent, such Letter of Credit is to be denominated in a currency other than Dollars;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the L/C Issuer, with the consent of the Agent, issues a Letter of Credit denominated in a currency other than Dollars, all reimbursements by the Borrowers of the honoring of any drawing under such Letter of Credit shall be paid in the currency in which such Letter of Credit was denominated;</w:t>
      </w:r>
    </w:p>
    <w:p>
      <w:pPr>
        <w:spacing w:after="0" w:line="269"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62" w:name="page63"/>
    <w:bookmarkEnd w:id="62"/>
    <w:p>
      <w:pPr>
        <w:ind w:left="3920" w:hanging="610"/>
        <w:spacing w:after="0"/>
        <w:tabs>
          <w:tab w:leader="none" w:pos="3920" w:val="left"/>
        </w:tabs>
        <w:numPr>
          <w:ilvl w:val="3"/>
          <w:numId w:val="56"/>
        </w:numPr>
        <w:rPr>
          <w:rFonts w:ascii="Arial" w:cs="Arial" w:eastAsia="Arial" w:hAnsi="Arial"/>
          <w:sz w:val="12"/>
          <w:szCs w:val="12"/>
          <w:color w:val="auto"/>
        </w:rPr>
      </w:pPr>
      <w:r>
        <w:rPr>
          <w:rFonts w:ascii="Arial" w:cs="Arial" w:eastAsia="Arial" w:hAnsi="Arial"/>
          <w:sz w:val="12"/>
          <w:szCs w:val="12"/>
          <w:color w:val="auto"/>
        </w:rPr>
        <w:t>such Letter of Credit contains any provisions for automatic reinstatement of the Stated Amount after any drawing thereunder; or</w:t>
      </w:r>
    </w:p>
    <w:p>
      <w:pPr>
        <w:spacing w:after="0" w:line="160" w:lineRule="exact"/>
        <w:rPr>
          <w:rFonts w:ascii="Arial" w:cs="Arial" w:eastAsia="Arial" w:hAnsi="Arial"/>
          <w:sz w:val="12"/>
          <w:szCs w:val="12"/>
          <w:color w:val="auto"/>
        </w:rPr>
      </w:pPr>
    </w:p>
    <w:p>
      <w:pPr>
        <w:jc w:val="both"/>
        <w:ind w:left="1080" w:firstLine="2229"/>
        <w:spacing w:after="0" w:line="254" w:lineRule="auto"/>
        <w:tabs>
          <w:tab w:leader="none" w:pos="3931" w:val="left"/>
        </w:tabs>
        <w:numPr>
          <w:ilvl w:val="3"/>
          <w:numId w:val="56"/>
        </w:numPr>
        <w:rPr>
          <w:rFonts w:ascii="Arial" w:cs="Arial" w:eastAsia="Arial" w:hAnsi="Arial"/>
          <w:sz w:val="13"/>
          <w:szCs w:val="13"/>
          <w:color w:val="auto"/>
        </w:rPr>
      </w:pPr>
      <w:r>
        <w:rPr>
          <w:rFonts w:ascii="Arial" w:cs="Arial" w:eastAsia="Arial" w:hAnsi="Arial"/>
          <w:sz w:val="13"/>
          <w:szCs w:val="13"/>
          <w:color w:val="auto"/>
        </w:rPr>
        <w:t xml:space="preserve">any Revolving Lender is at that time a Defaulting Lender, unless the L/C Issuer has entered into arrangements, including the delivery of Cash Collateral, satisfactory to the L/C Issuer (in its sole discretion) with the Borrowers or such Revolving Lender to eliminate the L/C Issuer’s actual or potential Fronting Exposure (after giving effect to </w:t>
      </w:r>
      <w:r>
        <w:rPr>
          <w:rFonts w:ascii="Arial" w:cs="Arial" w:eastAsia="Arial" w:hAnsi="Arial"/>
          <w:sz w:val="13"/>
          <w:szCs w:val="13"/>
          <w:u w:val="single" w:color="auto"/>
          <w:color w:val="auto"/>
        </w:rPr>
        <w:t>Section 2.16(a)(iv)</w:t>
      </w:r>
      <w:r>
        <w:rPr>
          <w:rFonts w:ascii="Arial" w:cs="Arial" w:eastAsia="Arial" w:hAnsi="Arial"/>
          <w:sz w:val="13"/>
          <w:szCs w:val="13"/>
          <w:color w:val="auto"/>
        </w:rPr>
        <w:t>) with respect to the Defaulting Lender arising from either (x) the Letter of Credit then proposed to be issued or (y) that Letter of Credit and all other L/C Obligations as to which the L/C Issuer has actual or potential Fronting Exposure, as it may elect in its sole discretion.</w:t>
      </w:r>
    </w:p>
    <w:p>
      <w:pPr>
        <w:spacing w:after="0" w:line="123" w:lineRule="exact"/>
        <w:rPr>
          <w:rFonts w:ascii="Arial" w:cs="Arial" w:eastAsia="Arial" w:hAnsi="Arial"/>
          <w:sz w:val="13"/>
          <w:szCs w:val="13"/>
          <w:color w:val="auto"/>
        </w:rPr>
      </w:pPr>
    </w:p>
    <w:p>
      <w:pPr>
        <w:ind w:left="220" w:firstLine="2432"/>
        <w:spacing w:after="0" w:line="271" w:lineRule="auto"/>
        <w:tabs>
          <w:tab w:leader="none" w:pos="3273" w:val="left"/>
        </w:tabs>
        <w:numPr>
          <w:ilvl w:val="2"/>
          <w:numId w:val="57"/>
        </w:numPr>
        <w:rPr>
          <w:rFonts w:ascii="Arial" w:cs="Arial" w:eastAsia="Arial" w:hAnsi="Arial"/>
          <w:sz w:val="13"/>
          <w:szCs w:val="13"/>
          <w:color w:val="auto"/>
        </w:rPr>
      </w:pPr>
      <w:r>
        <w:rPr>
          <w:rFonts w:ascii="Arial" w:cs="Arial" w:eastAsia="Arial" w:hAnsi="Arial"/>
          <w:sz w:val="13"/>
          <w:szCs w:val="13"/>
          <w:color w:val="auto"/>
        </w:rPr>
        <w:t>The L/C Issuer shall not amend any Letter of Credit if the L/C Issuer would not be permitted at such time to issue such Letter of Credit in its amended form under the terms hereof or if the beneficiary of such Letter of Credit does not accept the proposed amendment to such Letter of Credit.</w:t>
      </w:r>
    </w:p>
    <w:p>
      <w:pPr>
        <w:spacing w:after="0" w:line="112" w:lineRule="exact"/>
        <w:rPr>
          <w:rFonts w:ascii="Arial" w:cs="Arial" w:eastAsia="Arial" w:hAnsi="Arial"/>
          <w:sz w:val="13"/>
          <w:szCs w:val="13"/>
          <w:color w:val="auto"/>
        </w:rPr>
      </w:pPr>
    </w:p>
    <w:p>
      <w:pPr>
        <w:jc w:val="both"/>
        <w:ind w:left="220" w:firstLine="2432"/>
        <w:spacing w:after="0" w:line="254" w:lineRule="auto"/>
        <w:tabs>
          <w:tab w:leader="none" w:pos="3266" w:val="left"/>
        </w:tabs>
        <w:numPr>
          <w:ilvl w:val="2"/>
          <w:numId w:val="57"/>
        </w:numPr>
        <w:rPr>
          <w:rFonts w:ascii="Arial" w:cs="Arial" w:eastAsia="Arial" w:hAnsi="Arial"/>
          <w:sz w:val="13"/>
          <w:szCs w:val="13"/>
          <w:color w:val="auto"/>
        </w:rPr>
      </w:pPr>
      <w:r>
        <w:rPr>
          <w:rFonts w:ascii="Arial" w:cs="Arial" w:eastAsia="Arial" w:hAnsi="Arial"/>
          <w:sz w:val="13"/>
          <w:szCs w:val="13"/>
          <w:color w:val="auto"/>
        </w:rPr>
        <w:t xml:space="preserve">The L/C Issuer shall act on behalf of the Revolving Lenders with respect to any Letters of Credit issued by it and the documents associated therewith, and the L/C Issuer shall have all of the benefits and immunities (A) provided to the Agent in </w:t>
      </w:r>
      <w:r>
        <w:rPr>
          <w:rFonts w:ascii="Arial" w:cs="Arial" w:eastAsia="Arial" w:hAnsi="Arial"/>
          <w:sz w:val="13"/>
          <w:szCs w:val="13"/>
          <w:u w:val="single" w:color="auto"/>
          <w:color w:val="auto"/>
        </w:rPr>
        <w:t>Article IX</w:t>
      </w:r>
      <w:r>
        <w:rPr>
          <w:rFonts w:ascii="Arial" w:cs="Arial" w:eastAsia="Arial" w:hAnsi="Arial"/>
          <w:sz w:val="13"/>
          <w:szCs w:val="13"/>
          <w:color w:val="auto"/>
        </w:rPr>
        <w:t xml:space="preserve"> with respect to any acts taken or omissions suffered by the L/C Issuer in connection with Letters of Credit issued by it or proposed to be issued by it and Issuer Documents pertaining to such Letters of Credit as fully as if the term “Agent” as used in </w:t>
      </w:r>
      <w:r>
        <w:rPr>
          <w:rFonts w:ascii="Arial" w:cs="Arial" w:eastAsia="Arial" w:hAnsi="Arial"/>
          <w:sz w:val="13"/>
          <w:szCs w:val="13"/>
          <w:u w:val="single" w:color="auto"/>
          <w:color w:val="auto"/>
        </w:rPr>
        <w:t>Article IX</w:t>
      </w:r>
      <w:r>
        <w:rPr>
          <w:rFonts w:ascii="Arial" w:cs="Arial" w:eastAsia="Arial" w:hAnsi="Arial"/>
          <w:sz w:val="13"/>
          <w:szCs w:val="13"/>
          <w:color w:val="auto"/>
        </w:rPr>
        <w:t xml:space="preserve"> included the L/C Issuer with respect to such acts or omissions, and (B) as additionally provided herein with respect to the L/C Issuer.</w:t>
      </w:r>
    </w:p>
    <w:p>
      <w:pPr>
        <w:spacing w:after="0" w:line="123" w:lineRule="exact"/>
        <w:rPr>
          <w:rFonts w:ascii="Arial" w:cs="Arial" w:eastAsia="Arial" w:hAnsi="Arial"/>
          <w:sz w:val="13"/>
          <w:szCs w:val="13"/>
          <w:color w:val="auto"/>
        </w:rPr>
      </w:pPr>
    </w:p>
    <w:p>
      <w:pPr>
        <w:ind w:left="2420" w:hanging="576"/>
        <w:spacing w:after="0"/>
        <w:tabs>
          <w:tab w:leader="none" w:pos="2420" w:val="left"/>
        </w:tabs>
        <w:numPr>
          <w:ilvl w:val="1"/>
          <w:numId w:val="58"/>
        </w:numPr>
        <w:rPr>
          <w:rFonts w:ascii="Arial" w:cs="Arial" w:eastAsia="Arial" w:hAnsi="Arial"/>
          <w:sz w:val="13"/>
          <w:szCs w:val="13"/>
          <w:color w:val="auto"/>
        </w:rPr>
      </w:pPr>
      <w:r>
        <w:rPr>
          <w:rFonts w:ascii="Arial" w:cs="Arial" w:eastAsia="Arial" w:hAnsi="Arial"/>
          <w:sz w:val="13"/>
          <w:szCs w:val="13"/>
          <w:u w:val="single" w:color="auto"/>
          <w:color w:val="auto"/>
        </w:rPr>
        <w:t>Procedures for Issuance and Amendment of Letters of Credit; Auto-Extension Letters of Credit</w:t>
      </w:r>
      <w:r>
        <w:rPr>
          <w:rFonts w:ascii="Arial" w:cs="Arial" w:eastAsia="Arial" w:hAnsi="Arial"/>
          <w:sz w:val="13"/>
          <w:szCs w:val="13"/>
          <w:color w:val="auto"/>
        </w:rPr>
        <w:t>.</w:t>
      </w:r>
    </w:p>
    <w:p>
      <w:pPr>
        <w:spacing w:after="0" w:line="93" w:lineRule="exact"/>
        <w:rPr>
          <w:rFonts w:ascii="Arial" w:cs="Arial" w:eastAsia="Arial" w:hAnsi="Arial"/>
          <w:sz w:val="13"/>
          <w:szCs w:val="13"/>
          <w:color w:val="auto"/>
        </w:rPr>
      </w:pPr>
    </w:p>
    <w:p>
      <w:pPr>
        <w:jc w:val="both"/>
        <w:ind w:left="220" w:firstLine="2432"/>
        <w:spacing w:after="0" w:line="292" w:lineRule="auto"/>
        <w:tabs>
          <w:tab w:leader="none" w:pos="3201" w:val="left"/>
        </w:tabs>
        <w:numPr>
          <w:ilvl w:val="2"/>
          <w:numId w:val="58"/>
        </w:numPr>
        <w:rPr>
          <w:rFonts w:ascii="Arial" w:cs="Arial" w:eastAsia="Arial" w:hAnsi="Arial"/>
          <w:sz w:val="11"/>
          <w:szCs w:val="11"/>
          <w:color w:val="auto"/>
        </w:rPr>
      </w:pPr>
      <w:r>
        <w:rPr>
          <w:rFonts w:ascii="Arial" w:cs="Arial" w:eastAsia="Arial" w:hAnsi="Arial"/>
          <w:sz w:val="11"/>
          <w:szCs w:val="11"/>
          <w:color w:val="auto"/>
        </w:rPr>
        <w:t>Each Letter of Credit shall be issued or amended, as the case may be, upon the request of the Lead Borrower delivered to the L/C Issuer (with a copy to the Agent) in the form of a Letter of Credit Application, appropriately completed and signed by a Responsible Officer of the Lead Borrower. Such Letter of Credit Application may be sent by facsimile, by United States mail, by overnight courier, by electronic transmission using the system provided by the L/C Issuer, by personal delivery or by any other means acceptable to the L/C Issuer. Such Letter of Credit Application must be received by the L/C Issuer and the Agent not later than 11:00 a.m. at least two (2) Business Days (or such other date and time as the Agent and the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the L/C Issuer: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and (G) such other matters as the L/C Issuer may require. In the case of a request for an amendment of any outstanding Letter of Credit, such Letter of Credit Application shall specify in form and detail satisfactory to the L/C Issuer (A) the Letter of Credit to be amended; (B) the proposed date of amendment thereof (which shall be a Business Day);</w:t>
      </w:r>
    </w:p>
    <w:p>
      <w:pPr>
        <w:spacing w:after="0" w:line="3" w:lineRule="exact"/>
        <w:rPr>
          <w:rFonts w:ascii="Arial" w:cs="Arial" w:eastAsia="Arial" w:hAnsi="Arial"/>
          <w:sz w:val="11"/>
          <w:szCs w:val="11"/>
          <w:color w:val="auto"/>
        </w:rPr>
      </w:pPr>
    </w:p>
    <w:p>
      <w:pPr>
        <w:ind w:left="220" w:firstLine="8"/>
        <w:spacing w:after="0" w:line="255" w:lineRule="auto"/>
        <w:tabs>
          <w:tab w:leader="none" w:pos="431"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nature of the proposed amendment; and (D) such other matters as the L/C Issuer may require. Additionally, the Lead Borrower shall furnish to the L/C Issuer and the Agent such other documents and information pertaining to such requested Letter of Credit issuance or amendment, including any Issuer Documents, as the L/C Issuer or the Agent may require.</w:t>
      </w:r>
    </w:p>
    <w:p>
      <w:pPr>
        <w:spacing w:after="0" w:line="270"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63" w:name="page64"/>
    <w:bookmarkEnd w:id="63"/>
    <w:p>
      <w:pPr>
        <w:jc w:val="both"/>
        <w:ind w:left="220" w:firstLine="2432"/>
        <w:spacing w:after="0" w:line="271" w:lineRule="auto"/>
        <w:tabs>
          <w:tab w:leader="none" w:pos="3238" w:val="left"/>
        </w:tabs>
        <w:numPr>
          <w:ilvl w:val="0"/>
          <w:numId w:val="60"/>
        </w:numPr>
        <w:rPr>
          <w:rFonts w:ascii="Arial" w:cs="Arial" w:eastAsia="Arial" w:hAnsi="Arial"/>
          <w:sz w:val="12"/>
          <w:szCs w:val="12"/>
          <w:color w:val="auto"/>
        </w:rPr>
      </w:pPr>
      <w:r>
        <w:rPr>
          <w:rFonts w:ascii="Arial" w:cs="Arial" w:eastAsia="Arial" w:hAnsi="Arial"/>
          <w:sz w:val="12"/>
          <w:szCs w:val="12"/>
          <w:color w:val="auto"/>
        </w:rPr>
        <w:t xml:space="preserve">Subject to the provisions of </w:t>
      </w:r>
      <w:r>
        <w:rPr>
          <w:rFonts w:ascii="Arial" w:cs="Arial" w:eastAsia="Arial" w:hAnsi="Arial"/>
          <w:sz w:val="12"/>
          <w:szCs w:val="12"/>
          <w:u w:val="single" w:color="auto"/>
          <w:color w:val="auto"/>
        </w:rPr>
        <w:t>Section 2.02(b)(iv)</w:t>
      </w:r>
      <w:r>
        <w:rPr>
          <w:rFonts w:ascii="Arial" w:cs="Arial" w:eastAsia="Arial" w:hAnsi="Arial"/>
          <w:sz w:val="12"/>
          <w:szCs w:val="12"/>
          <w:color w:val="auto"/>
        </w:rPr>
        <w:t xml:space="preserve"> hereof, promptly after receipt of any Letter of Credit Application, the L/C Issuer will confirm with the Agent (by telephone or in writing) that the Agent has received a copy of such Letter of Credit Application from the Lead Borrower and, if not, the L/C Issuer will provide the Agent with a copy thereof. Unless the L/C Issuer has received written notice from any Revolving Lender, the Agent or any Loan Party, at least one (1) Business Day prior to the requested date of issuance or amendment of the applicable Letter of Credit, that one or more applicable conditions contained in </w:t>
      </w:r>
      <w:r>
        <w:rPr>
          <w:rFonts w:ascii="Arial" w:cs="Arial" w:eastAsia="Arial" w:hAnsi="Arial"/>
          <w:sz w:val="12"/>
          <w:szCs w:val="12"/>
          <w:u w:val="single" w:color="auto"/>
          <w:color w:val="auto"/>
        </w:rPr>
        <w:t>Article IV</w:t>
      </w:r>
      <w:r>
        <w:rPr>
          <w:rFonts w:ascii="Arial" w:cs="Arial" w:eastAsia="Arial" w:hAnsi="Arial"/>
          <w:sz w:val="12"/>
          <w:szCs w:val="12"/>
          <w:color w:val="auto"/>
        </w:rPr>
        <w:t xml:space="preserve"> shall not then be satisfied or unless the L/C Issuer would not be permitted, or would have no obligation, at such time to issue such Letter of Credit under the terms hereof (by reason of the provisions of </w:t>
      </w:r>
      <w:r>
        <w:rPr>
          <w:rFonts w:ascii="Arial" w:cs="Arial" w:eastAsia="Arial" w:hAnsi="Arial"/>
          <w:sz w:val="12"/>
          <w:szCs w:val="12"/>
          <w:u w:val="single" w:color="auto"/>
          <w:color w:val="auto"/>
        </w:rPr>
        <w:t>Section 2.03(a)(ii)</w:t>
      </w:r>
      <w:r>
        <w:rPr>
          <w:rFonts w:ascii="Arial" w:cs="Arial" w:eastAsia="Arial" w:hAnsi="Arial"/>
          <w:sz w:val="12"/>
          <w:szCs w:val="12"/>
          <w:color w:val="auto"/>
        </w:rPr>
        <w:t xml:space="preserve"> or otherwise), then, subject to the terms and conditions hereof, the L/C Issuer shall, on the requested date, issue a Letter of Credit for the account of the applicable Borrower or the applicable Loan Party or enter into the applicable amendment, as the case may be, in each case in accordance with the L/C Issuer's usual and customary business practices. Immediately upon the issuance or amendment of each Letter of Credit, each Revolving Lender shall be deemed to (without any further action), and hereby irrevocably and unconditionally agrees to, purchase from the L/C Issuer, without recourse or warranty, a risk participation in such Letter of Credit in an amount equal to the product of such Revolving Lender’s Applicable Percentage </w:t>
      </w:r>
      <w:r>
        <w:rPr>
          <w:rFonts w:ascii="Arial" w:cs="Arial" w:eastAsia="Arial" w:hAnsi="Arial"/>
          <w:sz w:val="12"/>
          <w:szCs w:val="12"/>
          <w:u w:val="single" w:color="auto"/>
          <w:color w:val="auto"/>
        </w:rPr>
        <w:t>times</w:t>
      </w:r>
      <w:r>
        <w:rPr>
          <w:rFonts w:ascii="Arial" w:cs="Arial" w:eastAsia="Arial" w:hAnsi="Arial"/>
          <w:sz w:val="12"/>
          <w:szCs w:val="12"/>
          <w:color w:val="auto"/>
        </w:rPr>
        <w:t xml:space="preserve"> the Stated Amount of such Letter of Credit. Upon any change in the Aggregate Revolving Commitments under this Agreement, it is hereby agreed that with respect to all L/C Obligations, there shall be an automatic adjustment to the participations hereby created to reflect the new Applicable Percentages of the assigning and assignee Revolving Lenders.</w:t>
      </w:r>
    </w:p>
    <w:p>
      <w:pPr>
        <w:spacing w:after="0" w:line="118" w:lineRule="exact"/>
        <w:rPr>
          <w:rFonts w:ascii="Arial" w:cs="Arial" w:eastAsia="Arial" w:hAnsi="Arial"/>
          <w:sz w:val="12"/>
          <w:szCs w:val="12"/>
          <w:color w:val="auto"/>
        </w:rPr>
      </w:pPr>
    </w:p>
    <w:p>
      <w:pPr>
        <w:jc w:val="both"/>
        <w:ind w:left="220" w:firstLine="2432"/>
        <w:spacing w:after="0" w:line="271" w:lineRule="auto"/>
        <w:tabs>
          <w:tab w:leader="none" w:pos="3274" w:val="left"/>
        </w:tabs>
        <w:numPr>
          <w:ilvl w:val="0"/>
          <w:numId w:val="60"/>
        </w:numPr>
        <w:rPr>
          <w:rFonts w:ascii="Arial" w:cs="Arial" w:eastAsia="Arial" w:hAnsi="Arial"/>
          <w:sz w:val="12"/>
          <w:szCs w:val="12"/>
          <w:color w:val="auto"/>
        </w:rPr>
      </w:pPr>
      <w:r>
        <w:rPr>
          <w:rFonts w:ascii="Arial" w:cs="Arial" w:eastAsia="Arial" w:hAnsi="Arial"/>
          <w:sz w:val="12"/>
          <w:szCs w:val="12"/>
          <w:color w:val="auto"/>
        </w:rPr>
        <w:t xml:space="preserve">If the Lead Borrower so requests in any applicable Letter of Credit Application, the L/C Issuer may, in its sole and absolute discretion, agree to issue a Standby Letter of Credit that has automatic extension provisions (each, an “Auto-Extension Letter of Credit”); provided that any such Auto-Extension Letter of Credit must permit the L/C Issuer to prevent any such extension at least once in each twelve-month period (commencing with the date of issuance of such Standby Letter of Credit) by giving prior notice to the beneficiary thereof not later than a day (the “Non-Extension Notice Date”) in each such twelve-month period to be agreed upon at the time such Standby Letter of Credit is issued. Unless otherwise directed by the L/C Issuer, the Lead Borrower shall not be required to make a specific request to the L/C Issuer for any such extension. Once an Auto-Extension Letter of Credit has been issued, the Revolving Lenders shall be deemed to have authorized (but may not require) the L/C Issuer to permit the extension of such Standby Letter of Credit at any time to an expiry date not later than the Letter of Credit Expiration Date;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the L/C Issuer shall not permit any such extension if (A) the L/C Issuer has determined that it would not be permitted, or would have no obligation, at such time to issue such Standby Letter of Credit in its revised form (as extended) under the terms hereof (by reason of the provisions of </w:t>
      </w:r>
      <w:r>
        <w:rPr>
          <w:rFonts w:ascii="Arial" w:cs="Arial" w:eastAsia="Arial" w:hAnsi="Arial"/>
          <w:sz w:val="12"/>
          <w:szCs w:val="12"/>
          <w:u w:val="single" w:color="auto"/>
          <w:color w:val="auto"/>
        </w:rPr>
        <w:t>Section 2.03(a)(ii)</w:t>
      </w:r>
      <w:r>
        <w:rPr>
          <w:rFonts w:ascii="Arial" w:cs="Arial" w:eastAsia="Arial" w:hAnsi="Arial"/>
          <w:sz w:val="12"/>
          <w:szCs w:val="12"/>
          <w:color w:val="auto"/>
        </w:rPr>
        <w:t xml:space="preserve"> or otherwise), or (B) it has received notice (which may be by telephone or in writing) on or before the day that is seven Business Days before the Non-Extension Notice Date (1) from the Agent that the Required Lenders have elected not to permit such extension or (2) from the Agent, any Revolving Lender or the Lead Borrower that one or more of the applicable conditions specified in </w:t>
      </w:r>
      <w:r>
        <w:rPr>
          <w:rFonts w:ascii="Arial" w:cs="Arial" w:eastAsia="Arial" w:hAnsi="Arial"/>
          <w:sz w:val="12"/>
          <w:szCs w:val="12"/>
          <w:u w:val="single" w:color="auto"/>
          <w:color w:val="auto"/>
        </w:rPr>
        <w:t>Section 4.02</w:t>
      </w:r>
      <w:r>
        <w:rPr>
          <w:rFonts w:ascii="Arial" w:cs="Arial" w:eastAsia="Arial" w:hAnsi="Arial"/>
          <w:sz w:val="12"/>
          <w:szCs w:val="12"/>
          <w:color w:val="auto"/>
        </w:rPr>
        <w:t xml:space="preserve"> is not then satisfied, and in each such case directing the L/C Issuer not to permit such extension.</w:t>
      </w:r>
    </w:p>
    <w:p>
      <w:pPr>
        <w:spacing w:after="0" w:line="117" w:lineRule="exact"/>
        <w:rPr>
          <w:rFonts w:ascii="Arial" w:cs="Arial" w:eastAsia="Arial" w:hAnsi="Arial"/>
          <w:sz w:val="12"/>
          <w:szCs w:val="12"/>
          <w:color w:val="auto"/>
        </w:rPr>
      </w:pPr>
    </w:p>
    <w:p>
      <w:pPr>
        <w:jc w:val="both"/>
        <w:ind w:left="220" w:firstLine="2432"/>
        <w:spacing w:after="0" w:line="252" w:lineRule="auto"/>
        <w:tabs>
          <w:tab w:leader="none" w:pos="3267" w:val="left"/>
        </w:tabs>
        <w:numPr>
          <w:ilvl w:val="0"/>
          <w:numId w:val="60"/>
        </w:numPr>
        <w:rPr>
          <w:rFonts w:ascii="Arial" w:cs="Arial" w:eastAsia="Arial" w:hAnsi="Arial"/>
          <w:sz w:val="13"/>
          <w:szCs w:val="13"/>
          <w:color w:val="auto"/>
        </w:rPr>
      </w:pPr>
      <w:r>
        <w:rPr>
          <w:rFonts w:ascii="Arial" w:cs="Arial" w:eastAsia="Arial" w:hAnsi="Arial"/>
          <w:sz w:val="13"/>
          <w:szCs w:val="13"/>
          <w:color w:val="auto"/>
        </w:rPr>
        <w:t xml:space="preserve">Any L/C Issuer (other than Bank of America or any of its Affiliates) shall notify the Agent in writing on each Business Day of all Letters of Credit issued on the prior Business Day by such L/C Issuer,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 until the Agent advises any such L/C Issuer that the provisions of </w:t>
      </w:r>
      <w:r>
        <w:rPr>
          <w:rFonts w:ascii="Arial" w:cs="Arial" w:eastAsia="Arial" w:hAnsi="Arial"/>
          <w:sz w:val="13"/>
          <w:szCs w:val="13"/>
          <w:u w:val="single" w:color="auto"/>
          <w:color w:val="auto"/>
        </w:rPr>
        <w:t>Section 4.02</w:t>
      </w:r>
      <w:r>
        <w:rPr>
          <w:rFonts w:ascii="Arial" w:cs="Arial" w:eastAsia="Arial" w:hAnsi="Arial"/>
          <w:sz w:val="13"/>
          <w:szCs w:val="13"/>
          <w:color w:val="auto"/>
        </w:rPr>
        <w:t xml:space="preserve"> are not satisfied, or (B) the aggregate amount of the Letters of Credit issued in any such week exceeds such amount as shall be agreed by the Agent and the L/C Issuer, such L/C Issuer shall be required to so notify the Agent in writing only once each week of the Letters of Credit issued by such L/C Issuer during the immediately preceding week as well as the daily amounts outstanding for all Letters of Credit issued by it for the prior week, such notice to be furnished on such day of the week as the Agent and such L/C Issuer may agree. The L/C Issuer will also deliver (contemporaneously with the</w:t>
      </w:r>
    </w:p>
    <w:p>
      <w:pPr>
        <w:spacing w:after="0" w:line="272"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64" w:name="page65"/>
    <w:bookmarkEnd w:id="64"/>
    <w:p>
      <w:pPr>
        <w:ind w:left="220"/>
        <w:spacing w:after="0"/>
        <w:rPr>
          <w:sz w:val="20"/>
          <w:szCs w:val="20"/>
          <w:color w:val="auto"/>
        </w:rPr>
      </w:pPr>
      <w:r>
        <w:rPr>
          <w:rFonts w:ascii="Arial" w:cs="Arial" w:eastAsia="Arial" w:hAnsi="Arial"/>
          <w:sz w:val="13"/>
          <w:szCs w:val="13"/>
          <w:color w:val="auto"/>
        </w:rPr>
        <w:t>notification set forth in the first sentence hereof) to the Lead Borrower and the Agent a true and complete copy of such Letter of Credit or amendment.</w:t>
      </w:r>
    </w:p>
    <w:p>
      <w:pPr>
        <w:spacing w:after="0" w:line="149" w:lineRule="exact"/>
        <w:rPr>
          <w:sz w:val="20"/>
          <w:szCs w:val="20"/>
          <w:color w:val="auto"/>
        </w:rPr>
      </w:pPr>
    </w:p>
    <w:p>
      <w:pPr>
        <w:ind w:left="220" w:firstLine="2432"/>
        <w:spacing w:after="0" w:line="271" w:lineRule="auto"/>
        <w:tabs>
          <w:tab w:leader="none" w:pos="3230" w:val="left"/>
        </w:tabs>
        <w:numPr>
          <w:ilvl w:val="1"/>
          <w:numId w:val="61"/>
        </w:numPr>
        <w:rPr>
          <w:rFonts w:ascii="Arial" w:cs="Arial" w:eastAsia="Arial" w:hAnsi="Arial"/>
          <w:sz w:val="13"/>
          <w:szCs w:val="13"/>
          <w:color w:val="auto"/>
        </w:rPr>
      </w:pPr>
      <w:r>
        <w:rPr>
          <w:rFonts w:ascii="Arial" w:cs="Arial" w:eastAsia="Arial" w:hAnsi="Arial"/>
          <w:sz w:val="13"/>
          <w:szCs w:val="13"/>
          <w:color w:val="auto"/>
        </w:rPr>
        <w:t>Promptly after its delivery of any Letter of Credit or any amendment to a Letter of Credit to an advising bank with respect thereto or to the beneficiary thereof, the L/C Issuer will also deliver to the Lead Borrower and the Agent a true and complete copy of such Letter of Credit or amendment.</w:t>
      </w:r>
    </w:p>
    <w:p>
      <w:pPr>
        <w:spacing w:after="0" w:line="112" w:lineRule="exact"/>
        <w:rPr>
          <w:rFonts w:ascii="Arial" w:cs="Arial" w:eastAsia="Arial" w:hAnsi="Arial"/>
          <w:sz w:val="13"/>
          <w:szCs w:val="13"/>
          <w:color w:val="auto"/>
        </w:rPr>
      </w:pPr>
    </w:p>
    <w:p>
      <w:pPr>
        <w:ind w:left="2740" w:hanging="831"/>
        <w:spacing w:after="0"/>
        <w:tabs>
          <w:tab w:leader="none" w:pos="2740" w:val="left"/>
        </w:tabs>
        <w:numPr>
          <w:ilvl w:val="0"/>
          <w:numId w:val="62"/>
        </w:numPr>
        <w:rPr>
          <w:rFonts w:ascii="Arial" w:cs="Arial" w:eastAsia="Arial" w:hAnsi="Arial"/>
          <w:sz w:val="13"/>
          <w:szCs w:val="13"/>
          <w:color w:val="auto"/>
        </w:rPr>
      </w:pPr>
      <w:r>
        <w:rPr>
          <w:rFonts w:ascii="Arial" w:cs="Arial" w:eastAsia="Arial" w:hAnsi="Arial"/>
          <w:sz w:val="13"/>
          <w:szCs w:val="13"/>
          <w:u w:val="single" w:color="auto"/>
          <w:color w:val="auto"/>
        </w:rPr>
        <w:t>Drawings and Reimbursements; Funding of Participations</w:t>
      </w:r>
      <w:r>
        <w:rPr>
          <w:rFonts w:ascii="Arial" w:cs="Arial" w:eastAsia="Arial" w:hAnsi="Arial"/>
          <w:sz w:val="13"/>
          <w:szCs w:val="13"/>
          <w:color w:val="auto"/>
        </w:rPr>
        <w:t>.</w:t>
      </w:r>
    </w:p>
    <w:p>
      <w:pPr>
        <w:spacing w:after="0" w:line="147" w:lineRule="exact"/>
        <w:rPr>
          <w:rFonts w:ascii="Arial" w:cs="Arial" w:eastAsia="Arial" w:hAnsi="Arial"/>
          <w:sz w:val="13"/>
          <w:szCs w:val="13"/>
          <w:color w:val="auto"/>
        </w:rPr>
      </w:pPr>
    </w:p>
    <w:p>
      <w:pPr>
        <w:jc w:val="both"/>
        <w:ind w:left="220" w:firstLine="2432"/>
        <w:spacing w:after="0" w:line="273" w:lineRule="auto"/>
        <w:tabs>
          <w:tab w:leader="none" w:pos="3201" w:val="left"/>
        </w:tabs>
        <w:numPr>
          <w:ilvl w:val="1"/>
          <w:numId w:val="62"/>
        </w:numPr>
        <w:rPr>
          <w:rFonts w:ascii="Arial" w:cs="Arial" w:eastAsia="Arial" w:hAnsi="Arial"/>
          <w:sz w:val="12"/>
          <w:szCs w:val="12"/>
          <w:color w:val="auto"/>
        </w:rPr>
      </w:pPr>
      <w:r>
        <w:rPr>
          <w:rFonts w:ascii="Arial" w:cs="Arial" w:eastAsia="Arial" w:hAnsi="Arial"/>
          <w:sz w:val="12"/>
          <w:szCs w:val="12"/>
          <w:color w:val="auto"/>
        </w:rPr>
        <w:t xml:space="preserve">Upon receipt from the beneficiary of any Letter of Credit of any notice of a drawing under such Letter of Credit, the L/C Issuer shall notify the Lead Borrower and the Agent thereof. Not later than 11:00 a.m. on the date of any payment by the L/C Issuer under a Letter of Credit (each such date, an “Honor Date”), the Borrowers shall reimburse the L/C Issuer through the Agent in an amount equal to the amount of such drawing. If the Borrowers fail to so reimburse the L/C Issuer by such time, the Agent shall promptly notify each Revolving Lender of the Honor Date, the amount of the unreimbursed drawing (the “Unreimbursed Amount”), and the amount of such Revolving Lender’s Applicable Percentage thereof. In such event, the Borrowers shall be deemed to have requested a Committed Borrowing of Base Rate Loans to be disbursed on the Honor Date in an amount equal to the Unreimbursed Amount, without regard to the minimum and multiples specified in </w:t>
      </w:r>
      <w:r>
        <w:rPr>
          <w:rFonts w:ascii="Arial" w:cs="Arial" w:eastAsia="Arial" w:hAnsi="Arial"/>
          <w:sz w:val="12"/>
          <w:szCs w:val="12"/>
          <w:u w:val="single" w:color="auto"/>
          <w:color w:val="auto"/>
        </w:rPr>
        <w:t>Section 2.02</w:t>
      </w:r>
      <w:r>
        <w:rPr>
          <w:rFonts w:ascii="Arial" w:cs="Arial" w:eastAsia="Arial" w:hAnsi="Arial"/>
          <w:sz w:val="12"/>
          <w:szCs w:val="12"/>
          <w:color w:val="auto"/>
        </w:rPr>
        <w:t xml:space="preserve"> for the principal amount of Base Rate Loans, but subject to the amount of the unutilized portion of the Revolving Loan Cap and the conditions set forth in </w:t>
      </w:r>
      <w:r>
        <w:rPr>
          <w:rFonts w:ascii="Arial" w:cs="Arial" w:eastAsia="Arial" w:hAnsi="Arial"/>
          <w:sz w:val="12"/>
          <w:szCs w:val="12"/>
          <w:u w:val="single" w:color="auto"/>
          <w:color w:val="auto"/>
        </w:rPr>
        <w:t>Section 4.02</w:t>
      </w:r>
      <w:r>
        <w:rPr>
          <w:rFonts w:ascii="Arial" w:cs="Arial" w:eastAsia="Arial" w:hAnsi="Arial"/>
          <w:sz w:val="12"/>
          <w:szCs w:val="12"/>
          <w:color w:val="auto"/>
        </w:rPr>
        <w:t xml:space="preserve"> (other than the delivery of a Committed Loan Notice). Any notice given by the L/C Issuer or the Agent pursuant to this </w:t>
      </w:r>
      <w:r>
        <w:rPr>
          <w:rFonts w:ascii="Arial" w:cs="Arial" w:eastAsia="Arial" w:hAnsi="Arial"/>
          <w:sz w:val="12"/>
          <w:szCs w:val="12"/>
          <w:u w:val="single" w:color="auto"/>
          <w:color w:val="auto"/>
        </w:rPr>
        <w:t>Section 2.03(c)(i)</w:t>
      </w:r>
      <w:r>
        <w:rPr>
          <w:rFonts w:ascii="Arial" w:cs="Arial" w:eastAsia="Arial" w:hAnsi="Arial"/>
          <w:sz w:val="12"/>
          <w:szCs w:val="12"/>
          <w:color w:val="auto"/>
        </w:rPr>
        <w:t xml:space="preserve"> may be given by telephone if immediately confirmed in writing; provided that the lack of such an immediate confirmation shall not affect the conclusiveness or binding effect of such notice.</w:t>
      </w:r>
    </w:p>
    <w:p>
      <w:pPr>
        <w:spacing w:after="0" w:line="113" w:lineRule="exact"/>
        <w:rPr>
          <w:sz w:val="20"/>
          <w:szCs w:val="20"/>
          <w:color w:val="auto"/>
        </w:rPr>
      </w:pPr>
    </w:p>
    <w:p>
      <w:pPr>
        <w:jc w:val="both"/>
        <w:ind w:left="220" w:firstLine="2432"/>
        <w:spacing w:after="0" w:line="254" w:lineRule="auto"/>
        <w:tabs>
          <w:tab w:leader="none" w:pos="3238" w:val="left"/>
        </w:tabs>
        <w:numPr>
          <w:ilvl w:val="0"/>
          <w:numId w:val="63"/>
        </w:numPr>
        <w:rPr>
          <w:rFonts w:ascii="Arial" w:cs="Arial" w:eastAsia="Arial" w:hAnsi="Arial"/>
          <w:sz w:val="13"/>
          <w:szCs w:val="13"/>
          <w:color w:val="auto"/>
        </w:rPr>
      </w:pPr>
      <w:r>
        <w:rPr>
          <w:rFonts w:ascii="Arial" w:cs="Arial" w:eastAsia="Arial" w:hAnsi="Arial"/>
          <w:sz w:val="13"/>
          <w:szCs w:val="13"/>
          <w:color w:val="auto"/>
        </w:rPr>
        <w:t xml:space="preserve">Each Revolving Lender shall upon any notice from the Agent pursuant to </w:t>
      </w:r>
      <w:r>
        <w:rPr>
          <w:rFonts w:ascii="Arial" w:cs="Arial" w:eastAsia="Arial" w:hAnsi="Arial"/>
          <w:sz w:val="13"/>
          <w:szCs w:val="13"/>
          <w:u w:val="single" w:color="auto"/>
          <w:color w:val="auto"/>
        </w:rPr>
        <w:t>Section 2.03(c)(i)</w:t>
      </w:r>
      <w:r>
        <w:rPr>
          <w:rFonts w:ascii="Arial" w:cs="Arial" w:eastAsia="Arial" w:hAnsi="Arial"/>
          <w:sz w:val="13"/>
          <w:szCs w:val="13"/>
          <w:color w:val="auto"/>
        </w:rPr>
        <w:t xml:space="preserve"> make funds available to the Agent (and the Agent may apply Cash Collateral provided for this purpose) for the account of the L/C Issuer at the Agent’s Office in an amount equal to its Applicable Percentage of the Unreimbursed Amount not later than 1:00 p.m. on the Business Day specified in such notice by the Agent, whereupon, subject to the provisions of </w:t>
      </w:r>
      <w:r>
        <w:rPr>
          <w:rFonts w:ascii="Arial" w:cs="Arial" w:eastAsia="Arial" w:hAnsi="Arial"/>
          <w:sz w:val="13"/>
          <w:szCs w:val="13"/>
          <w:u w:val="single" w:color="auto"/>
          <w:color w:val="auto"/>
        </w:rPr>
        <w:t>Section 2.03(c)(iii)</w:t>
      </w:r>
      <w:r>
        <w:rPr>
          <w:rFonts w:ascii="Arial" w:cs="Arial" w:eastAsia="Arial" w:hAnsi="Arial"/>
          <w:sz w:val="13"/>
          <w:szCs w:val="13"/>
          <w:color w:val="auto"/>
        </w:rPr>
        <w:t>, each Revolving Lender that so makes funds available shall be deemed to have made a Base Rate Loan to the Borrowers in such amount. The Agent shall remit the funds so received to the L/C Issuer.</w:t>
      </w:r>
    </w:p>
    <w:p>
      <w:pPr>
        <w:spacing w:after="0" w:line="123" w:lineRule="exact"/>
        <w:rPr>
          <w:rFonts w:ascii="Arial" w:cs="Arial" w:eastAsia="Arial" w:hAnsi="Arial"/>
          <w:sz w:val="13"/>
          <w:szCs w:val="13"/>
          <w:color w:val="auto"/>
        </w:rPr>
      </w:pPr>
    </w:p>
    <w:p>
      <w:pPr>
        <w:jc w:val="both"/>
        <w:ind w:left="220" w:firstLine="2432"/>
        <w:spacing w:after="0" w:line="252" w:lineRule="auto"/>
        <w:tabs>
          <w:tab w:leader="none" w:pos="3274" w:val="left"/>
        </w:tabs>
        <w:numPr>
          <w:ilvl w:val="0"/>
          <w:numId w:val="63"/>
        </w:numPr>
        <w:rPr>
          <w:rFonts w:ascii="Arial" w:cs="Arial" w:eastAsia="Arial" w:hAnsi="Arial"/>
          <w:sz w:val="13"/>
          <w:szCs w:val="13"/>
          <w:color w:val="auto"/>
        </w:rPr>
      </w:pPr>
      <w:r>
        <w:rPr>
          <w:rFonts w:ascii="Arial" w:cs="Arial" w:eastAsia="Arial" w:hAnsi="Arial"/>
          <w:sz w:val="13"/>
          <w:szCs w:val="13"/>
          <w:color w:val="auto"/>
        </w:rPr>
        <w:t xml:space="preserve">With respect to any Unreimbursed Amount that is not fully refinanced by a Committed Borrowing of Base Rate Loans because the conditions set forth in </w:t>
      </w:r>
      <w:r>
        <w:rPr>
          <w:rFonts w:ascii="Arial" w:cs="Arial" w:eastAsia="Arial" w:hAnsi="Arial"/>
          <w:sz w:val="13"/>
          <w:szCs w:val="13"/>
          <w:u w:val="single" w:color="auto"/>
          <w:color w:val="auto"/>
        </w:rPr>
        <w:t>Section 4.02</w:t>
      </w:r>
      <w:r>
        <w:rPr>
          <w:rFonts w:ascii="Arial" w:cs="Arial" w:eastAsia="Arial" w:hAnsi="Arial"/>
          <w:sz w:val="13"/>
          <w:szCs w:val="13"/>
          <w:color w:val="auto"/>
        </w:rPr>
        <w:t xml:space="preserve"> cannot be satisfied or for any other reason, the Borrowers shall be deemed to have incurred from the L/C Issuer an L/C Borrowing in the amount of the Unreimbursed Amount that is not so refinanced, which L/C Borrowing shall be due and payable on demand (together with interest) and shall bear interest at the Default Rate for Base Rate Loans. In such event, each Revolving Lender’s payment to the Agent for the account of the L/C Issuer pursuant to </w:t>
      </w:r>
      <w:r>
        <w:rPr>
          <w:rFonts w:ascii="Arial" w:cs="Arial" w:eastAsia="Arial" w:hAnsi="Arial"/>
          <w:sz w:val="13"/>
          <w:szCs w:val="13"/>
          <w:u w:val="single" w:color="auto"/>
          <w:color w:val="auto"/>
        </w:rPr>
        <w:t>Section 2.03(c)(ii)</w:t>
      </w:r>
      <w:r>
        <w:rPr>
          <w:rFonts w:ascii="Arial" w:cs="Arial" w:eastAsia="Arial" w:hAnsi="Arial"/>
          <w:sz w:val="13"/>
          <w:szCs w:val="13"/>
          <w:color w:val="auto"/>
        </w:rPr>
        <w:t xml:space="preserve"> shall be deemed payment in respect of its participation in such L/C Borrowing and shall constitute an L/C Advance from such Revolving Lender in satisfaction of its participation obligation under this </w:t>
      </w:r>
      <w:r>
        <w:rPr>
          <w:rFonts w:ascii="Arial" w:cs="Arial" w:eastAsia="Arial" w:hAnsi="Arial"/>
          <w:sz w:val="13"/>
          <w:szCs w:val="13"/>
          <w:u w:val="single" w:color="auto"/>
          <w:color w:val="auto"/>
        </w:rPr>
        <w:t>Section 2.03</w:t>
      </w:r>
      <w:r>
        <w:rPr>
          <w:rFonts w:ascii="Arial" w:cs="Arial" w:eastAsia="Arial" w:hAnsi="Arial"/>
          <w:sz w:val="13"/>
          <w:szCs w:val="13"/>
          <w:color w:val="auto"/>
        </w:rPr>
        <w:t>.</w:t>
      </w:r>
    </w:p>
    <w:p>
      <w:pPr>
        <w:spacing w:after="0" w:line="124" w:lineRule="exact"/>
        <w:rPr>
          <w:rFonts w:ascii="Arial" w:cs="Arial" w:eastAsia="Arial" w:hAnsi="Arial"/>
          <w:sz w:val="13"/>
          <w:szCs w:val="13"/>
          <w:color w:val="auto"/>
        </w:rPr>
      </w:pPr>
    </w:p>
    <w:p>
      <w:pPr>
        <w:ind w:left="220" w:firstLine="2432"/>
        <w:spacing w:after="0" w:line="271" w:lineRule="auto"/>
        <w:tabs>
          <w:tab w:leader="none" w:pos="3267" w:val="left"/>
        </w:tabs>
        <w:numPr>
          <w:ilvl w:val="0"/>
          <w:numId w:val="63"/>
        </w:numPr>
        <w:rPr>
          <w:rFonts w:ascii="Arial" w:cs="Arial" w:eastAsia="Arial" w:hAnsi="Arial"/>
          <w:sz w:val="13"/>
          <w:szCs w:val="13"/>
          <w:color w:val="auto"/>
        </w:rPr>
      </w:pPr>
      <w:r>
        <w:rPr>
          <w:rFonts w:ascii="Arial" w:cs="Arial" w:eastAsia="Arial" w:hAnsi="Arial"/>
          <w:sz w:val="13"/>
          <w:szCs w:val="13"/>
          <w:color w:val="auto"/>
        </w:rPr>
        <w:t xml:space="preserve">Until each Revolving Lender funds its Committed Loan or L/C Advance pursuant to this </w:t>
      </w:r>
      <w:r>
        <w:rPr>
          <w:rFonts w:ascii="Arial" w:cs="Arial" w:eastAsia="Arial" w:hAnsi="Arial"/>
          <w:sz w:val="13"/>
          <w:szCs w:val="13"/>
          <w:u w:val="single" w:color="auto"/>
          <w:color w:val="auto"/>
        </w:rPr>
        <w:t>Section 2.03(c)</w:t>
      </w:r>
      <w:r>
        <w:rPr>
          <w:rFonts w:ascii="Arial" w:cs="Arial" w:eastAsia="Arial" w:hAnsi="Arial"/>
          <w:sz w:val="13"/>
          <w:szCs w:val="13"/>
          <w:color w:val="auto"/>
        </w:rPr>
        <w:t xml:space="preserve"> to reimburse the L/C Issuer for any amount drawn under any Letter of Credit, interest in respect of such Revolving Lender’s Applicable Percentage of such amount shall be solely for the account of the L/C Issuer.</w:t>
      </w:r>
    </w:p>
    <w:p>
      <w:pPr>
        <w:spacing w:after="0" w:line="112" w:lineRule="exact"/>
        <w:rPr>
          <w:rFonts w:ascii="Arial" w:cs="Arial" w:eastAsia="Arial" w:hAnsi="Arial"/>
          <w:sz w:val="13"/>
          <w:szCs w:val="13"/>
          <w:color w:val="auto"/>
        </w:rPr>
      </w:pPr>
    </w:p>
    <w:p>
      <w:pPr>
        <w:ind w:left="3240" w:hanging="588"/>
        <w:spacing w:after="0"/>
        <w:tabs>
          <w:tab w:leader="none" w:pos="3240" w:val="left"/>
        </w:tabs>
        <w:numPr>
          <w:ilvl w:val="0"/>
          <w:numId w:val="63"/>
        </w:numPr>
        <w:rPr>
          <w:rFonts w:ascii="Arial" w:cs="Arial" w:eastAsia="Arial" w:hAnsi="Arial"/>
          <w:sz w:val="12"/>
          <w:szCs w:val="12"/>
          <w:color w:val="auto"/>
        </w:rPr>
      </w:pPr>
      <w:r>
        <w:rPr>
          <w:rFonts w:ascii="Arial" w:cs="Arial" w:eastAsia="Arial" w:hAnsi="Arial"/>
          <w:sz w:val="12"/>
          <w:szCs w:val="12"/>
          <w:color w:val="auto"/>
        </w:rPr>
        <w:t>Each Revolving Lender’s obligation to make Committed Loans or L/C Advances to reimburse the L/C Issuer for amounts drawn under Letters of</w:t>
      </w:r>
    </w:p>
    <w:p>
      <w:pPr>
        <w:spacing w:after="0" w:line="25" w:lineRule="exact"/>
        <w:rPr>
          <w:rFonts w:ascii="Arial" w:cs="Arial" w:eastAsia="Arial" w:hAnsi="Arial"/>
          <w:sz w:val="12"/>
          <w:szCs w:val="12"/>
          <w:color w:val="auto"/>
        </w:rPr>
      </w:pPr>
    </w:p>
    <w:p>
      <w:pPr>
        <w:ind w:left="220"/>
        <w:spacing w:after="0"/>
        <w:rPr>
          <w:rFonts w:ascii="Arial" w:cs="Arial" w:eastAsia="Arial" w:hAnsi="Arial"/>
          <w:sz w:val="12"/>
          <w:szCs w:val="12"/>
          <w:color w:val="auto"/>
        </w:rPr>
      </w:pPr>
      <w:r>
        <w:rPr>
          <w:rFonts w:ascii="Arial" w:cs="Arial" w:eastAsia="Arial" w:hAnsi="Arial"/>
          <w:sz w:val="13"/>
          <w:szCs w:val="13"/>
          <w:color w:val="auto"/>
        </w:rPr>
        <w:t>Credit, as contemplated by this</w:t>
      </w:r>
    </w:p>
    <w:p>
      <w:pPr>
        <w:spacing w:after="0" w:line="285"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65" w:name="page66"/>
    <w:bookmarkEnd w:id="65"/>
    <w:p>
      <w:pPr>
        <w:jc w:val="both"/>
        <w:ind w:left="220"/>
        <w:spacing w:after="0" w:line="278" w:lineRule="auto"/>
        <w:rPr>
          <w:sz w:val="20"/>
          <w:szCs w:val="20"/>
          <w:color w:val="auto"/>
        </w:rPr>
      </w:pPr>
      <w:r>
        <w:rPr>
          <w:rFonts w:ascii="Arial" w:cs="Arial" w:eastAsia="Arial" w:hAnsi="Arial"/>
          <w:sz w:val="12"/>
          <w:szCs w:val="12"/>
          <w:u w:val="single" w:color="auto"/>
          <w:color w:val="auto"/>
        </w:rPr>
        <w:t>Section 2.03(c)</w:t>
      </w:r>
      <w:r>
        <w:rPr>
          <w:rFonts w:ascii="Arial" w:cs="Arial" w:eastAsia="Arial" w:hAnsi="Arial"/>
          <w:sz w:val="12"/>
          <w:szCs w:val="12"/>
          <w:color w:val="auto"/>
        </w:rPr>
        <w:t xml:space="preserve">, shall be absolute and unconditional and shall not be affected by any circumstance, including (A) any setoff, counterclaim, recoupment, defense or other right which such Revolving Lender may have against the L/C Issuer, any Borrower or any other Person for any reason whatsoever; (B) the occurrence or continuance of a Default or Event of Default, or (C) any other occurrence, event or condition, whether or not similar to any of the foregoing;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each Revolving Lender’s obligation to make Committed Loans pursuant to this </w:t>
      </w:r>
      <w:r>
        <w:rPr>
          <w:rFonts w:ascii="Arial" w:cs="Arial" w:eastAsia="Arial" w:hAnsi="Arial"/>
          <w:sz w:val="12"/>
          <w:szCs w:val="12"/>
          <w:u w:val="single" w:color="auto"/>
          <w:color w:val="auto"/>
        </w:rPr>
        <w:t>Section 2.03(c)</w:t>
      </w:r>
      <w:r>
        <w:rPr>
          <w:rFonts w:ascii="Arial" w:cs="Arial" w:eastAsia="Arial" w:hAnsi="Arial"/>
          <w:sz w:val="12"/>
          <w:szCs w:val="12"/>
          <w:color w:val="auto"/>
        </w:rPr>
        <w:t xml:space="preserve"> is subject to the conditions set forth in </w:t>
      </w:r>
      <w:r>
        <w:rPr>
          <w:rFonts w:ascii="Arial" w:cs="Arial" w:eastAsia="Arial" w:hAnsi="Arial"/>
          <w:sz w:val="12"/>
          <w:szCs w:val="12"/>
          <w:u w:val="single" w:color="auto"/>
          <w:color w:val="auto"/>
        </w:rPr>
        <w:t>Section 4.02</w:t>
      </w:r>
      <w:r>
        <w:rPr>
          <w:rFonts w:ascii="Arial" w:cs="Arial" w:eastAsia="Arial" w:hAnsi="Arial"/>
          <w:sz w:val="12"/>
          <w:szCs w:val="12"/>
          <w:color w:val="auto"/>
        </w:rPr>
        <w:t xml:space="preserve"> (other than delivery by the Lead Borrower of a Committed Loan Notice). No such making of an L/C Advance shall relieve or otherwise impair the obligation of the Borrowers to reimburse the L/C Issuer for the amount of any payment made by the L/C Issuer under any Letter of Credit, together with interest as provided herein.</w:t>
      </w:r>
    </w:p>
    <w:p>
      <w:pPr>
        <w:spacing w:after="0" w:line="112" w:lineRule="exact"/>
        <w:rPr>
          <w:sz w:val="20"/>
          <w:szCs w:val="20"/>
          <w:color w:val="auto"/>
        </w:rPr>
      </w:pPr>
    </w:p>
    <w:p>
      <w:pPr>
        <w:jc w:val="both"/>
        <w:ind w:left="220" w:firstLine="2432"/>
        <w:spacing w:after="0" w:line="274" w:lineRule="auto"/>
        <w:tabs>
          <w:tab w:leader="none" w:pos="3267" w:val="left"/>
        </w:tabs>
        <w:numPr>
          <w:ilvl w:val="1"/>
          <w:numId w:val="64"/>
        </w:numPr>
        <w:rPr>
          <w:rFonts w:ascii="Arial" w:cs="Arial" w:eastAsia="Arial" w:hAnsi="Arial"/>
          <w:sz w:val="12"/>
          <w:szCs w:val="12"/>
          <w:color w:val="auto"/>
        </w:rPr>
      </w:pPr>
      <w:r>
        <w:rPr>
          <w:rFonts w:ascii="Arial" w:cs="Arial" w:eastAsia="Arial" w:hAnsi="Arial"/>
          <w:sz w:val="12"/>
          <w:szCs w:val="12"/>
          <w:color w:val="auto"/>
        </w:rPr>
        <w:t xml:space="preserve">If any Revolving Lender fails to make available to the Agent for the account of the L/C Issuer any amount required to be paid by such Revolving Lender pursuant to the foregoing provisions of this </w:t>
      </w:r>
      <w:r>
        <w:rPr>
          <w:rFonts w:ascii="Arial" w:cs="Arial" w:eastAsia="Arial" w:hAnsi="Arial"/>
          <w:sz w:val="12"/>
          <w:szCs w:val="12"/>
          <w:u w:val="single" w:color="auto"/>
          <w:color w:val="auto"/>
        </w:rPr>
        <w:t>Section 2.03(c)</w:t>
      </w:r>
      <w:r>
        <w:rPr>
          <w:rFonts w:ascii="Arial" w:cs="Arial" w:eastAsia="Arial" w:hAnsi="Arial"/>
          <w:sz w:val="12"/>
          <w:szCs w:val="12"/>
          <w:color w:val="auto"/>
        </w:rPr>
        <w:t xml:space="preserve"> by the time specified in </w:t>
      </w:r>
      <w:r>
        <w:rPr>
          <w:rFonts w:ascii="Arial" w:cs="Arial" w:eastAsia="Arial" w:hAnsi="Arial"/>
          <w:sz w:val="12"/>
          <w:szCs w:val="12"/>
          <w:u w:val="single" w:color="auto"/>
          <w:color w:val="auto"/>
        </w:rPr>
        <w:t>Section 2.03(c)(ii)</w:t>
      </w:r>
      <w:r>
        <w:rPr>
          <w:rFonts w:ascii="Arial" w:cs="Arial" w:eastAsia="Arial" w:hAnsi="Arial"/>
          <w:sz w:val="12"/>
          <w:szCs w:val="12"/>
          <w:color w:val="auto"/>
        </w:rPr>
        <w:t>, the, without limiting the other provisions of this Agreement, the L/C Issuer shall be entitled to recover from such Revolving Lender (acting through the Agent), on demand, such amount with interest thereon for the period from the date such payment is required to the date on which such payment is immediately available to the L/C Issuer at a rate per annum equal to the greater of the Federal Funds Rate and a rate determined by the L/C Issuer in accordance with banking industry rules on interbank compensation plus any administrative, processing or similar fees customarily charged by the L/C Issuer in connection with the foregoing. If such Revolving Lender pays such amount (with interest and fees as aforesaid), the amount so paid shall constitute such Lender’s Committed Loan included in the relevant Committed Borrowing or L/C Advance in respect of the relevant L/C Borrowing, as the case may be. A certificate of the L/C Issuer submitted to any Revolving Lender (through the Agent) with respect to any amounts owing under this clause (vi) shall be conclusive absent manifest error.</w:t>
      </w:r>
    </w:p>
    <w:p>
      <w:pPr>
        <w:spacing w:after="0" w:line="113" w:lineRule="exact"/>
        <w:rPr>
          <w:rFonts w:ascii="Arial" w:cs="Arial" w:eastAsia="Arial" w:hAnsi="Arial"/>
          <w:sz w:val="12"/>
          <w:szCs w:val="12"/>
          <w:color w:val="auto"/>
        </w:rPr>
      </w:pPr>
    </w:p>
    <w:p>
      <w:pPr>
        <w:ind w:left="2420" w:hanging="580"/>
        <w:spacing w:after="0"/>
        <w:tabs>
          <w:tab w:leader="none" w:pos="2420" w:val="left"/>
        </w:tabs>
        <w:numPr>
          <w:ilvl w:val="0"/>
          <w:numId w:val="65"/>
        </w:numPr>
        <w:rPr>
          <w:rFonts w:ascii="Arial" w:cs="Arial" w:eastAsia="Arial" w:hAnsi="Arial"/>
          <w:sz w:val="13"/>
          <w:szCs w:val="13"/>
          <w:color w:val="auto"/>
        </w:rPr>
      </w:pPr>
      <w:r>
        <w:rPr>
          <w:rFonts w:ascii="Arial" w:cs="Arial" w:eastAsia="Arial" w:hAnsi="Arial"/>
          <w:sz w:val="13"/>
          <w:szCs w:val="13"/>
          <w:u w:val="single" w:color="auto"/>
          <w:color w:val="auto"/>
        </w:rPr>
        <w:t>Repayment of Participations</w:t>
      </w:r>
      <w:r>
        <w:rPr>
          <w:rFonts w:ascii="Arial" w:cs="Arial" w:eastAsia="Arial" w:hAnsi="Arial"/>
          <w:sz w:val="13"/>
          <w:szCs w:val="13"/>
          <w:color w:val="auto"/>
        </w:rPr>
        <w:t>.</w:t>
      </w:r>
    </w:p>
    <w:p>
      <w:pPr>
        <w:spacing w:after="0" w:line="84" w:lineRule="exact"/>
        <w:rPr>
          <w:rFonts w:ascii="Arial" w:cs="Arial" w:eastAsia="Arial" w:hAnsi="Arial"/>
          <w:sz w:val="13"/>
          <w:szCs w:val="13"/>
          <w:color w:val="auto"/>
        </w:rPr>
      </w:pPr>
    </w:p>
    <w:p>
      <w:pPr>
        <w:jc w:val="both"/>
        <w:ind w:left="220" w:firstLine="2432"/>
        <w:spacing w:after="0" w:line="252" w:lineRule="auto"/>
        <w:tabs>
          <w:tab w:leader="none" w:pos="3201" w:val="left"/>
        </w:tabs>
        <w:numPr>
          <w:ilvl w:val="1"/>
          <w:numId w:val="65"/>
        </w:numPr>
        <w:rPr>
          <w:rFonts w:ascii="Arial" w:cs="Arial" w:eastAsia="Arial" w:hAnsi="Arial"/>
          <w:sz w:val="13"/>
          <w:szCs w:val="13"/>
          <w:color w:val="auto"/>
        </w:rPr>
      </w:pPr>
      <w:r>
        <w:rPr>
          <w:rFonts w:ascii="Arial" w:cs="Arial" w:eastAsia="Arial" w:hAnsi="Arial"/>
          <w:sz w:val="13"/>
          <w:szCs w:val="13"/>
          <w:color w:val="auto"/>
        </w:rPr>
        <w:t xml:space="preserve">At any time after the L/C Issuer has made a payment under any Letter of Credit and has received from any Revolving Lender its L/C Advance in respect of such payment in accordance with </w:t>
      </w:r>
      <w:r>
        <w:rPr>
          <w:rFonts w:ascii="Arial" w:cs="Arial" w:eastAsia="Arial" w:hAnsi="Arial"/>
          <w:sz w:val="13"/>
          <w:szCs w:val="13"/>
          <w:u w:val="single" w:color="auto"/>
          <w:color w:val="auto"/>
        </w:rPr>
        <w:t>Section 2.03(c)</w:t>
      </w:r>
      <w:r>
        <w:rPr>
          <w:rFonts w:ascii="Arial" w:cs="Arial" w:eastAsia="Arial" w:hAnsi="Arial"/>
          <w:sz w:val="13"/>
          <w:szCs w:val="13"/>
          <w:color w:val="auto"/>
        </w:rPr>
        <w:t xml:space="preserve">, if the L/C Issuer, or the Agent for the account of the L/C Issuer, receives any payment in respect of the related Unreimbursed Amount or interest thereon (whether directly from the Borrowers or otherwise, including proceeds of Cash Collateral applied thereto by the Agent pursuant to </w:t>
      </w:r>
      <w:r>
        <w:rPr>
          <w:rFonts w:ascii="Arial" w:cs="Arial" w:eastAsia="Arial" w:hAnsi="Arial"/>
          <w:sz w:val="13"/>
          <w:szCs w:val="13"/>
          <w:u w:val="single" w:color="auto"/>
          <w:color w:val="auto"/>
        </w:rPr>
        <w:t>Section 2.03(g)</w:t>
      </w:r>
      <w:r>
        <w:rPr>
          <w:rFonts w:ascii="Arial" w:cs="Arial" w:eastAsia="Arial" w:hAnsi="Arial"/>
          <w:sz w:val="13"/>
          <w:szCs w:val="13"/>
          <w:color w:val="auto"/>
        </w:rPr>
        <w:t>), the L/C Issuer shall distribute any payment it receives to the Agent and the Agent will distribute to such Revolving Lender its Applicable Percentage thereof (appropriately adjusted, in the case of interest payments, to reflect the period of time during which such Revolving Lender’s L/C Advance was outstanding) in the same funds as those received by the Agent.</w:t>
      </w:r>
    </w:p>
    <w:p>
      <w:pPr>
        <w:spacing w:after="0" w:line="124" w:lineRule="exact"/>
        <w:rPr>
          <w:rFonts w:ascii="Arial" w:cs="Arial" w:eastAsia="Arial" w:hAnsi="Arial"/>
          <w:sz w:val="13"/>
          <w:szCs w:val="13"/>
          <w:color w:val="auto"/>
        </w:rPr>
      </w:pPr>
    </w:p>
    <w:p>
      <w:pPr>
        <w:jc w:val="both"/>
        <w:ind w:left="220" w:firstLine="2432"/>
        <w:spacing w:after="0" w:line="252" w:lineRule="auto"/>
        <w:tabs>
          <w:tab w:leader="none" w:pos="3238" w:val="left"/>
        </w:tabs>
        <w:numPr>
          <w:ilvl w:val="1"/>
          <w:numId w:val="65"/>
        </w:numPr>
        <w:rPr>
          <w:rFonts w:ascii="Arial" w:cs="Arial" w:eastAsia="Arial" w:hAnsi="Arial"/>
          <w:sz w:val="13"/>
          <w:szCs w:val="13"/>
          <w:color w:val="auto"/>
        </w:rPr>
      </w:pPr>
      <w:r>
        <w:rPr>
          <w:rFonts w:ascii="Arial" w:cs="Arial" w:eastAsia="Arial" w:hAnsi="Arial"/>
          <w:sz w:val="13"/>
          <w:szCs w:val="13"/>
          <w:color w:val="auto"/>
        </w:rPr>
        <w:t xml:space="preserve">If any payment received by the L/C Issuer or by Agent for the account of the L/C Issuer pursuant to </w:t>
      </w:r>
      <w:r>
        <w:rPr>
          <w:rFonts w:ascii="Arial" w:cs="Arial" w:eastAsia="Arial" w:hAnsi="Arial"/>
          <w:sz w:val="13"/>
          <w:szCs w:val="13"/>
          <w:u w:val="single" w:color="auto"/>
          <w:color w:val="auto"/>
        </w:rPr>
        <w:t>Section 2.03(c)(i)</w:t>
      </w:r>
      <w:r>
        <w:rPr>
          <w:rFonts w:ascii="Arial" w:cs="Arial" w:eastAsia="Arial" w:hAnsi="Arial"/>
          <w:sz w:val="13"/>
          <w:szCs w:val="13"/>
          <w:color w:val="auto"/>
        </w:rPr>
        <w:t xml:space="preserve"> is required to be returned under any of the circumstances described in </w:t>
      </w:r>
      <w:r>
        <w:rPr>
          <w:rFonts w:ascii="Arial" w:cs="Arial" w:eastAsia="Arial" w:hAnsi="Arial"/>
          <w:sz w:val="13"/>
          <w:szCs w:val="13"/>
          <w:u w:val="single" w:color="auto"/>
          <w:color w:val="auto"/>
        </w:rPr>
        <w:t>Section 10.05</w:t>
      </w:r>
      <w:r>
        <w:rPr>
          <w:rFonts w:ascii="Arial" w:cs="Arial" w:eastAsia="Arial" w:hAnsi="Arial"/>
          <w:sz w:val="13"/>
          <w:szCs w:val="13"/>
          <w:color w:val="auto"/>
        </w:rPr>
        <w:t xml:space="preserve"> (including pursuant to any settlement entered into by the L/C Issuer in its discretion), each Revolving Lender shall pay to the Agent for the account of the L/C Issuer its Applicable Percentage thereof on demand of the Agent, plus interest thereon from the date of such demand to the date such amount is returned by such Revolving Lender, at a rate per annum equal to the Federal Funds Rate from time to time in effect. The obligations of the Revolving Lenders under this clause shall survive the payment in full of the Obligations and the termination of this Agreement.</w:t>
      </w:r>
    </w:p>
    <w:p>
      <w:pPr>
        <w:spacing w:after="0" w:line="124" w:lineRule="exact"/>
        <w:rPr>
          <w:rFonts w:ascii="Arial" w:cs="Arial" w:eastAsia="Arial" w:hAnsi="Arial"/>
          <w:sz w:val="13"/>
          <w:szCs w:val="13"/>
          <w:color w:val="auto"/>
        </w:rPr>
      </w:pPr>
    </w:p>
    <w:p>
      <w:pPr>
        <w:ind w:left="220" w:firstLine="1620"/>
        <w:spacing w:after="0" w:line="271" w:lineRule="auto"/>
        <w:tabs>
          <w:tab w:leader="none" w:pos="2412" w:val="left"/>
        </w:tabs>
        <w:numPr>
          <w:ilvl w:val="0"/>
          <w:numId w:val="65"/>
        </w:numPr>
        <w:rPr>
          <w:rFonts w:ascii="Arial" w:cs="Arial" w:eastAsia="Arial" w:hAnsi="Arial"/>
          <w:sz w:val="13"/>
          <w:szCs w:val="13"/>
          <w:color w:val="auto"/>
        </w:rPr>
      </w:pPr>
      <w:r>
        <w:rPr>
          <w:rFonts w:ascii="Arial" w:cs="Arial" w:eastAsia="Arial" w:hAnsi="Arial"/>
          <w:sz w:val="13"/>
          <w:szCs w:val="13"/>
          <w:u w:val="single" w:color="auto"/>
          <w:color w:val="auto"/>
        </w:rPr>
        <w:t>Obligations Absolute</w:t>
      </w:r>
      <w:r>
        <w:rPr>
          <w:rFonts w:ascii="Arial" w:cs="Arial" w:eastAsia="Arial" w:hAnsi="Arial"/>
          <w:sz w:val="13"/>
          <w:szCs w:val="13"/>
          <w:color w:val="auto"/>
        </w:rPr>
        <w:t>. The obligation of the Borrowers to reimburse the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260"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66" w:name="page67"/>
    <w:bookmarkEnd w:id="66"/>
    <w:p>
      <w:pPr>
        <w:ind w:left="3120" w:hanging="556"/>
        <w:spacing w:after="0"/>
        <w:tabs>
          <w:tab w:leader="none" w:pos="3120" w:val="left"/>
        </w:tabs>
        <w:numPr>
          <w:ilvl w:val="0"/>
          <w:numId w:val="66"/>
        </w:numPr>
        <w:rPr>
          <w:rFonts w:ascii="Arial" w:cs="Arial" w:eastAsia="Arial" w:hAnsi="Arial"/>
          <w:sz w:val="13"/>
          <w:szCs w:val="13"/>
          <w:color w:val="auto"/>
        </w:rPr>
      </w:pPr>
      <w:r>
        <w:rPr>
          <w:rFonts w:ascii="Arial" w:cs="Arial" w:eastAsia="Arial" w:hAnsi="Arial"/>
          <w:sz w:val="13"/>
          <w:szCs w:val="13"/>
          <w:color w:val="auto"/>
        </w:rPr>
        <w:t>any lack of validity or enforceability of such Letter of Credit, this Agreement, or any other Loan Document;</w:t>
      </w:r>
    </w:p>
    <w:p>
      <w:pPr>
        <w:spacing w:after="0" w:line="122" w:lineRule="exact"/>
        <w:rPr>
          <w:rFonts w:ascii="Arial" w:cs="Arial" w:eastAsia="Arial" w:hAnsi="Arial"/>
          <w:sz w:val="13"/>
          <w:szCs w:val="13"/>
          <w:color w:val="auto"/>
        </w:rPr>
      </w:pPr>
    </w:p>
    <w:p>
      <w:pPr>
        <w:jc w:val="both"/>
        <w:ind w:left="1080" w:firstLine="1484"/>
        <w:spacing w:after="0" w:line="290" w:lineRule="auto"/>
        <w:tabs>
          <w:tab w:leader="none" w:pos="3164" w:val="left"/>
        </w:tabs>
        <w:numPr>
          <w:ilvl w:val="0"/>
          <w:numId w:val="66"/>
        </w:numPr>
        <w:rPr>
          <w:rFonts w:ascii="Arial" w:cs="Arial" w:eastAsia="Arial" w:hAnsi="Arial"/>
          <w:sz w:val="12"/>
          <w:szCs w:val="12"/>
          <w:color w:val="auto"/>
        </w:rPr>
      </w:pPr>
      <w:r>
        <w:rPr>
          <w:rFonts w:ascii="Arial" w:cs="Arial" w:eastAsia="Arial" w:hAnsi="Arial"/>
          <w:sz w:val="12"/>
          <w:szCs w:val="12"/>
          <w:color w:val="auto"/>
        </w:rPr>
        <w:t>the existence of any claim, counterclaim, setoff, defense or other right that the Borrowers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85" w:lineRule="exact"/>
        <w:rPr>
          <w:rFonts w:ascii="Arial" w:cs="Arial" w:eastAsia="Arial" w:hAnsi="Arial"/>
          <w:sz w:val="12"/>
          <w:szCs w:val="12"/>
          <w:color w:val="auto"/>
        </w:rPr>
      </w:pPr>
    </w:p>
    <w:p>
      <w:pPr>
        <w:jc w:val="both"/>
        <w:ind w:left="1080" w:firstLine="1484"/>
        <w:spacing w:after="0" w:line="258" w:lineRule="auto"/>
        <w:tabs>
          <w:tab w:leader="none" w:pos="3201" w:val="left"/>
        </w:tabs>
        <w:numPr>
          <w:ilvl w:val="0"/>
          <w:numId w:val="66"/>
        </w:numPr>
        <w:rPr>
          <w:rFonts w:ascii="Arial" w:cs="Arial" w:eastAsia="Arial" w:hAnsi="Arial"/>
          <w:sz w:val="13"/>
          <w:szCs w:val="13"/>
          <w:color w:val="auto"/>
        </w:rPr>
      </w:pPr>
      <w:r>
        <w:rPr>
          <w:rFonts w:ascii="Arial" w:cs="Arial" w:eastAsia="Arial" w:hAnsi="Arial"/>
          <w:sz w:val="13"/>
          <w:szCs w:val="13"/>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94" w:lineRule="exact"/>
        <w:rPr>
          <w:rFonts w:ascii="Arial" w:cs="Arial" w:eastAsia="Arial" w:hAnsi="Arial"/>
          <w:sz w:val="13"/>
          <w:szCs w:val="13"/>
          <w:color w:val="auto"/>
        </w:rPr>
      </w:pPr>
    </w:p>
    <w:p>
      <w:pPr>
        <w:ind w:left="1080" w:firstLine="1484"/>
        <w:spacing w:after="0" w:line="271" w:lineRule="auto"/>
        <w:tabs>
          <w:tab w:leader="none" w:pos="3194" w:val="left"/>
        </w:tabs>
        <w:numPr>
          <w:ilvl w:val="0"/>
          <w:numId w:val="66"/>
        </w:numPr>
        <w:rPr>
          <w:rFonts w:ascii="Arial" w:cs="Arial" w:eastAsia="Arial" w:hAnsi="Arial"/>
          <w:sz w:val="13"/>
          <w:szCs w:val="13"/>
          <w:color w:val="auto"/>
        </w:rPr>
      </w:pPr>
      <w:r>
        <w:rPr>
          <w:rFonts w:ascii="Arial" w:cs="Arial" w:eastAsia="Arial" w:hAnsi="Arial"/>
          <w:sz w:val="13"/>
          <w:szCs w:val="13"/>
          <w:color w:val="auto"/>
        </w:rPr>
        <w:t>waiver by the L/C Issuer of any requirement that exists for the L/C Issuer’s protection and not the protection of the Borrowers or any waiver by the L/C Issuer which does not in fact materially prejudice the Borrowers;</w:t>
      </w:r>
    </w:p>
    <w:p>
      <w:pPr>
        <w:spacing w:after="0" w:line="85" w:lineRule="exact"/>
        <w:rPr>
          <w:rFonts w:ascii="Arial" w:cs="Arial" w:eastAsia="Arial" w:hAnsi="Arial"/>
          <w:sz w:val="13"/>
          <w:szCs w:val="13"/>
          <w:color w:val="auto"/>
        </w:rPr>
      </w:pPr>
    </w:p>
    <w:p>
      <w:pPr>
        <w:ind w:left="3160" w:hanging="596"/>
        <w:spacing w:after="0"/>
        <w:tabs>
          <w:tab w:leader="none" w:pos="3160" w:val="left"/>
        </w:tabs>
        <w:numPr>
          <w:ilvl w:val="0"/>
          <w:numId w:val="66"/>
        </w:numPr>
        <w:rPr>
          <w:rFonts w:ascii="Arial" w:cs="Arial" w:eastAsia="Arial" w:hAnsi="Arial"/>
          <w:sz w:val="13"/>
          <w:szCs w:val="13"/>
          <w:color w:val="auto"/>
        </w:rPr>
      </w:pPr>
      <w:r>
        <w:rPr>
          <w:rFonts w:ascii="Arial" w:cs="Arial" w:eastAsia="Arial" w:hAnsi="Arial"/>
          <w:sz w:val="13"/>
          <w:szCs w:val="13"/>
          <w:color w:val="auto"/>
        </w:rPr>
        <w:t>any honor of a demand for payment presented electronically even if such Letter of Credit requires that demand be in the form of a draft;</w:t>
      </w:r>
    </w:p>
    <w:p>
      <w:pPr>
        <w:spacing w:after="0" w:line="129" w:lineRule="exact"/>
        <w:rPr>
          <w:rFonts w:ascii="Arial" w:cs="Arial" w:eastAsia="Arial" w:hAnsi="Arial"/>
          <w:sz w:val="13"/>
          <w:szCs w:val="13"/>
          <w:color w:val="auto"/>
        </w:rPr>
      </w:pPr>
    </w:p>
    <w:p>
      <w:pPr>
        <w:ind w:left="1080" w:firstLine="1484"/>
        <w:spacing w:after="0" w:line="271" w:lineRule="auto"/>
        <w:tabs>
          <w:tab w:leader="none" w:pos="3194" w:val="left"/>
        </w:tabs>
        <w:numPr>
          <w:ilvl w:val="0"/>
          <w:numId w:val="66"/>
        </w:numPr>
        <w:rPr>
          <w:rFonts w:ascii="Arial" w:cs="Arial" w:eastAsia="Arial" w:hAnsi="Arial"/>
          <w:sz w:val="13"/>
          <w:szCs w:val="13"/>
          <w:color w:val="auto"/>
        </w:rPr>
      </w:pPr>
      <w:r>
        <w:rPr>
          <w:rFonts w:ascii="Arial" w:cs="Arial" w:eastAsia="Arial" w:hAnsi="Arial"/>
          <w:sz w:val="13"/>
          <w:szCs w:val="13"/>
          <w:color w:val="auto"/>
        </w:rPr>
        <w:t>any payment made by the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85" w:lineRule="exact"/>
        <w:rPr>
          <w:rFonts w:ascii="Arial" w:cs="Arial" w:eastAsia="Arial" w:hAnsi="Arial"/>
          <w:sz w:val="13"/>
          <w:szCs w:val="13"/>
          <w:color w:val="auto"/>
        </w:rPr>
      </w:pPr>
    </w:p>
    <w:p>
      <w:pPr>
        <w:jc w:val="both"/>
        <w:ind w:left="1080" w:firstLine="1484"/>
        <w:spacing w:after="0" w:line="254" w:lineRule="auto"/>
        <w:tabs>
          <w:tab w:leader="none" w:pos="3230" w:val="left"/>
        </w:tabs>
        <w:numPr>
          <w:ilvl w:val="0"/>
          <w:numId w:val="66"/>
        </w:numPr>
        <w:rPr>
          <w:rFonts w:ascii="Arial" w:cs="Arial" w:eastAsia="Arial" w:hAnsi="Arial"/>
          <w:sz w:val="13"/>
          <w:szCs w:val="13"/>
          <w:color w:val="auto"/>
        </w:rPr>
      </w:pPr>
      <w:r>
        <w:rPr>
          <w:rFonts w:ascii="Arial" w:cs="Arial" w:eastAsia="Arial" w:hAnsi="Arial"/>
          <w:sz w:val="13"/>
          <w:szCs w:val="13"/>
          <w:color w:val="auto"/>
        </w:rPr>
        <w:t>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96" w:lineRule="exact"/>
        <w:rPr>
          <w:rFonts w:ascii="Arial" w:cs="Arial" w:eastAsia="Arial" w:hAnsi="Arial"/>
          <w:sz w:val="13"/>
          <w:szCs w:val="13"/>
          <w:color w:val="auto"/>
        </w:rPr>
      </w:pPr>
    </w:p>
    <w:p>
      <w:pPr>
        <w:ind w:left="1080" w:firstLine="1484"/>
        <w:spacing w:after="0" w:line="271" w:lineRule="auto"/>
        <w:tabs>
          <w:tab w:leader="none" w:pos="3267" w:val="left"/>
        </w:tabs>
        <w:numPr>
          <w:ilvl w:val="0"/>
          <w:numId w:val="66"/>
        </w:numPr>
        <w:rPr>
          <w:rFonts w:ascii="Arial" w:cs="Arial" w:eastAsia="Arial" w:hAnsi="Arial"/>
          <w:sz w:val="13"/>
          <w:szCs w:val="13"/>
          <w:color w:val="auto"/>
        </w:rPr>
      </w:pPr>
      <w:r>
        <w:rPr>
          <w:rFonts w:ascii="Arial" w:cs="Arial" w:eastAsia="Arial" w:hAnsi="Arial"/>
          <w:sz w:val="13"/>
          <w:szCs w:val="13"/>
          <w:color w:val="auto"/>
        </w:rPr>
        <w:t>any other circumstance or happening whatsoever, whether or not similar to any of the foregoing, including any other circumstance that might otherwise constitute a defense available to, or a discharge of, the Borrowers or any of their Subsidiaries; or</w:t>
      </w:r>
    </w:p>
    <w:p>
      <w:pPr>
        <w:spacing w:after="0" w:line="94" w:lineRule="exact"/>
        <w:rPr>
          <w:rFonts w:ascii="Arial" w:cs="Arial" w:eastAsia="Arial" w:hAnsi="Arial"/>
          <w:sz w:val="13"/>
          <w:szCs w:val="13"/>
          <w:color w:val="auto"/>
        </w:rPr>
      </w:pPr>
    </w:p>
    <w:p>
      <w:pPr>
        <w:ind w:left="3180" w:hanging="620"/>
        <w:spacing w:after="0"/>
        <w:tabs>
          <w:tab w:leader="none" w:pos="31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the fact that any Default or Event of Default shall have occurred and be continuing.</w:t>
      </w:r>
    </w:p>
    <w:p>
      <w:pPr>
        <w:spacing w:after="0" w:line="121" w:lineRule="exact"/>
        <w:rPr>
          <w:sz w:val="20"/>
          <w:szCs w:val="20"/>
          <w:color w:val="auto"/>
        </w:rPr>
      </w:pPr>
    </w:p>
    <w:p>
      <w:pPr>
        <w:jc w:val="both"/>
        <w:ind w:left="220"/>
        <w:spacing w:after="0" w:line="258" w:lineRule="auto"/>
        <w:rPr>
          <w:sz w:val="20"/>
          <w:szCs w:val="20"/>
          <w:color w:val="auto"/>
        </w:rPr>
      </w:pPr>
      <w:r>
        <w:rPr>
          <w:rFonts w:ascii="Arial" w:cs="Arial" w:eastAsia="Arial" w:hAnsi="Arial"/>
          <w:sz w:val="13"/>
          <w:szCs w:val="13"/>
          <w:color w:val="auto"/>
        </w:rPr>
        <w:t>The Lead Borrower shall promptly examine a copy of each Letter of Credit and each amendment thereto that is delivered to it and, in the event of any claim of non-compliance with the Lead Borrower’s instructions or other irregularity, the Lead Borrower will immediately notify the L/C Issuer. The Borrowers shall be conclusively deemed to have waived any such claim against the L/C Issuer and its correspondents unless such notice is given as aforesaid.</w:t>
      </w:r>
    </w:p>
    <w:p>
      <w:pPr>
        <w:spacing w:after="0" w:line="121" w:lineRule="exact"/>
        <w:rPr>
          <w:sz w:val="20"/>
          <w:szCs w:val="20"/>
          <w:color w:val="auto"/>
        </w:rPr>
      </w:pPr>
    </w:p>
    <w:p>
      <w:pPr>
        <w:ind w:left="1840"/>
        <w:spacing w:after="0"/>
        <w:tabs>
          <w:tab w:leader="none" w:pos="2380" w:val="left"/>
        </w:tabs>
        <w:rPr>
          <w:sz w:val="20"/>
          <w:szCs w:val="20"/>
          <w:color w:val="auto"/>
        </w:rPr>
      </w:pPr>
      <w:r>
        <w:rPr>
          <w:rFonts w:ascii="Arial" w:cs="Arial" w:eastAsia="Arial" w:hAnsi="Arial"/>
          <w:sz w:val="12"/>
          <w:szCs w:val="12"/>
          <w:color w:val="auto"/>
        </w:rPr>
        <w:t>(f)</w:t>
      </w:r>
      <w:r>
        <w:rPr>
          <w:sz w:val="20"/>
          <w:szCs w:val="20"/>
          <w:color w:val="auto"/>
        </w:rPr>
        <w:tab/>
      </w:r>
      <w:r>
        <w:rPr>
          <w:rFonts w:ascii="Arial" w:cs="Arial" w:eastAsia="Arial" w:hAnsi="Arial"/>
          <w:sz w:val="12"/>
          <w:szCs w:val="12"/>
          <w:u w:val="single" w:color="auto"/>
          <w:color w:val="auto"/>
        </w:rPr>
        <w:t>Role of L/C Issuer</w:t>
      </w:r>
      <w:r>
        <w:rPr>
          <w:rFonts w:ascii="Arial" w:cs="Arial" w:eastAsia="Arial" w:hAnsi="Arial"/>
          <w:sz w:val="12"/>
          <w:szCs w:val="12"/>
          <w:color w:val="auto"/>
        </w:rPr>
        <w:t>. Each Revolving Lender and the Borrowers agree that, in paying any drawing under a Letter of Credit, the L/C Issuer shall not have any</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3"/>
          <w:szCs w:val="13"/>
          <w:color w:val="auto"/>
        </w:rPr>
        <w:t>responsibility to obtain any</w:t>
      </w:r>
    </w:p>
    <w:p>
      <w:pPr>
        <w:spacing w:after="0" w:line="285"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67" w:name="page68"/>
    <w:bookmarkEnd w:id="67"/>
    <w:p>
      <w:pPr>
        <w:jc w:val="both"/>
        <w:ind w:left="220"/>
        <w:spacing w:after="0" w:line="269" w:lineRule="auto"/>
        <w:rPr>
          <w:sz w:val="20"/>
          <w:szCs w:val="20"/>
          <w:color w:val="auto"/>
        </w:rPr>
      </w:pPr>
      <w:r>
        <w:rPr>
          <w:rFonts w:ascii="Arial" w:cs="Arial" w:eastAsia="Arial" w:hAnsi="Arial"/>
          <w:sz w:val="12"/>
          <w:szCs w:val="12"/>
          <w:color w:val="auto"/>
        </w:rPr>
        <w:t xml:space="preserve">document (other than any sight draft, certificates and documents expressly required by the Letter of Credit) or to ascertain or inquire as to the validity or accuracy of any such document or the authority of the Person executing or delivering any such document. None of the L/C Issuer, the Agent, any of their respective Related Parties nor any correspondent, participant or assignee of the L/C Issuer shall be liable to any Loan Party or to any Revolving Lender for (i) any action taken or omitted in connection herewith at the request or with the approval of the Revolving Lenders or the Required Lenders, as applicable; (ii) any action taken or omitted in the absence of gross negligence or willful misconduct; (iii) any error, omission, interruption, loss or delay in transmission or delivery of any draft, notice or other communication under or relating to any Letter of Credit or any error in interpretation of technical terms; (iv) the due execution, effectiveness, validity or enforceability of any document or instrument related to any Letter of Credit or Issuer Document, or (v) for any action, neglect or omission under or in connection with any Letter of Credit or Issuer Documents, including, without limitation, the issuance or amendment of any Letter of Credit, the failure to issue or amend any Letter of Credit, or the honoring or dishonoring of any demand under any Letter of Credit, and such action or neglect or omission will be binding upon the Loan Parties and the Revolving Lenders;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Borrowers may have a claim against the L/C Issuer, and the L/C Issuer may be liable to the Borrowers, to the extent, but only to the extent, of any direct, as opposed to punitive, consequential or exemplary, damages suffered by the Borrowers which the Borrowers pursuant to a final and non-appealable judgment of a court of competent jurisdiction were caused by the L/C Issuer's willful misconduct or gross negligence. The Borrowers hereby assume all risks of the acts or omissions of any beneficiary or transferee with respect to its use of any Letter of Credit;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this assumption is not intended to, and shall not, preclude the Borrowers’ pursuing such rights and remedies as it may have against the beneficiary or transferee at law or under any other agreement.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L/C Issuer may send a Letter of Credit or conduct any communication to or from the beneficiary via the Society for Worldwide Interbank Financial Telecommunication (“SWIFT”) message or overnight courier, or any other commercially reasonable means of communicating with a beneficiary.</w:t>
      </w:r>
    </w:p>
    <w:p>
      <w:pPr>
        <w:spacing w:after="0" w:line="121" w:lineRule="exact"/>
        <w:rPr>
          <w:sz w:val="20"/>
          <w:szCs w:val="20"/>
          <w:color w:val="auto"/>
        </w:rPr>
      </w:pPr>
    </w:p>
    <w:p>
      <w:pPr>
        <w:jc w:val="both"/>
        <w:ind w:left="220" w:firstLine="1624"/>
        <w:spacing w:after="0" w:line="272" w:lineRule="auto"/>
        <w:tabs>
          <w:tab w:leader="none" w:pos="2419" w:val="left"/>
        </w:tabs>
        <w:numPr>
          <w:ilvl w:val="0"/>
          <w:numId w:val="67"/>
        </w:numPr>
        <w:rPr>
          <w:rFonts w:ascii="Arial" w:cs="Arial" w:eastAsia="Arial" w:hAnsi="Arial"/>
          <w:sz w:val="12"/>
          <w:szCs w:val="12"/>
          <w:color w:val="auto"/>
        </w:rPr>
      </w:pPr>
      <w:r>
        <w:rPr>
          <w:rFonts w:ascii="Arial" w:cs="Arial" w:eastAsia="Arial" w:hAnsi="Arial"/>
          <w:sz w:val="12"/>
          <w:szCs w:val="12"/>
          <w:u w:val="single" w:color="auto"/>
          <w:color w:val="auto"/>
        </w:rPr>
        <w:t>Cash Collateral</w:t>
      </w:r>
      <w:r>
        <w:rPr>
          <w:rFonts w:ascii="Arial" w:cs="Arial" w:eastAsia="Arial" w:hAnsi="Arial"/>
          <w:sz w:val="12"/>
          <w:szCs w:val="12"/>
          <w:color w:val="auto"/>
        </w:rPr>
        <w:t xml:space="preserve">. If, as of the Letter of Credit Expiration Date, any L/C Obligation for any reason remains outstanding, the Borrowers shall, in each case, immediately Cash Collateralize the then Outstanding Amount of all L/C Obligations in an amount equal to 105% of the Outstanding Amount of all L/C Obligations, pursuant to documentation in form and substance satisfactory to the Agent and the L/C Issuer (which documents are hereby Consented to by the Lenders). </w:t>
      </w:r>
      <w:r>
        <w:rPr>
          <w:rFonts w:ascii="Arial" w:cs="Arial" w:eastAsia="Arial" w:hAnsi="Arial"/>
          <w:sz w:val="12"/>
          <w:szCs w:val="12"/>
          <w:u w:val="single" w:color="auto"/>
          <w:color w:val="auto"/>
        </w:rPr>
        <w:t>Sections 2.05, 2.06(c)</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8.02(c)</w:t>
      </w:r>
      <w:r>
        <w:rPr>
          <w:rFonts w:ascii="Arial" w:cs="Arial" w:eastAsia="Arial" w:hAnsi="Arial"/>
          <w:sz w:val="12"/>
          <w:szCs w:val="12"/>
          <w:color w:val="auto"/>
        </w:rPr>
        <w:t xml:space="preserve"> set forth certain additional requirements to deliver Cash Collateral hereunder. The Borrowers hereby grant to the Agent a security interest in all such cash, deposit accounts and all balances therein and all proceeds of the foregoing to secure all Obligations. Such cash collateral shall be maintained in blocked, non-interest bearing deposit accounts at Bank of America. If at any time the Agent determines that any funds held as cash collateral are subject to any right or claim of any Person other than the Agent or that the total amount of such funds is less than the aggregate Outstanding Amount of all L/C Obligations, the Borrowers will, forthwith upon demand by the Agent, pay to the Agent, as additional funds to be deposited as cash collateral, an amount equal to the excess of (x) such aggregate Outstanding Amount over (y) the total amount of funds, if any, then held as cash collateral that the Agent determines to be free and clear of any such right and claim. Upon the drawing of any Letter of Credit for which funds are on deposit as cash collateral, such funds shall be applied to reimburse the L/C Issuer and, to the extent not so applied, shall thereafter be applied to satisfy other Obligations.</w:t>
      </w:r>
    </w:p>
    <w:p>
      <w:pPr>
        <w:spacing w:after="0" w:line="262"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68" w:name="page69"/>
    <w:bookmarkEnd w:id="68"/>
    <w:p>
      <w:pPr>
        <w:jc w:val="both"/>
        <w:ind w:left="220" w:firstLine="1624"/>
        <w:spacing w:after="0" w:line="250" w:lineRule="auto"/>
        <w:tabs>
          <w:tab w:leader="none" w:pos="2420" w:val="left"/>
        </w:tabs>
        <w:numPr>
          <w:ilvl w:val="0"/>
          <w:numId w:val="68"/>
        </w:numPr>
        <w:rPr>
          <w:rFonts w:ascii="Arial" w:cs="Arial" w:eastAsia="Arial" w:hAnsi="Arial"/>
          <w:sz w:val="13"/>
          <w:szCs w:val="13"/>
          <w:color w:val="auto"/>
        </w:rPr>
      </w:pPr>
      <w:r>
        <w:rPr>
          <w:rFonts w:ascii="Arial" w:cs="Arial" w:eastAsia="Arial" w:hAnsi="Arial"/>
          <w:sz w:val="13"/>
          <w:szCs w:val="13"/>
          <w:u w:val="single" w:color="auto"/>
          <w:color w:val="auto"/>
        </w:rPr>
        <w:t>Applicability of ISP and UCP; Limitation of Liability</w:t>
      </w:r>
      <w:r>
        <w:rPr>
          <w:rFonts w:ascii="Arial" w:cs="Arial" w:eastAsia="Arial" w:hAnsi="Arial"/>
          <w:sz w:val="13"/>
          <w:szCs w:val="13"/>
          <w:color w:val="auto"/>
        </w:rPr>
        <w:t>. Unless otherwise expressly agreed by the L/C Issuer and the Lead Borrower when a Letter of Credit is issued (including any such agreement applicable to an Existing Letter of Credit), (i) the rules of the ISP shall apply to each Standby Letter of Credit, and (ii) the rules of the UCP shall apply to each Commercial Letter of Credit. Notwithstanding the foregoing, the L/C Issuer shall not be responsible to the Borrowers for, and the L/C Issuer’s rights and remedies against the Borrowers shall not be impaired by, any action or inaction of the L/C Issuer required or permitted under any law, order, or practice that is required or permitted to be applied to any Letter of Credit or this Agreement, including the Law or any order of a jurisdiction where the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27" w:lineRule="exact"/>
        <w:rPr>
          <w:rFonts w:ascii="Arial" w:cs="Arial" w:eastAsia="Arial" w:hAnsi="Arial"/>
          <w:sz w:val="13"/>
          <w:szCs w:val="13"/>
          <w:color w:val="auto"/>
        </w:rPr>
      </w:pPr>
    </w:p>
    <w:p>
      <w:pPr>
        <w:jc w:val="both"/>
        <w:ind w:left="220" w:firstLine="1623"/>
        <w:spacing w:after="0" w:line="274" w:lineRule="auto"/>
        <w:tabs>
          <w:tab w:leader="none" w:pos="2390" w:val="left"/>
        </w:tabs>
        <w:numPr>
          <w:ilvl w:val="0"/>
          <w:numId w:val="68"/>
        </w:numPr>
        <w:rPr>
          <w:rFonts w:ascii="Arial" w:cs="Arial" w:eastAsia="Arial" w:hAnsi="Arial"/>
          <w:sz w:val="12"/>
          <w:szCs w:val="12"/>
          <w:color w:val="auto"/>
        </w:rPr>
      </w:pPr>
      <w:r>
        <w:rPr>
          <w:rFonts w:ascii="Arial" w:cs="Arial" w:eastAsia="Arial" w:hAnsi="Arial"/>
          <w:sz w:val="12"/>
          <w:szCs w:val="12"/>
          <w:u w:val="single" w:color="auto"/>
          <w:color w:val="auto"/>
        </w:rPr>
        <w:t>Letter of Credit Fees</w:t>
      </w:r>
      <w:r>
        <w:rPr>
          <w:rFonts w:ascii="Arial" w:cs="Arial" w:eastAsia="Arial" w:hAnsi="Arial"/>
          <w:sz w:val="12"/>
          <w:szCs w:val="12"/>
          <w:color w:val="auto"/>
        </w:rPr>
        <w:t xml:space="preserve">. The Borrowers shall pay to the Agent for the account of each Revolving Lender in accordance with its Applicable Percentage a Letter of Credit fee (the “Letter of Credit Fee”) for each Letter of Credit equal to the Applicable Rate </w:t>
      </w:r>
      <w:r>
        <w:rPr>
          <w:rFonts w:ascii="Arial" w:cs="Arial" w:eastAsia="Arial" w:hAnsi="Arial"/>
          <w:sz w:val="12"/>
          <w:szCs w:val="12"/>
          <w:u w:val="single" w:color="auto"/>
          <w:color w:val="auto"/>
        </w:rPr>
        <w:t>times</w:t>
      </w:r>
      <w:r>
        <w:rPr>
          <w:rFonts w:ascii="Arial" w:cs="Arial" w:eastAsia="Arial" w:hAnsi="Arial"/>
          <w:sz w:val="12"/>
          <w:szCs w:val="12"/>
          <w:color w:val="auto"/>
        </w:rPr>
        <w:t xml:space="preserve"> the daily Stated Amount under each such Letter of Credit (whether or not such maximum amount is then in effect under such Letter of Credit). For purposes of computing the daily amount available to be drawn under any Letter of Credit, the amount of the Letter of Credit shall be determined in accordance with </w:t>
      </w:r>
      <w:r>
        <w:rPr>
          <w:rFonts w:ascii="Arial" w:cs="Arial" w:eastAsia="Arial" w:hAnsi="Arial"/>
          <w:sz w:val="12"/>
          <w:szCs w:val="12"/>
          <w:u w:val="single" w:color="auto"/>
          <w:color w:val="auto"/>
        </w:rPr>
        <w:t>Section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1.06</w:t>
      </w:r>
      <w:r>
        <w:rPr>
          <w:rFonts w:ascii="Arial" w:cs="Arial" w:eastAsia="Arial" w:hAnsi="Arial"/>
          <w:sz w:val="12"/>
          <w:szCs w:val="12"/>
          <w:color w:val="auto"/>
        </w:rPr>
        <w:t xml:space="preserve">. Letter of Credit Fees shall be due and payable quarterly in arrears on the first day of each March, June, September and December, commencing with the first such date to occur after the issuance of such Letter of Credit, on the Letter of Credit Expiration Date and thereafter on demand. If there is any change in the Applicable Rate during any quarter, the daily amount available to be drawn under of each Letter of Credit shall be computed and multiplied by the Applicable Rate separately for each period during such quarter that such Applicable Rate was in effect. Notwithstanding anything to the contrary contained herein, while any Event of Default exists, all Letter of Credit Fees shall accrue at the Default Rate as provided in </w:t>
      </w:r>
      <w:r>
        <w:rPr>
          <w:rFonts w:ascii="Arial" w:cs="Arial" w:eastAsia="Arial" w:hAnsi="Arial"/>
          <w:sz w:val="12"/>
          <w:szCs w:val="12"/>
          <w:u w:val="single" w:color="auto"/>
          <w:color w:val="auto"/>
        </w:rPr>
        <w:t>Section 2.08(c)</w:t>
      </w:r>
      <w:r>
        <w:rPr>
          <w:rFonts w:ascii="Arial" w:cs="Arial" w:eastAsia="Arial" w:hAnsi="Arial"/>
          <w:sz w:val="12"/>
          <w:szCs w:val="12"/>
          <w:color w:val="auto"/>
        </w:rPr>
        <w:t xml:space="preserve"> hereof.</w:t>
      </w:r>
    </w:p>
    <w:p>
      <w:pPr>
        <w:spacing w:after="0" w:line="113" w:lineRule="exact"/>
        <w:rPr>
          <w:rFonts w:ascii="Arial" w:cs="Arial" w:eastAsia="Arial" w:hAnsi="Arial"/>
          <w:sz w:val="12"/>
          <w:szCs w:val="12"/>
          <w:color w:val="auto"/>
        </w:rPr>
      </w:pPr>
    </w:p>
    <w:p>
      <w:pPr>
        <w:jc w:val="both"/>
        <w:ind w:left="220" w:firstLine="1624"/>
        <w:spacing w:after="0" w:line="305" w:lineRule="auto"/>
        <w:tabs>
          <w:tab w:leader="none" w:pos="2390" w:val="left"/>
        </w:tabs>
        <w:numPr>
          <w:ilvl w:val="0"/>
          <w:numId w:val="68"/>
        </w:numPr>
        <w:rPr>
          <w:rFonts w:ascii="Arial" w:cs="Arial" w:eastAsia="Arial" w:hAnsi="Arial"/>
          <w:sz w:val="11"/>
          <w:szCs w:val="11"/>
          <w:color w:val="auto"/>
        </w:rPr>
      </w:pPr>
      <w:r>
        <w:rPr>
          <w:rFonts w:ascii="Arial" w:cs="Arial" w:eastAsia="Arial" w:hAnsi="Arial"/>
          <w:sz w:val="11"/>
          <w:szCs w:val="11"/>
          <w:u w:val="single" w:color="auto"/>
          <w:color w:val="auto"/>
        </w:rPr>
        <w:t>Fronting Fee and Documentary and Processing Charges Payable to L/C Issuer</w:t>
      </w:r>
      <w:r>
        <w:rPr>
          <w:rFonts w:ascii="Arial" w:cs="Arial" w:eastAsia="Arial" w:hAnsi="Arial"/>
          <w:sz w:val="11"/>
          <w:szCs w:val="11"/>
          <w:color w:val="auto"/>
        </w:rPr>
        <w:t xml:space="preserve">. The Borrowers shall pay directly to the L/C Issuer for its own account a fronting fee with respect to each Letter of Credit, at a rate equal to 0.125% per annum, computed on the daily amount available to be drawn under such Letter of Credit and on a quarterly basis in arrears. Such fronting fees shall be due and payable quarterly in arrears on the first day of each March, June, September and December, commencing with the first such date to occur after the issuance of such Letter of Credit, on the Letter of Credit Expiration Date and thereafter on demand. For purposes of computing the daily amount available to be drawn under any Letter of Credit, the amount of the Letter of Credit shall be determined in accordance with </w:t>
      </w:r>
      <w:r>
        <w:rPr>
          <w:rFonts w:ascii="Arial" w:cs="Arial" w:eastAsia="Arial" w:hAnsi="Arial"/>
          <w:sz w:val="11"/>
          <w:szCs w:val="11"/>
          <w:u w:val="single" w:color="auto"/>
          <w:color w:val="auto"/>
        </w:rPr>
        <w:t>Section 1.06</w:t>
      </w:r>
      <w:r>
        <w:rPr>
          <w:rFonts w:ascii="Arial" w:cs="Arial" w:eastAsia="Arial" w:hAnsi="Arial"/>
          <w:sz w:val="11"/>
          <w:szCs w:val="11"/>
          <w:color w:val="auto"/>
        </w:rPr>
        <w:t>. In addition, the Borrowers shall pay directly to the L/C Issuer for its own account the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p>
      <w:pPr>
        <w:spacing w:after="0" w:line="98" w:lineRule="exact"/>
        <w:rPr>
          <w:rFonts w:ascii="Arial" w:cs="Arial" w:eastAsia="Arial" w:hAnsi="Arial"/>
          <w:sz w:val="11"/>
          <w:szCs w:val="11"/>
          <w:color w:val="auto"/>
        </w:rPr>
      </w:pPr>
    </w:p>
    <w:p>
      <w:pPr>
        <w:ind w:left="2420" w:hanging="576"/>
        <w:spacing w:after="0"/>
        <w:tabs>
          <w:tab w:leader="none" w:pos="2420" w:val="left"/>
        </w:tabs>
        <w:numPr>
          <w:ilvl w:val="0"/>
          <w:numId w:val="68"/>
        </w:numPr>
        <w:rPr>
          <w:rFonts w:ascii="Arial" w:cs="Arial" w:eastAsia="Arial" w:hAnsi="Arial"/>
          <w:sz w:val="12"/>
          <w:szCs w:val="12"/>
          <w:color w:val="auto"/>
        </w:rPr>
      </w:pPr>
      <w:r>
        <w:rPr>
          <w:rFonts w:ascii="Arial" w:cs="Arial" w:eastAsia="Arial" w:hAnsi="Arial"/>
          <w:sz w:val="12"/>
          <w:szCs w:val="12"/>
          <w:u w:val="single" w:color="auto"/>
          <w:color w:val="auto"/>
        </w:rPr>
        <w:t>Conflict with Issuer Documents</w:t>
      </w:r>
      <w:r>
        <w:rPr>
          <w:rFonts w:ascii="Arial" w:cs="Arial" w:eastAsia="Arial" w:hAnsi="Arial"/>
          <w:sz w:val="12"/>
          <w:szCs w:val="12"/>
          <w:color w:val="auto"/>
        </w:rPr>
        <w:t>. In the event of any conflict between the terms hereof and the terms of any Issuer Document, the terms hereof shall control.</w:t>
      </w:r>
    </w:p>
    <w:p>
      <w:pPr>
        <w:spacing w:after="0" w:line="155"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3"/>
          <w:szCs w:val="13"/>
          <w:b w:val="1"/>
          <w:bCs w:val="1"/>
          <w:color w:val="auto"/>
        </w:rPr>
        <w:t>2.04</w:t>
      </w:r>
      <w:r>
        <w:rPr>
          <w:sz w:val="20"/>
          <w:szCs w:val="20"/>
          <w:color w:val="auto"/>
        </w:rPr>
        <w:tab/>
      </w:r>
      <w:r>
        <w:rPr>
          <w:rFonts w:ascii="Arial" w:cs="Arial" w:eastAsia="Arial" w:hAnsi="Arial"/>
          <w:sz w:val="11"/>
          <w:szCs w:val="11"/>
          <w:b w:val="1"/>
          <w:bCs w:val="1"/>
          <w:color w:val="auto"/>
        </w:rPr>
        <w:t>Swing Line Loans</w:t>
      </w:r>
      <w:r>
        <w:rPr>
          <w:rFonts w:ascii="Arial" w:cs="Arial" w:eastAsia="Arial" w:hAnsi="Arial"/>
          <w:sz w:val="11"/>
          <w:szCs w:val="11"/>
          <w:color w:val="auto"/>
        </w:rPr>
        <w:t>.</w:t>
      </w:r>
    </w:p>
    <w:p>
      <w:pPr>
        <w:spacing w:after="0" w:line="152" w:lineRule="exact"/>
        <w:rPr>
          <w:sz w:val="20"/>
          <w:szCs w:val="20"/>
          <w:color w:val="auto"/>
        </w:rPr>
      </w:pPr>
    </w:p>
    <w:p>
      <w:pPr>
        <w:jc w:val="both"/>
        <w:ind w:left="220" w:firstLine="1624"/>
        <w:spacing w:after="0" w:line="258" w:lineRule="auto"/>
        <w:tabs>
          <w:tab w:leader="none" w:pos="2412" w:val="left"/>
        </w:tabs>
        <w:numPr>
          <w:ilvl w:val="0"/>
          <w:numId w:val="69"/>
        </w:numPr>
        <w:rPr>
          <w:rFonts w:ascii="Arial" w:cs="Arial" w:eastAsia="Arial" w:hAnsi="Arial"/>
          <w:sz w:val="13"/>
          <w:szCs w:val="13"/>
          <w:color w:val="auto"/>
        </w:rPr>
      </w:pPr>
      <w:r>
        <w:rPr>
          <w:rFonts w:ascii="Arial" w:cs="Arial" w:eastAsia="Arial" w:hAnsi="Arial"/>
          <w:sz w:val="13"/>
          <w:szCs w:val="13"/>
          <w:u w:val="single" w:color="auto"/>
          <w:color w:val="auto"/>
        </w:rPr>
        <w:t>The Swing Line</w:t>
      </w:r>
      <w:r>
        <w:rPr>
          <w:rFonts w:ascii="Arial" w:cs="Arial" w:eastAsia="Arial" w:hAnsi="Arial"/>
          <w:sz w:val="13"/>
          <w:szCs w:val="13"/>
          <w:color w:val="auto"/>
        </w:rPr>
        <w:t xml:space="preserve">. Subject to the terms and conditions set forth herein, the Swing Line Lender may, in its sole discretion, in reliance upon the agreements of the other Revolving Lenders set forth in this </w:t>
      </w:r>
      <w:r>
        <w:rPr>
          <w:rFonts w:ascii="Arial" w:cs="Arial" w:eastAsia="Arial" w:hAnsi="Arial"/>
          <w:sz w:val="13"/>
          <w:szCs w:val="13"/>
          <w:u w:val="single" w:color="auto"/>
          <w:color w:val="auto"/>
        </w:rPr>
        <w:t>Section 2.04</w:t>
      </w:r>
      <w:r>
        <w:rPr>
          <w:rFonts w:ascii="Arial" w:cs="Arial" w:eastAsia="Arial" w:hAnsi="Arial"/>
          <w:sz w:val="13"/>
          <w:szCs w:val="13"/>
          <w:color w:val="auto"/>
        </w:rPr>
        <w:t>, to make loans (each such loan, a “Swing Line Loan”) to the Borrowers from time to time on any Business Day during the Availability Period in an aggregate amount not to exceed at</w:t>
      </w:r>
    </w:p>
    <w:p>
      <w:pPr>
        <w:spacing w:after="0" w:line="269"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69" w:name="page70"/>
    <w:bookmarkEnd w:id="69"/>
    <w:p>
      <w:pPr>
        <w:jc w:val="both"/>
        <w:ind w:left="220"/>
        <w:spacing w:after="0" w:line="270" w:lineRule="auto"/>
        <w:rPr>
          <w:sz w:val="20"/>
          <w:szCs w:val="20"/>
          <w:color w:val="auto"/>
        </w:rPr>
      </w:pPr>
      <w:r>
        <w:rPr>
          <w:rFonts w:ascii="Arial" w:cs="Arial" w:eastAsia="Arial" w:hAnsi="Arial"/>
          <w:sz w:val="12"/>
          <w:szCs w:val="12"/>
          <w:color w:val="auto"/>
        </w:rPr>
        <w:t xml:space="preserve">any time outstanding the amount of the Swing Line Sublimit, notwithstanding the fact that such Swing Line Loans, when aggregated with the Applicable Percentage of the Outstanding Amount of Committed Loans and L/C Obligations of the Revolving Lender acting as Swing Line Lender, may exceed the amount of such Revolving Lender’s Revolving Commitment;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after giving effect to any Swing Line Loan, (i) the Total Revolving Outstandings shall not exceed the Revolving Loan Cap, and (ii) the aggregate Outstanding Amount of the Committed Loans of any Revolving Lender at such time,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such Revolving Lender’s Applicable Percentage of the Outstanding Amount of all L/C Obligations at such time,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such Revolving Lender’s Applicable Percentage of the Outstanding Amount of all Swing Line Loans at such time shall not exceed such Revolving Lender’s Revolving Commitment, and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xml:space="preserve">, that the Borrowers shall not use the proceeds of any Swing Line Loan to refinance any outstanding Swing Line Loan, and </w:t>
      </w:r>
      <w:r>
        <w:rPr>
          <w:rFonts w:ascii="Arial" w:cs="Arial" w:eastAsia="Arial" w:hAnsi="Arial"/>
          <w:sz w:val="12"/>
          <w:szCs w:val="12"/>
          <w:u w:val="single" w:color="auto"/>
          <w:color w:val="auto"/>
        </w:rPr>
        <w:t>provided further that</w:t>
      </w:r>
      <w:r>
        <w:rPr>
          <w:rFonts w:ascii="Arial" w:cs="Arial" w:eastAsia="Arial" w:hAnsi="Arial"/>
          <w:sz w:val="12"/>
          <w:szCs w:val="12"/>
          <w:color w:val="auto"/>
        </w:rPr>
        <w:t xml:space="preserve"> the Swing Line Lender shall not be obligated to make any Swing Line Loan if it shall determine (which determination shall be conclusive and binding absent manifest error) that it has, or by such Credit Extension may have, Fronting Exposure. Within the foregoing limits, and subject to the other terms and conditions hereof, the Borrowers may borrow under this </w:t>
      </w:r>
      <w:r>
        <w:rPr>
          <w:rFonts w:ascii="Arial" w:cs="Arial" w:eastAsia="Arial" w:hAnsi="Arial"/>
          <w:sz w:val="12"/>
          <w:szCs w:val="12"/>
          <w:u w:val="single" w:color="auto"/>
          <w:color w:val="auto"/>
        </w:rPr>
        <w:t>Section 2.04</w:t>
      </w:r>
      <w:r>
        <w:rPr>
          <w:rFonts w:ascii="Arial" w:cs="Arial" w:eastAsia="Arial" w:hAnsi="Arial"/>
          <w:sz w:val="12"/>
          <w:szCs w:val="12"/>
          <w:color w:val="auto"/>
        </w:rPr>
        <w:t xml:space="preserve">, prepay under </w:t>
      </w:r>
      <w:r>
        <w:rPr>
          <w:rFonts w:ascii="Arial" w:cs="Arial" w:eastAsia="Arial" w:hAnsi="Arial"/>
          <w:sz w:val="12"/>
          <w:szCs w:val="12"/>
          <w:u w:val="single" w:color="auto"/>
          <w:color w:val="auto"/>
        </w:rPr>
        <w:t>Section 2.05</w:t>
      </w:r>
      <w:r>
        <w:rPr>
          <w:rFonts w:ascii="Arial" w:cs="Arial" w:eastAsia="Arial" w:hAnsi="Arial"/>
          <w:sz w:val="12"/>
          <w:szCs w:val="12"/>
          <w:color w:val="auto"/>
        </w:rPr>
        <w:t xml:space="preserve">, and reborrow under this </w:t>
      </w:r>
      <w:r>
        <w:rPr>
          <w:rFonts w:ascii="Arial" w:cs="Arial" w:eastAsia="Arial" w:hAnsi="Arial"/>
          <w:sz w:val="12"/>
          <w:szCs w:val="12"/>
          <w:u w:val="single" w:color="auto"/>
          <w:color w:val="auto"/>
        </w:rPr>
        <w:t>Section 2.04</w:t>
      </w:r>
      <w:r>
        <w:rPr>
          <w:rFonts w:ascii="Arial" w:cs="Arial" w:eastAsia="Arial" w:hAnsi="Arial"/>
          <w:sz w:val="12"/>
          <w:szCs w:val="12"/>
          <w:color w:val="auto"/>
        </w:rPr>
        <w:t xml:space="preserve">. Each Swing Line Loan shall bear interest only at the Base Rate. Immediately upon the making of a Swing Line Loan, each Revolving Lender shall be deemed to, and hereby irrevocably and unconditionally agrees to, purchase from the Swing Line Lender a risk participation in such Swing Line Loan in an amount equal to the product of such Revolving Lender’s Applicable Percentage </w:t>
      </w:r>
      <w:r>
        <w:rPr>
          <w:rFonts w:ascii="Arial" w:cs="Arial" w:eastAsia="Arial" w:hAnsi="Arial"/>
          <w:sz w:val="12"/>
          <w:szCs w:val="12"/>
          <w:i w:val="1"/>
          <w:iCs w:val="1"/>
          <w:color w:val="auto"/>
        </w:rPr>
        <w:t>multiplied by</w:t>
      </w:r>
      <w:r>
        <w:rPr>
          <w:rFonts w:ascii="Arial" w:cs="Arial" w:eastAsia="Arial" w:hAnsi="Arial"/>
          <w:sz w:val="12"/>
          <w:szCs w:val="12"/>
          <w:color w:val="auto"/>
        </w:rPr>
        <w:t xml:space="preserve"> the amount of such Swing Line Loan. The Swing Line Lender shall have all of the benefits and immunities (A) provided to the Agent in </w:t>
      </w:r>
      <w:r>
        <w:rPr>
          <w:rFonts w:ascii="Arial" w:cs="Arial" w:eastAsia="Arial" w:hAnsi="Arial"/>
          <w:sz w:val="12"/>
          <w:szCs w:val="12"/>
          <w:u w:val="single" w:color="auto"/>
          <w:color w:val="auto"/>
        </w:rPr>
        <w:t>Article IX</w:t>
      </w:r>
      <w:r>
        <w:rPr>
          <w:rFonts w:ascii="Arial" w:cs="Arial" w:eastAsia="Arial" w:hAnsi="Arial"/>
          <w:sz w:val="12"/>
          <w:szCs w:val="12"/>
          <w:color w:val="auto"/>
        </w:rPr>
        <w:t xml:space="preserve"> with respect to any acts taken or omissions suffered by the Swing Line Lender in connection with Swing Line Loans made by it or proposed to be made by it as if the term “Agent” as used in </w:t>
      </w:r>
      <w:r>
        <w:rPr>
          <w:rFonts w:ascii="Arial" w:cs="Arial" w:eastAsia="Arial" w:hAnsi="Arial"/>
          <w:sz w:val="12"/>
          <w:szCs w:val="12"/>
          <w:u w:val="single" w:color="auto"/>
          <w:color w:val="auto"/>
        </w:rPr>
        <w:t>Article IX</w:t>
      </w:r>
      <w:r>
        <w:rPr>
          <w:rFonts w:ascii="Arial" w:cs="Arial" w:eastAsia="Arial" w:hAnsi="Arial"/>
          <w:sz w:val="12"/>
          <w:szCs w:val="12"/>
          <w:color w:val="auto"/>
        </w:rPr>
        <w:t xml:space="preserve"> included the Swing Line Lender with respect to such acts or omissions, and (B) as additionally provided herein with respect to the Swing Line Lender.</w:t>
      </w:r>
    </w:p>
    <w:p>
      <w:pPr>
        <w:spacing w:after="0" w:line="120" w:lineRule="exact"/>
        <w:rPr>
          <w:sz w:val="20"/>
          <w:szCs w:val="20"/>
          <w:color w:val="auto"/>
        </w:rPr>
      </w:pPr>
    </w:p>
    <w:p>
      <w:pPr>
        <w:jc w:val="both"/>
        <w:ind w:left="220" w:firstLine="1624"/>
        <w:spacing w:after="0" w:line="270" w:lineRule="auto"/>
        <w:tabs>
          <w:tab w:leader="none" w:pos="2419" w:val="left"/>
        </w:tabs>
        <w:numPr>
          <w:ilvl w:val="0"/>
          <w:numId w:val="70"/>
        </w:numPr>
        <w:rPr>
          <w:rFonts w:ascii="Arial" w:cs="Arial" w:eastAsia="Arial" w:hAnsi="Arial"/>
          <w:sz w:val="12"/>
          <w:szCs w:val="12"/>
          <w:color w:val="auto"/>
        </w:rPr>
      </w:pPr>
      <w:r>
        <w:rPr>
          <w:rFonts w:ascii="Arial" w:cs="Arial" w:eastAsia="Arial" w:hAnsi="Arial"/>
          <w:sz w:val="12"/>
          <w:szCs w:val="12"/>
          <w:u w:val="single" w:color="auto"/>
          <w:color w:val="auto"/>
        </w:rPr>
        <w:t>Borrowing Procedures</w:t>
      </w:r>
      <w:r>
        <w:rPr>
          <w:rFonts w:ascii="Arial" w:cs="Arial" w:eastAsia="Arial" w:hAnsi="Arial"/>
          <w:sz w:val="12"/>
          <w:szCs w:val="12"/>
          <w:color w:val="auto"/>
        </w:rPr>
        <w:t xml:space="preserve">. Each Swing Line Borrowing shall be made upon the Lead Borrower’s irrevocable notice to the Swing Line Lender and the Agent, which may be given by telephone. Each such notice must be received by the Swing Line Lender and the Agent not later than 1:00 p.m. on the requested borrowing date, and shall specify (i) the amount to be borrowed, which shall be a minimum of $100,000, and (ii) the requested borrowing date, which shall be a Business Day. Each such telephonic notice must be confirmed promptly by delivery to the Swing Line Lender and the Agent of a written Swing Line Loan Notice, appropriately completed and signed by a Responsible Officer of the Lead Borrower. Promptly after receipt by the Swing Line Lender of any telephonic Swing Line Loan Notice, the Swing Line Lender will confirm with the Agent (by telephone or in writing) that the Agent has also received such Swing Line Loan Notice and, if not, the Swing Line Lender will notify the Agent (by telephone or in writing) of the contents thereof. Unless the Swing Line Lender has received notice (by telephone or in writing) from the Agent at the request of the Required Lenders prior to 2:00 p.m. on the date of the proposed Swing Line Borrowing (A) directing the Swing Line Lender not to make such Swing Line Loan as a result of the limitations set forth in the provisos to the first sentence of </w:t>
      </w:r>
      <w:r>
        <w:rPr>
          <w:rFonts w:ascii="Arial" w:cs="Arial" w:eastAsia="Arial" w:hAnsi="Arial"/>
          <w:sz w:val="12"/>
          <w:szCs w:val="12"/>
          <w:u w:val="single" w:color="auto"/>
          <w:color w:val="auto"/>
        </w:rPr>
        <w:t>Section 2.04(a)</w:t>
      </w:r>
      <w:r>
        <w:rPr>
          <w:rFonts w:ascii="Arial" w:cs="Arial" w:eastAsia="Arial" w:hAnsi="Arial"/>
          <w:sz w:val="12"/>
          <w:szCs w:val="12"/>
          <w:color w:val="auto"/>
        </w:rPr>
        <w:t xml:space="preserve">, or (B) that one or more of the applicable conditions specified in </w:t>
      </w:r>
      <w:r>
        <w:rPr>
          <w:rFonts w:ascii="Arial" w:cs="Arial" w:eastAsia="Arial" w:hAnsi="Arial"/>
          <w:sz w:val="12"/>
          <w:szCs w:val="12"/>
          <w:u w:val="single" w:color="auto"/>
          <w:color w:val="auto"/>
        </w:rPr>
        <w:t>Article IV</w:t>
      </w:r>
      <w:r>
        <w:rPr>
          <w:rFonts w:ascii="Arial" w:cs="Arial" w:eastAsia="Arial" w:hAnsi="Arial"/>
          <w:sz w:val="12"/>
          <w:szCs w:val="12"/>
          <w:color w:val="auto"/>
        </w:rPr>
        <w:t xml:space="preserve"> is not then satisfied, then, subject to the terms and conditions hereof, the Swing Line Lender may, not later than 4:00 p.m. on the borrowing date specified in such Swing Line Loan Notice, make the amount of its Swing Line Loan available to the Borrowers either by (i) crediting the account of the Lead Borrower on the books of Bank of America with the amount of such funds or (ii) wire transferring such funds, in each case in accordance with instructions provided to (and reasonably acceptable to) the Swing Line Lender by the Lead Borrower;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if, on the date of the proposed Swing Line Loan, there are L/C Borrowings outstanding, then the proceeds of such Borrowing, </w:t>
      </w:r>
      <w:r>
        <w:rPr>
          <w:rFonts w:ascii="Arial" w:cs="Arial" w:eastAsia="Arial" w:hAnsi="Arial"/>
          <w:sz w:val="12"/>
          <w:szCs w:val="12"/>
          <w:u w:val="single" w:color="auto"/>
          <w:color w:val="auto"/>
        </w:rPr>
        <w:t>first</w:t>
      </w:r>
      <w:r>
        <w:rPr>
          <w:rFonts w:ascii="Arial" w:cs="Arial" w:eastAsia="Arial" w:hAnsi="Arial"/>
          <w:sz w:val="12"/>
          <w:szCs w:val="12"/>
          <w:color w:val="auto"/>
        </w:rPr>
        <w:t xml:space="preserve">, shall be applied to the payment in full of any such L/C Borrowings, and </w:t>
      </w:r>
      <w:r>
        <w:rPr>
          <w:rFonts w:ascii="Arial" w:cs="Arial" w:eastAsia="Arial" w:hAnsi="Arial"/>
          <w:sz w:val="12"/>
          <w:szCs w:val="12"/>
          <w:u w:val="single" w:color="auto"/>
          <w:color w:val="auto"/>
        </w:rPr>
        <w:t>second</w:t>
      </w:r>
      <w:r>
        <w:rPr>
          <w:rFonts w:ascii="Arial" w:cs="Arial" w:eastAsia="Arial" w:hAnsi="Arial"/>
          <w:sz w:val="12"/>
          <w:szCs w:val="12"/>
          <w:color w:val="auto"/>
        </w:rPr>
        <w:t>, shall be made available to the Borrowers as provided above.</w:t>
      </w:r>
    </w:p>
    <w:p>
      <w:pPr>
        <w:spacing w:after="0" w:line="266"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70" w:name="page71"/>
    <w:bookmarkEnd w:id="70"/>
    <w:p>
      <w:pPr>
        <w:ind w:left="2460" w:hanging="582"/>
        <w:spacing w:after="0"/>
        <w:tabs>
          <w:tab w:leader="none" w:pos="2460" w:val="left"/>
        </w:tabs>
        <w:numPr>
          <w:ilvl w:val="0"/>
          <w:numId w:val="71"/>
        </w:numPr>
        <w:rPr>
          <w:rFonts w:ascii="Arial" w:cs="Arial" w:eastAsia="Arial" w:hAnsi="Arial"/>
          <w:sz w:val="13"/>
          <w:szCs w:val="13"/>
          <w:color w:val="auto"/>
        </w:rPr>
      </w:pPr>
      <w:r>
        <w:rPr>
          <w:rFonts w:ascii="Arial" w:cs="Arial" w:eastAsia="Arial" w:hAnsi="Arial"/>
          <w:sz w:val="13"/>
          <w:szCs w:val="13"/>
          <w:u w:val="single" w:color="auto"/>
          <w:color w:val="auto"/>
        </w:rPr>
        <w:t>Refinancing of Swing Line Loans</w:t>
      </w:r>
      <w:r>
        <w:rPr>
          <w:rFonts w:ascii="Arial" w:cs="Arial" w:eastAsia="Arial" w:hAnsi="Arial"/>
          <w:sz w:val="13"/>
          <w:szCs w:val="13"/>
          <w:color w:val="auto"/>
        </w:rPr>
        <w:t>.</w:t>
      </w:r>
    </w:p>
    <w:p>
      <w:pPr>
        <w:spacing w:after="0" w:line="149" w:lineRule="exact"/>
        <w:rPr>
          <w:rFonts w:ascii="Arial" w:cs="Arial" w:eastAsia="Arial" w:hAnsi="Arial"/>
          <w:sz w:val="13"/>
          <w:szCs w:val="13"/>
          <w:color w:val="auto"/>
        </w:rPr>
      </w:pPr>
    </w:p>
    <w:p>
      <w:pPr>
        <w:jc w:val="both"/>
        <w:ind w:left="220" w:firstLine="2432"/>
        <w:spacing w:after="0" w:line="249" w:lineRule="auto"/>
        <w:tabs>
          <w:tab w:leader="none" w:pos="3200" w:val="left"/>
        </w:tabs>
        <w:numPr>
          <w:ilvl w:val="1"/>
          <w:numId w:val="71"/>
        </w:numPr>
        <w:rPr>
          <w:rFonts w:ascii="Arial" w:cs="Arial" w:eastAsia="Arial" w:hAnsi="Arial"/>
          <w:sz w:val="13"/>
          <w:szCs w:val="13"/>
          <w:color w:val="auto"/>
        </w:rPr>
      </w:pPr>
      <w:r>
        <w:rPr>
          <w:rFonts w:ascii="Arial" w:cs="Arial" w:eastAsia="Arial" w:hAnsi="Arial"/>
          <w:sz w:val="13"/>
          <w:szCs w:val="13"/>
          <w:color w:val="auto"/>
        </w:rPr>
        <w:t xml:space="preserve">In addition to settlements required under </w:t>
      </w:r>
      <w:r>
        <w:rPr>
          <w:rFonts w:ascii="Arial" w:cs="Arial" w:eastAsia="Arial" w:hAnsi="Arial"/>
          <w:sz w:val="13"/>
          <w:szCs w:val="13"/>
          <w:u w:val="single" w:color="auto"/>
          <w:color w:val="auto"/>
        </w:rPr>
        <w:t>Section 2.14</w:t>
      </w:r>
      <w:r>
        <w:rPr>
          <w:rFonts w:ascii="Arial" w:cs="Arial" w:eastAsia="Arial" w:hAnsi="Arial"/>
          <w:sz w:val="13"/>
          <w:szCs w:val="13"/>
          <w:color w:val="auto"/>
        </w:rPr>
        <w:t xml:space="preserve"> hereof, the Swing Line Lender at any time in its sole and absolute discretion may request, on behalf of the Borrowers (which hereby irrevocably authorize the Swing Line Lender to so request on their behalf), that each Revolving Lender make a Base Rate Loan in an amount equal to such Revolving Lender's Applicable Percentage of the amount of Swing Line Loans then outstanding. Such request shall be made in writing (which written request shall be deemed to be a Committed Loan Notice for purposes hereof) and in accordance with the requirements of </w:t>
      </w:r>
      <w:r>
        <w:rPr>
          <w:rFonts w:ascii="Arial" w:cs="Arial" w:eastAsia="Arial" w:hAnsi="Arial"/>
          <w:sz w:val="13"/>
          <w:szCs w:val="13"/>
          <w:u w:val="single" w:color="auto"/>
          <w:color w:val="auto"/>
        </w:rPr>
        <w:t>Section 2.02</w:t>
      </w:r>
      <w:r>
        <w:rPr>
          <w:rFonts w:ascii="Arial" w:cs="Arial" w:eastAsia="Arial" w:hAnsi="Arial"/>
          <w:sz w:val="13"/>
          <w:szCs w:val="13"/>
          <w:color w:val="auto"/>
        </w:rPr>
        <w:t xml:space="preserve">, without regard to the minimum and multiples specified therein for the principal amount of Base Rate Loans, but subject to the unutilized portion of the Revolving Loan Cap and the conditions set forth in </w:t>
      </w:r>
      <w:r>
        <w:rPr>
          <w:rFonts w:ascii="Arial" w:cs="Arial" w:eastAsia="Arial" w:hAnsi="Arial"/>
          <w:sz w:val="13"/>
          <w:szCs w:val="13"/>
          <w:u w:val="single" w:color="auto"/>
          <w:color w:val="auto"/>
        </w:rPr>
        <w:t>Section 4.02</w:t>
      </w:r>
      <w:r>
        <w:rPr>
          <w:rFonts w:ascii="Arial" w:cs="Arial" w:eastAsia="Arial" w:hAnsi="Arial"/>
          <w:sz w:val="13"/>
          <w:szCs w:val="13"/>
          <w:color w:val="auto"/>
        </w:rPr>
        <w:t xml:space="preserve">. The Swing Line Lender shall furnish the Lead Borrower with a copy of the applicable Committed Loan Notice promptly after delivering such notice to the Agent. Each Revolving Lender shall make an amount equal to its Applicable Percentage of the amount specified in such Committed Loan Notice available to the Agent in immediately available funds for the account of the Swing Line Lender at the Agent’s Office not later than 1:00 p.m. on the day specified in such Committed Loan Notice, whereupon, subject to </w:t>
      </w:r>
      <w:r>
        <w:rPr>
          <w:rFonts w:ascii="Arial" w:cs="Arial" w:eastAsia="Arial" w:hAnsi="Arial"/>
          <w:sz w:val="13"/>
          <w:szCs w:val="13"/>
          <w:u w:val="single" w:color="auto"/>
          <w:color w:val="auto"/>
        </w:rPr>
        <w:t>Section 2.04(c)(ii)</w:t>
      </w:r>
      <w:r>
        <w:rPr>
          <w:rFonts w:ascii="Arial" w:cs="Arial" w:eastAsia="Arial" w:hAnsi="Arial"/>
          <w:sz w:val="13"/>
          <w:szCs w:val="13"/>
          <w:color w:val="auto"/>
        </w:rPr>
        <w:t>, each Revolving Lender that so makes funds available shall be deemed to have made a Base Rate Loan to the Borrowers in such amount. The Agent shall remit the funds so received to the Swing Line Lender.</w:t>
      </w:r>
    </w:p>
    <w:p>
      <w:pPr>
        <w:spacing w:after="0" w:line="126" w:lineRule="exact"/>
        <w:rPr>
          <w:rFonts w:ascii="Arial" w:cs="Arial" w:eastAsia="Arial" w:hAnsi="Arial"/>
          <w:sz w:val="13"/>
          <w:szCs w:val="13"/>
          <w:color w:val="auto"/>
        </w:rPr>
      </w:pPr>
    </w:p>
    <w:p>
      <w:pPr>
        <w:jc w:val="both"/>
        <w:ind w:left="220" w:firstLine="2431"/>
        <w:spacing w:after="0" w:line="290" w:lineRule="auto"/>
        <w:tabs>
          <w:tab w:leader="none" w:pos="3236" w:val="left"/>
        </w:tabs>
        <w:numPr>
          <w:ilvl w:val="1"/>
          <w:numId w:val="71"/>
        </w:numPr>
        <w:rPr>
          <w:rFonts w:ascii="Arial" w:cs="Arial" w:eastAsia="Arial" w:hAnsi="Arial"/>
          <w:sz w:val="12"/>
          <w:szCs w:val="12"/>
          <w:color w:val="auto"/>
        </w:rPr>
      </w:pPr>
      <w:r>
        <w:rPr>
          <w:rFonts w:ascii="Arial" w:cs="Arial" w:eastAsia="Arial" w:hAnsi="Arial"/>
          <w:sz w:val="12"/>
          <w:szCs w:val="12"/>
          <w:color w:val="auto"/>
        </w:rPr>
        <w:t xml:space="preserve">If for any reason any Swing Line Loan cannot be refinanced by such a Committed Borrowing in accordance with </w:t>
      </w:r>
      <w:r>
        <w:rPr>
          <w:rFonts w:ascii="Arial" w:cs="Arial" w:eastAsia="Arial" w:hAnsi="Arial"/>
          <w:sz w:val="12"/>
          <w:szCs w:val="12"/>
          <w:u w:val="single" w:color="auto"/>
          <w:color w:val="auto"/>
        </w:rPr>
        <w:t>Section 2.04(c)(i)</w:t>
      </w:r>
      <w:r>
        <w:rPr>
          <w:rFonts w:ascii="Arial" w:cs="Arial" w:eastAsia="Arial" w:hAnsi="Arial"/>
          <w:sz w:val="12"/>
          <w:szCs w:val="12"/>
          <w:color w:val="auto"/>
        </w:rPr>
        <w:t xml:space="preserve">, the request for Base Rate Loans submitted by the Swing Line Lender as set forth herein shall be deemed to be a request by the Swing Line Lender that each of the Revolving Lenders fund its risk participation in the relevant Swing Line Loan and each Revolving Lender’s payment to the Agent for the account of the Swing Line Lender pursuant to </w:t>
      </w:r>
      <w:r>
        <w:rPr>
          <w:rFonts w:ascii="Arial" w:cs="Arial" w:eastAsia="Arial" w:hAnsi="Arial"/>
          <w:sz w:val="12"/>
          <w:szCs w:val="12"/>
          <w:u w:val="single" w:color="auto"/>
          <w:color w:val="auto"/>
        </w:rPr>
        <w:t>Section 2.04(c)(i)</w:t>
      </w:r>
      <w:r>
        <w:rPr>
          <w:rFonts w:ascii="Arial" w:cs="Arial" w:eastAsia="Arial" w:hAnsi="Arial"/>
          <w:sz w:val="12"/>
          <w:szCs w:val="12"/>
          <w:color w:val="auto"/>
        </w:rPr>
        <w:t xml:space="preserve"> shall be deemed payment in respect of such participation.</w:t>
      </w:r>
    </w:p>
    <w:p>
      <w:pPr>
        <w:spacing w:after="0" w:line="103" w:lineRule="exact"/>
        <w:rPr>
          <w:rFonts w:ascii="Arial" w:cs="Arial" w:eastAsia="Arial" w:hAnsi="Arial"/>
          <w:sz w:val="12"/>
          <w:szCs w:val="12"/>
          <w:color w:val="auto"/>
        </w:rPr>
      </w:pPr>
    </w:p>
    <w:p>
      <w:pPr>
        <w:jc w:val="both"/>
        <w:ind w:left="220" w:firstLine="2432"/>
        <w:spacing w:after="0" w:line="274" w:lineRule="auto"/>
        <w:tabs>
          <w:tab w:leader="none" w:pos="3273" w:val="left"/>
        </w:tabs>
        <w:numPr>
          <w:ilvl w:val="1"/>
          <w:numId w:val="71"/>
        </w:numPr>
        <w:rPr>
          <w:rFonts w:ascii="Arial" w:cs="Arial" w:eastAsia="Arial" w:hAnsi="Arial"/>
          <w:sz w:val="12"/>
          <w:szCs w:val="12"/>
          <w:color w:val="auto"/>
        </w:rPr>
      </w:pPr>
      <w:r>
        <w:rPr>
          <w:rFonts w:ascii="Arial" w:cs="Arial" w:eastAsia="Arial" w:hAnsi="Arial"/>
          <w:sz w:val="12"/>
          <w:szCs w:val="12"/>
          <w:color w:val="auto"/>
        </w:rPr>
        <w:t xml:space="preserve">If any Revolving Lender fails to make available to the Agent for the account of the Swing Line Lender any amount required to be paid by such Revolving Lender pursuant to the foregoing provisions of this </w:t>
      </w:r>
      <w:r>
        <w:rPr>
          <w:rFonts w:ascii="Arial" w:cs="Arial" w:eastAsia="Arial" w:hAnsi="Arial"/>
          <w:sz w:val="12"/>
          <w:szCs w:val="12"/>
          <w:u w:val="single" w:color="auto"/>
          <w:color w:val="auto"/>
        </w:rPr>
        <w:t>Section 2.04(c)</w:t>
      </w:r>
      <w:r>
        <w:rPr>
          <w:rFonts w:ascii="Arial" w:cs="Arial" w:eastAsia="Arial" w:hAnsi="Arial"/>
          <w:sz w:val="12"/>
          <w:szCs w:val="12"/>
          <w:color w:val="auto"/>
        </w:rPr>
        <w:t xml:space="preserve"> by the time specified in </w:t>
      </w:r>
      <w:r>
        <w:rPr>
          <w:rFonts w:ascii="Arial" w:cs="Arial" w:eastAsia="Arial" w:hAnsi="Arial"/>
          <w:sz w:val="12"/>
          <w:szCs w:val="12"/>
          <w:u w:val="single" w:color="auto"/>
          <w:color w:val="auto"/>
        </w:rPr>
        <w:t>Section 2.04(c)(i)</w:t>
      </w:r>
      <w:r>
        <w:rPr>
          <w:rFonts w:ascii="Arial" w:cs="Arial" w:eastAsia="Arial" w:hAnsi="Arial"/>
          <w:sz w:val="12"/>
          <w:szCs w:val="12"/>
          <w:color w:val="auto"/>
        </w:rPr>
        <w:t>, the Swing Line Lender shall be entitled to recover from such Revolving Lender (acting through the Agent), on demand, such amount with interest thereon for the period from the date such payment is required to the date on which such payment is immediately available to the Swing Line Lender at a rate per annum equal to the greater of the Federal Funds Rate and a rate determined by the Swing Line Lender in accordance with banking industry rules on interbank compensation plus any administrative, processing or similar fees customarily charged by the Swing Line Lender in connection with the foregoing. If such Revolving Lender pays such amount (with interest and fees as aforesaid), the amount so paid shall constitute such Revolving Lender’s Committed Loan included in the relevant Committed Borrowing or funded participation in the relevant Swing Line Loan, as the case may be. A certificate of the Swing Line Lender submitted to any Revolving Lender (through the Agent) with respect to any amounts owing under this clause (iii) shall be conclusive absent manifest error.</w:t>
      </w:r>
    </w:p>
    <w:p>
      <w:pPr>
        <w:spacing w:after="0" w:line="113" w:lineRule="exact"/>
        <w:rPr>
          <w:rFonts w:ascii="Arial" w:cs="Arial" w:eastAsia="Arial" w:hAnsi="Arial"/>
          <w:sz w:val="12"/>
          <w:szCs w:val="12"/>
          <w:color w:val="auto"/>
        </w:rPr>
      </w:pPr>
    </w:p>
    <w:p>
      <w:pPr>
        <w:jc w:val="both"/>
        <w:ind w:left="220" w:firstLine="2432"/>
        <w:spacing w:after="0" w:line="251" w:lineRule="auto"/>
        <w:tabs>
          <w:tab w:leader="none" w:pos="3266" w:val="left"/>
        </w:tabs>
        <w:numPr>
          <w:ilvl w:val="1"/>
          <w:numId w:val="71"/>
        </w:numPr>
        <w:rPr>
          <w:rFonts w:ascii="Arial" w:cs="Arial" w:eastAsia="Arial" w:hAnsi="Arial"/>
          <w:sz w:val="13"/>
          <w:szCs w:val="13"/>
          <w:color w:val="auto"/>
        </w:rPr>
      </w:pPr>
      <w:r>
        <w:rPr>
          <w:rFonts w:ascii="Arial" w:cs="Arial" w:eastAsia="Arial" w:hAnsi="Arial"/>
          <w:sz w:val="13"/>
          <w:szCs w:val="13"/>
          <w:color w:val="auto"/>
        </w:rPr>
        <w:t xml:space="preserve">Each Revolving Lender’s obligation to make Committed Loans or to purchase and fund risk participations in Swing Line Loans pursuant to this </w:t>
      </w:r>
      <w:r>
        <w:rPr>
          <w:rFonts w:ascii="Arial" w:cs="Arial" w:eastAsia="Arial" w:hAnsi="Arial"/>
          <w:sz w:val="13"/>
          <w:szCs w:val="13"/>
          <w:u w:val="single" w:color="auto"/>
          <w:color w:val="auto"/>
        </w:rPr>
        <w:t>Section 2.04(c)</w:t>
      </w:r>
      <w:r>
        <w:rPr>
          <w:rFonts w:ascii="Arial" w:cs="Arial" w:eastAsia="Arial" w:hAnsi="Arial"/>
          <w:sz w:val="13"/>
          <w:szCs w:val="13"/>
          <w:color w:val="auto"/>
        </w:rPr>
        <w:t xml:space="preserve"> shall be absolute and unconditional and shall not be affected by any circumstance, including (A) any setoff, counterclaim, recoupment, defense or other right which such Revolving Lender may have against the Swing Line Lender, the Borrowers or any other Person for any reason whatsoever, (B) the occurrence or continuance of a Default or an Event of Default, or (C) any other occurrence, event or condition, whether or not similar to any of the foregoing;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each Revolving Lender’s obligation to make Committed Loans pursuant to this </w:t>
      </w:r>
      <w:r>
        <w:rPr>
          <w:rFonts w:ascii="Arial" w:cs="Arial" w:eastAsia="Arial" w:hAnsi="Arial"/>
          <w:sz w:val="13"/>
          <w:szCs w:val="13"/>
          <w:u w:val="single" w:color="auto"/>
          <w:color w:val="auto"/>
        </w:rPr>
        <w:t>Section 2.04(c)</w:t>
      </w:r>
      <w:r>
        <w:rPr>
          <w:rFonts w:ascii="Arial" w:cs="Arial" w:eastAsia="Arial" w:hAnsi="Arial"/>
          <w:sz w:val="13"/>
          <w:szCs w:val="13"/>
          <w:color w:val="auto"/>
        </w:rPr>
        <w:t xml:space="preserve"> is subject to the conditions set forth in </w:t>
      </w:r>
      <w:r>
        <w:rPr>
          <w:rFonts w:ascii="Arial" w:cs="Arial" w:eastAsia="Arial" w:hAnsi="Arial"/>
          <w:sz w:val="13"/>
          <w:szCs w:val="13"/>
          <w:u w:val="single" w:color="auto"/>
          <w:color w:val="auto"/>
        </w:rPr>
        <w:t>Section 4.02</w:t>
      </w:r>
      <w:r>
        <w:rPr>
          <w:rFonts w:ascii="Arial" w:cs="Arial" w:eastAsia="Arial" w:hAnsi="Arial"/>
          <w:sz w:val="13"/>
          <w:szCs w:val="13"/>
          <w:color w:val="auto"/>
        </w:rPr>
        <w:t>. No such funding of risk participations shall relieve or otherwise impair the obligation of the Borrowers to repay Swing Line Loans, together with interest as provided herein.</w:t>
      </w:r>
    </w:p>
    <w:p>
      <w:pPr>
        <w:spacing w:after="0" w:line="272"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71" w:name="page72"/>
    <w:bookmarkEnd w:id="71"/>
    <w:p>
      <w:pPr>
        <w:ind w:left="2460" w:hanging="582"/>
        <w:spacing w:after="0"/>
        <w:tabs>
          <w:tab w:leader="none" w:pos="2460" w:val="left"/>
        </w:tabs>
        <w:numPr>
          <w:ilvl w:val="1"/>
          <w:numId w:val="72"/>
        </w:numPr>
        <w:rPr>
          <w:rFonts w:ascii="Arial" w:cs="Arial" w:eastAsia="Arial" w:hAnsi="Arial"/>
          <w:sz w:val="13"/>
          <w:szCs w:val="13"/>
          <w:color w:val="auto"/>
        </w:rPr>
      </w:pPr>
      <w:r>
        <w:rPr>
          <w:rFonts w:ascii="Arial" w:cs="Arial" w:eastAsia="Arial" w:hAnsi="Arial"/>
          <w:sz w:val="13"/>
          <w:szCs w:val="13"/>
          <w:u w:val="single" w:color="auto"/>
          <w:color w:val="auto"/>
        </w:rPr>
        <w:t>Repayment of Participations</w:t>
      </w:r>
      <w:r>
        <w:rPr>
          <w:rFonts w:ascii="Arial" w:cs="Arial" w:eastAsia="Arial" w:hAnsi="Arial"/>
          <w:sz w:val="13"/>
          <w:szCs w:val="13"/>
          <w:color w:val="auto"/>
        </w:rPr>
        <w:t>.</w:t>
      </w:r>
    </w:p>
    <w:p>
      <w:pPr>
        <w:spacing w:after="0" w:line="149" w:lineRule="exact"/>
        <w:rPr>
          <w:rFonts w:ascii="Arial" w:cs="Arial" w:eastAsia="Arial" w:hAnsi="Arial"/>
          <w:sz w:val="13"/>
          <w:szCs w:val="13"/>
          <w:color w:val="auto"/>
        </w:rPr>
      </w:pPr>
    </w:p>
    <w:p>
      <w:pPr>
        <w:jc w:val="both"/>
        <w:ind w:left="220" w:firstLine="2432"/>
        <w:spacing w:after="0" w:line="254" w:lineRule="auto"/>
        <w:tabs>
          <w:tab w:leader="none" w:pos="3201" w:val="left"/>
        </w:tabs>
        <w:numPr>
          <w:ilvl w:val="2"/>
          <w:numId w:val="72"/>
        </w:numPr>
        <w:rPr>
          <w:rFonts w:ascii="Arial" w:cs="Arial" w:eastAsia="Arial" w:hAnsi="Arial"/>
          <w:sz w:val="13"/>
          <w:szCs w:val="13"/>
          <w:color w:val="auto"/>
        </w:rPr>
      </w:pPr>
      <w:r>
        <w:rPr>
          <w:rFonts w:ascii="Arial" w:cs="Arial" w:eastAsia="Arial" w:hAnsi="Arial"/>
          <w:sz w:val="13"/>
          <w:szCs w:val="13"/>
          <w:color w:val="auto"/>
        </w:rPr>
        <w:t>At any time after any Revolving Lender has purchased and funded a risk participation in a Swing Line Loan, if the Swing Line Lender, or the Agent on behalf of the Swing Line Lender, receives any payment on account of such Swing Line Loan, the Swing Line Lender will distribute such payment to the Agent and the Agent shall distribute to each such Revolving Lender its Applicable Percentage of such payment (appropriately adjusted, in the case of interest payments, to reflect the period of time during which such Revolving Lender’s risk participation was funded) in the same funds as those received by the Swing Line Lender.</w:t>
      </w:r>
    </w:p>
    <w:p>
      <w:pPr>
        <w:spacing w:after="0" w:line="123" w:lineRule="exact"/>
        <w:rPr>
          <w:rFonts w:ascii="Arial" w:cs="Arial" w:eastAsia="Arial" w:hAnsi="Arial"/>
          <w:sz w:val="13"/>
          <w:szCs w:val="13"/>
          <w:color w:val="auto"/>
        </w:rPr>
      </w:pPr>
    </w:p>
    <w:p>
      <w:pPr>
        <w:jc w:val="both"/>
        <w:ind w:left="220" w:firstLine="2432"/>
        <w:spacing w:after="0" w:line="252" w:lineRule="auto"/>
        <w:tabs>
          <w:tab w:leader="none" w:pos="3238" w:val="left"/>
        </w:tabs>
        <w:numPr>
          <w:ilvl w:val="2"/>
          <w:numId w:val="72"/>
        </w:numPr>
        <w:rPr>
          <w:rFonts w:ascii="Arial" w:cs="Arial" w:eastAsia="Arial" w:hAnsi="Arial"/>
          <w:sz w:val="13"/>
          <w:szCs w:val="13"/>
          <w:color w:val="auto"/>
        </w:rPr>
      </w:pPr>
      <w:r>
        <w:rPr>
          <w:rFonts w:ascii="Arial" w:cs="Arial" w:eastAsia="Arial" w:hAnsi="Arial"/>
          <w:sz w:val="13"/>
          <w:szCs w:val="13"/>
          <w:color w:val="auto"/>
        </w:rPr>
        <w:t xml:space="preserve">If any payment received by the Swing Line Lender, or the Agent on behalf of the Swing Line Lender, in respect of principal or interest on any Swing Line Loan is required to be returned by the Swing Line Lender under any of the circumstances described in </w:t>
      </w:r>
      <w:r>
        <w:rPr>
          <w:rFonts w:ascii="Arial" w:cs="Arial" w:eastAsia="Arial" w:hAnsi="Arial"/>
          <w:sz w:val="13"/>
          <w:szCs w:val="13"/>
          <w:u w:val="single" w:color="auto"/>
          <w:color w:val="auto"/>
        </w:rPr>
        <w:t>Section 10.05</w:t>
      </w:r>
      <w:r>
        <w:rPr>
          <w:rFonts w:ascii="Arial" w:cs="Arial" w:eastAsia="Arial" w:hAnsi="Arial"/>
          <w:sz w:val="13"/>
          <w:szCs w:val="13"/>
          <w:color w:val="auto"/>
        </w:rPr>
        <w:t xml:space="preserve"> (including pursuant to any settlement entered into by the Swing Line Lender in its discretion), each Revolving Lender shall pay to the Swing Line Lender its Applicable Percentage thereof on demand of the Agent, plus interest thereon from the date of such demand to the date such amount is returned, at a rate per annum equal to the Federal Funds Rate. The Agent will make such demand upon the request of the Swing Line Lender. The obligations of the Revolving Lenders under this clause shall survive the payment in full of the Obligations and the termination of this Agreement.</w:t>
      </w:r>
    </w:p>
    <w:p>
      <w:pPr>
        <w:spacing w:after="0" w:line="124" w:lineRule="exact"/>
        <w:rPr>
          <w:rFonts w:ascii="Arial" w:cs="Arial" w:eastAsia="Arial" w:hAnsi="Arial"/>
          <w:sz w:val="13"/>
          <w:szCs w:val="13"/>
          <w:color w:val="auto"/>
        </w:rPr>
      </w:pPr>
    </w:p>
    <w:p>
      <w:pPr>
        <w:jc w:val="both"/>
        <w:ind w:left="220" w:firstLine="1624"/>
        <w:spacing w:after="0" w:line="258" w:lineRule="auto"/>
        <w:tabs>
          <w:tab w:leader="none" w:pos="2412" w:val="left"/>
        </w:tabs>
        <w:numPr>
          <w:ilvl w:val="0"/>
          <w:numId w:val="73"/>
        </w:numPr>
        <w:rPr>
          <w:rFonts w:ascii="Arial" w:cs="Arial" w:eastAsia="Arial" w:hAnsi="Arial"/>
          <w:sz w:val="13"/>
          <w:szCs w:val="13"/>
          <w:color w:val="auto"/>
        </w:rPr>
      </w:pPr>
      <w:r>
        <w:rPr>
          <w:rFonts w:ascii="Arial" w:cs="Arial" w:eastAsia="Arial" w:hAnsi="Arial"/>
          <w:sz w:val="13"/>
          <w:szCs w:val="13"/>
          <w:u w:val="single" w:color="auto"/>
          <w:color w:val="auto"/>
        </w:rPr>
        <w:t>Interest for Account of Swing Line Lender</w:t>
      </w:r>
      <w:r>
        <w:rPr>
          <w:rFonts w:ascii="Arial" w:cs="Arial" w:eastAsia="Arial" w:hAnsi="Arial"/>
          <w:sz w:val="13"/>
          <w:szCs w:val="13"/>
          <w:color w:val="auto"/>
        </w:rPr>
        <w:t xml:space="preserve">. The Swing Line Lender shall be responsible for invoicing the Borrowers for interest on the Swing Line Loans. Until each Revolving Lender funds its Base Rate Loan or risk participation pursuant to this </w:t>
      </w:r>
      <w:r>
        <w:rPr>
          <w:rFonts w:ascii="Arial" w:cs="Arial" w:eastAsia="Arial" w:hAnsi="Arial"/>
          <w:sz w:val="13"/>
          <w:szCs w:val="13"/>
          <w:u w:val="single" w:color="auto"/>
          <w:color w:val="auto"/>
        </w:rPr>
        <w:t>Section 2.04</w:t>
      </w:r>
      <w:r>
        <w:rPr>
          <w:rFonts w:ascii="Arial" w:cs="Arial" w:eastAsia="Arial" w:hAnsi="Arial"/>
          <w:sz w:val="13"/>
          <w:szCs w:val="13"/>
          <w:color w:val="auto"/>
        </w:rPr>
        <w:t xml:space="preserve"> to refinance such Revolving Lender’s Applicable Percentage of any Swing Line Loan, interest in respect of such Applicable Percentage shall be solely for the account of the Swing Line Lender.</w:t>
      </w:r>
    </w:p>
    <w:p>
      <w:pPr>
        <w:spacing w:after="0" w:line="121" w:lineRule="exact"/>
        <w:rPr>
          <w:rFonts w:ascii="Arial" w:cs="Arial" w:eastAsia="Arial" w:hAnsi="Arial"/>
          <w:sz w:val="13"/>
          <w:szCs w:val="13"/>
          <w:color w:val="auto"/>
        </w:rPr>
      </w:pPr>
    </w:p>
    <w:p>
      <w:pPr>
        <w:ind w:left="2400" w:hanging="556"/>
        <w:spacing w:after="0"/>
        <w:tabs>
          <w:tab w:leader="none" w:pos="2400" w:val="left"/>
        </w:tabs>
        <w:numPr>
          <w:ilvl w:val="0"/>
          <w:numId w:val="73"/>
        </w:numPr>
        <w:rPr>
          <w:rFonts w:ascii="Arial" w:cs="Arial" w:eastAsia="Arial" w:hAnsi="Arial"/>
          <w:sz w:val="12"/>
          <w:szCs w:val="12"/>
          <w:color w:val="auto"/>
        </w:rPr>
      </w:pPr>
      <w:r>
        <w:rPr>
          <w:rFonts w:ascii="Arial" w:cs="Arial" w:eastAsia="Arial" w:hAnsi="Arial"/>
          <w:sz w:val="12"/>
          <w:szCs w:val="12"/>
          <w:u w:val="single" w:color="auto"/>
          <w:color w:val="auto"/>
        </w:rPr>
        <w:t>Payments Directly to Swing Line Lender</w:t>
      </w:r>
      <w:r>
        <w:rPr>
          <w:rFonts w:ascii="Arial" w:cs="Arial" w:eastAsia="Arial" w:hAnsi="Arial"/>
          <w:sz w:val="12"/>
          <w:szCs w:val="12"/>
          <w:color w:val="auto"/>
        </w:rPr>
        <w:t>. The Borrowers shall make all payments of principal and interest in respect of the Swing Line Loans directly to the Swing</w:t>
      </w:r>
    </w:p>
    <w:p>
      <w:pPr>
        <w:spacing w:after="0" w:line="25" w:lineRule="exact"/>
        <w:rPr>
          <w:rFonts w:ascii="Arial" w:cs="Arial" w:eastAsia="Arial" w:hAnsi="Arial"/>
          <w:sz w:val="12"/>
          <w:szCs w:val="12"/>
          <w:color w:val="auto"/>
        </w:rPr>
      </w:pPr>
    </w:p>
    <w:p>
      <w:pPr>
        <w:ind w:left="220"/>
        <w:spacing w:after="0"/>
        <w:rPr>
          <w:rFonts w:ascii="Arial" w:cs="Arial" w:eastAsia="Arial" w:hAnsi="Arial"/>
          <w:sz w:val="12"/>
          <w:szCs w:val="12"/>
          <w:color w:val="auto"/>
        </w:rPr>
      </w:pPr>
      <w:r>
        <w:rPr>
          <w:rFonts w:ascii="Arial" w:cs="Arial" w:eastAsia="Arial" w:hAnsi="Arial"/>
          <w:sz w:val="13"/>
          <w:szCs w:val="13"/>
          <w:color w:val="auto"/>
        </w:rPr>
        <w:t>Line Lender.</w:t>
      </w:r>
    </w:p>
    <w:p>
      <w:pPr>
        <w:spacing w:after="0" w:line="134"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3"/>
          <w:szCs w:val="13"/>
          <w:b w:val="1"/>
          <w:bCs w:val="1"/>
          <w:color w:val="auto"/>
        </w:rPr>
        <w:t>2.05</w:t>
      </w:r>
      <w:r>
        <w:rPr>
          <w:sz w:val="20"/>
          <w:szCs w:val="20"/>
          <w:color w:val="auto"/>
        </w:rPr>
        <w:tab/>
      </w:r>
      <w:r>
        <w:rPr>
          <w:rFonts w:ascii="Arial" w:cs="Arial" w:eastAsia="Arial" w:hAnsi="Arial"/>
          <w:sz w:val="11"/>
          <w:szCs w:val="11"/>
          <w:b w:val="1"/>
          <w:bCs w:val="1"/>
          <w:color w:val="auto"/>
        </w:rPr>
        <w:t>Prepayments</w:t>
      </w:r>
      <w:r>
        <w:rPr>
          <w:rFonts w:ascii="Arial" w:cs="Arial" w:eastAsia="Arial" w:hAnsi="Arial"/>
          <w:sz w:val="11"/>
          <w:szCs w:val="11"/>
          <w:color w:val="auto"/>
        </w:rPr>
        <w:t>.</w:t>
      </w:r>
    </w:p>
    <w:p>
      <w:pPr>
        <w:spacing w:after="0" w:line="152" w:lineRule="exact"/>
        <w:rPr>
          <w:sz w:val="20"/>
          <w:szCs w:val="20"/>
          <w:color w:val="auto"/>
        </w:rPr>
      </w:pPr>
    </w:p>
    <w:p>
      <w:pPr>
        <w:jc w:val="both"/>
        <w:ind w:left="220" w:firstLine="1624"/>
        <w:spacing w:after="0" w:line="273" w:lineRule="auto"/>
        <w:tabs>
          <w:tab w:leader="none" w:pos="2412" w:val="left"/>
        </w:tabs>
        <w:numPr>
          <w:ilvl w:val="0"/>
          <w:numId w:val="74"/>
        </w:numPr>
        <w:rPr>
          <w:rFonts w:ascii="Arial" w:cs="Arial" w:eastAsia="Arial" w:hAnsi="Arial"/>
          <w:sz w:val="12"/>
          <w:szCs w:val="12"/>
          <w:color w:val="auto"/>
        </w:rPr>
      </w:pPr>
      <w:r>
        <w:rPr>
          <w:rFonts w:ascii="Arial" w:cs="Arial" w:eastAsia="Arial" w:hAnsi="Arial"/>
          <w:sz w:val="12"/>
          <w:szCs w:val="12"/>
          <w:color w:val="auto"/>
        </w:rPr>
        <w:t xml:space="preserve">The Borrowers may, upon irrevocable notice from the Lead Borrower to the Agent, at any time or from time to time voluntarily prepay Committed Loans in whole or in part without premium or penalty;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 such notice must be received by the Agent not later than 1:00 p.m. (A) three (3) Business Days prior to any date of prepayment of LIBOR Rate Loans and (B) on the date of prepayment of Base Rate Loans; and (ii) any prepayment of LIBOR Rate Loans shall be in a principal amount of $1,000,000 or a whole multiple of $100,000 in excess thereof or, if less, the entire principal amount thereof then outstanding. Each such notice shall specify the date and amount of such prepayment and the Type(s) of Loans to be prepaid and, if LIBOR Rate Loans, the Interest Period(s) of such Loans. The Agent will promptly notify each Revolving Lender of its receipt of each such notice, and of the amount of such Revolving Lender’s Applicable Percentage of such prepayment. If such notice is given by the Lead Borrower, the Borrowers shall make such prepayment and the payment amount specified in such notice shall be due and payable on the date specified therein. Any prepayment of a LIBOR Rate Loan shall be accompanied by all accrued interest on the amount prepaid, together with any additional amounts required pursuant to </w:t>
      </w:r>
      <w:r>
        <w:rPr>
          <w:rFonts w:ascii="Arial" w:cs="Arial" w:eastAsia="Arial" w:hAnsi="Arial"/>
          <w:sz w:val="12"/>
          <w:szCs w:val="12"/>
          <w:u w:val="single" w:color="auto"/>
          <w:color w:val="auto"/>
        </w:rPr>
        <w:t>Section 3.05</w:t>
      </w:r>
      <w:r>
        <w:rPr>
          <w:rFonts w:ascii="Arial" w:cs="Arial" w:eastAsia="Arial" w:hAnsi="Arial"/>
          <w:sz w:val="12"/>
          <w:szCs w:val="12"/>
          <w:color w:val="auto"/>
        </w:rPr>
        <w:t xml:space="preserve">. Subject to </w:t>
      </w:r>
      <w:r>
        <w:rPr>
          <w:rFonts w:ascii="Arial" w:cs="Arial" w:eastAsia="Arial" w:hAnsi="Arial"/>
          <w:sz w:val="12"/>
          <w:szCs w:val="12"/>
          <w:u w:val="single" w:color="auto"/>
          <w:color w:val="auto"/>
        </w:rPr>
        <w:t>Section 2.16</w:t>
      </w:r>
      <w:r>
        <w:rPr>
          <w:rFonts w:ascii="Arial" w:cs="Arial" w:eastAsia="Arial" w:hAnsi="Arial"/>
          <w:sz w:val="12"/>
          <w:szCs w:val="12"/>
          <w:color w:val="auto"/>
        </w:rPr>
        <w:t>, each such prepayment shall be applied to the Committed Loans of the Revolving Lenders in accordance with their respective Applicable Percentages.</w:t>
      </w:r>
    </w:p>
    <w:p>
      <w:pPr>
        <w:spacing w:after="0" w:line="113" w:lineRule="exact"/>
        <w:rPr>
          <w:rFonts w:ascii="Arial" w:cs="Arial" w:eastAsia="Arial" w:hAnsi="Arial"/>
          <w:sz w:val="12"/>
          <w:szCs w:val="12"/>
          <w:color w:val="auto"/>
        </w:rPr>
      </w:pPr>
    </w:p>
    <w:p>
      <w:pPr>
        <w:ind w:left="220" w:firstLine="1624"/>
        <w:spacing w:after="0" w:line="271" w:lineRule="auto"/>
        <w:tabs>
          <w:tab w:leader="none" w:pos="2419" w:val="left"/>
        </w:tabs>
        <w:numPr>
          <w:ilvl w:val="0"/>
          <w:numId w:val="74"/>
        </w:numPr>
        <w:rPr>
          <w:rFonts w:ascii="Arial" w:cs="Arial" w:eastAsia="Arial" w:hAnsi="Arial"/>
          <w:sz w:val="13"/>
          <w:szCs w:val="13"/>
          <w:color w:val="auto"/>
        </w:rPr>
      </w:pPr>
      <w:r>
        <w:rPr>
          <w:rFonts w:ascii="Arial" w:cs="Arial" w:eastAsia="Arial" w:hAnsi="Arial"/>
          <w:sz w:val="13"/>
          <w:szCs w:val="13"/>
          <w:color w:val="auto"/>
        </w:rPr>
        <w:t xml:space="preserve">The Borrowers may, upon irrevocable notice from the Lead Borrower to the Swing Line Lender (with a copy to the Agent), at any time or from time to time, voluntarily prepay Swing Line Loans in whole or in part without premium or penalty;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 such notice must be received</w:t>
      </w:r>
    </w:p>
    <w:p>
      <w:pPr>
        <w:spacing w:after="0" w:line="260"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72" w:name="page73"/>
    <w:bookmarkEnd w:id="72"/>
    <w:p>
      <w:pPr>
        <w:jc w:val="both"/>
        <w:ind w:left="220"/>
        <w:spacing w:after="0" w:line="259" w:lineRule="auto"/>
        <w:rPr>
          <w:sz w:val="20"/>
          <w:szCs w:val="20"/>
          <w:color w:val="auto"/>
        </w:rPr>
      </w:pPr>
      <w:r>
        <w:rPr>
          <w:rFonts w:ascii="Arial" w:cs="Arial" w:eastAsia="Arial" w:hAnsi="Arial"/>
          <w:sz w:val="13"/>
          <w:szCs w:val="13"/>
          <w:color w:val="auto"/>
        </w:rPr>
        <w:t>by the Swing Line Lender and the Agent not later than 1:00 p.m. on the date of the prepayment, and (ii) any such prepayment shall be in a minimum principal amount of $100,000. Each such notice shall specify the date and amount of such prepayment. If such notice is given by the Lead Borrower, the Borrowers shall make such prepayment and the payment amount specified in such notice shall be due and payable on the date specified therein.</w:t>
      </w:r>
    </w:p>
    <w:p>
      <w:pPr>
        <w:spacing w:after="0" w:line="121" w:lineRule="exact"/>
        <w:rPr>
          <w:sz w:val="20"/>
          <w:szCs w:val="20"/>
          <w:color w:val="auto"/>
        </w:rPr>
      </w:pPr>
    </w:p>
    <w:p>
      <w:pPr>
        <w:jc w:val="both"/>
        <w:ind w:left="220" w:firstLine="1624"/>
        <w:spacing w:after="0" w:line="270" w:lineRule="auto"/>
        <w:tabs>
          <w:tab w:leader="none" w:pos="2412" w:val="left"/>
        </w:tabs>
        <w:numPr>
          <w:ilvl w:val="0"/>
          <w:numId w:val="75"/>
        </w:numPr>
        <w:rPr>
          <w:rFonts w:ascii="Arial" w:cs="Arial" w:eastAsia="Arial" w:hAnsi="Arial"/>
          <w:sz w:val="12"/>
          <w:szCs w:val="12"/>
          <w:color w:val="auto"/>
        </w:rPr>
      </w:pPr>
      <w:r>
        <w:rPr>
          <w:rFonts w:ascii="Arial" w:cs="Arial" w:eastAsia="Arial" w:hAnsi="Arial"/>
          <w:sz w:val="12"/>
          <w:szCs w:val="12"/>
          <w:color w:val="auto"/>
        </w:rPr>
        <w:t xml:space="preserve">Except as provided in this Section 2.05(c), the FILO Loan may not be voluntarily prepaid in whole or in part until all other Obligations have been paid in full in cash, all L/C Obligations have been Cash Collateralized and the Aggregate Revolving Commitments have been terminated. Notwithstanding the preceding sentence, after the one year anniversary of the Closing Date, as long as the Payment Conditions are satisfied at the time of and immediately after giving pro forma effect to such prepayment, the FILO Loan may be voluntarily prepaid, in whole or in part, without premium or penalty, subject to and otherwise in accordance with the provisions of clause (c). Any voluntary prepayment of the FILO Loan permitted by this clause (c) may be made by the Borrowers upon irrevocable notice to the Agent;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 such notice must be received by the Agent not later than 1:00 p.m. (A) three (3) Business Days prior to any date of prepayment of any FILO Loan constituting LIBOR Rate Loans and (B) on the date of prepayment of any FILO Loan constituting Base Rate Loans; (ii) any prepayment of any FILO Loan constituting LIBOR Rate Loans shall be in a principal amount of $1,000,000 or a whole multiple of $100,000 in excess thereof; and (iii) any prepayment of any FILO Loan constituting Base Rate Loans shall be in a principal amount of $100,000 or a whole multiple of $100,000 in excess thereof. Each such notice shall specify the date and amount of such prepayment and provide evidence of satisfaction of the Payment Conditions (including a reasonably detailed calculation). The Agent will promptly notify each FILO Lender of its receipt of each such notice, and of the amount of such FILO Lender’s Applicable Percentage of such prepayment. If such notice is given by the Lead Borrower, the Borrowers shall make such prepayment and the payment amount specified in such notice shall be due and payable on the date specified therein. Any prepayment of a LIBOR Rate Loan shall be accompanied by all accrued interest on the amount prepaid, together with any additional amounts required pursuant to </w:t>
      </w:r>
      <w:r>
        <w:rPr>
          <w:rFonts w:ascii="Arial" w:cs="Arial" w:eastAsia="Arial" w:hAnsi="Arial"/>
          <w:sz w:val="12"/>
          <w:szCs w:val="12"/>
          <w:u w:val="single" w:color="auto"/>
          <w:color w:val="auto"/>
        </w:rPr>
        <w:t>Section 3.05</w:t>
      </w:r>
      <w:r>
        <w:rPr>
          <w:rFonts w:ascii="Arial" w:cs="Arial" w:eastAsia="Arial" w:hAnsi="Arial"/>
          <w:sz w:val="12"/>
          <w:szCs w:val="12"/>
          <w:color w:val="auto"/>
        </w:rPr>
        <w:t xml:space="preserve">. Subject to </w:t>
      </w:r>
      <w:r>
        <w:rPr>
          <w:rFonts w:ascii="Arial" w:cs="Arial" w:eastAsia="Arial" w:hAnsi="Arial"/>
          <w:sz w:val="12"/>
          <w:szCs w:val="12"/>
          <w:u w:val="single" w:color="auto"/>
          <w:color w:val="auto"/>
        </w:rPr>
        <w:t>Section 2.16</w:t>
      </w:r>
      <w:r>
        <w:rPr>
          <w:rFonts w:ascii="Arial" w:cs="Arial" w:eastAsia="Arial" w:hAnsi="Arial"/>
          <w:sz w:val="12"/>
          <w:szCs w:val="12"/>
          <w:color w:val="auto"/>
        </w:rPr>
        <w:t>, each such prepayment shall be applied to the portion of the FILO Loan owed to each FILO Lender in accordance with its respective Applicable Percentage.</w:t>
      </w:r>
    </w:p>
    <w:p>
      <w:pPr>
        <w:spacing w:after="0" w:line="118" w:lineRule="exact"/>
        <w:rPr>
          <w:rFonts w:ascii="Arial" w:cs="Arial" w:eastAsia="Arial" w:hAnsi="Arial"/>
          <w:sz w:val="12"/>
          <w:szCs w:val="12"/>
          <w:color w:val="auto"/>
        </w:rPr>
      </w:pPr>
    </w:p>
    <w:p>
      <w:pPr>
        <w:jc w:val="both"/>
        <w:ind w:left="220" w:firstLine="1624"/>
        <w:spacing w:after="0" w:line="315" w:lineRule="auto"/>
        <w:tabs>
          <w:tab w:leader="none" w:pos="2419" w:val="left"/>
        </w:tabs>
        <w:numPr>
          <w:ilvl w:val="0"/>
          <w:numId w:val="75"/>
        </w:numPr>
        <w:rPr>
          <w:rFonts w:ascii="Arial" w:cs="Arial" w:eastAsia="Arial" w:hAnsi="Arial"/>
          <w:sz w:val="11"/>
          <w:szCs w:val="11"/>
          <w:color w:val="auto"/>
        </w:rPr>
      </w:pPr>
      <w:r>
        <w:rPr>
          <w:rFonts w:ascii="Arial" w:cs="Arial" w:eastAsia="Arial" w:hAnsi="Arial"/>
          <w:sz w:val="11"/>
          <w:szCs w:val="11"/>
          <w:color w:val="auto"/>
        </w:rPr>
        <w:t xml:space="preserve">If for any reason the Total Revolving Outstandings at any time exceed the Revolving Loan Cap as then in effect, the Borrowers shall immediately prepay the Revolving Loans and L/C Borrowings and Cash Collateralize the L/C Obligations (other than L/C Borrowings) in an aggregate amount equal to such excess;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the Borrowers shall not be required to Cash Collateralize the L/C Obligations (other than L/C Borrowings) pursuant to this </w:t>
      </w:r>
      <w:r>
        <w:rPr>
          <w:rFonts w:ascii="Arial" w:cs="Arial" w:eastAsia="Arial" w:hAnsi="Arial"/>
          <w:sz w:val="11"/>
          <w:szCs w:val="11"/>
          <w:u w:val="single" w:color="auto"/>
          <w:color w:val="auto"/>
        </w:rPr>
        <w:t>Section 2.05(d)</w:t>
      </w:r>
      <w:r>
        <w:rPr>
          <w:rFonts w:ascii="Arial" w:cs="Arial" w:eastAsia="Arial" w:hAnsi="Arial"/>
          <w:sz w:val="11"/>
          <w:szCs w:val="11"/>
          <w:color w:val="auto"/>
        </w:rPr>
        <w:t xml:space="preserve"> unless after the prepayment in full of the Revolving Loans the Total Revolving Outstandings exceed the Revolving Loan Cap as then in effect. If after giving effect to the payments required in this </w:t>
      </w:r>
      <w:r>
        <w:rPr>
          <w:rFonts w:ascii="Arial" w:cs="Arial" w:eastAsia="Arial" w:hAnsi="Arial"/>
          <w:sz w:val="11"/>
          <w:szCs w:val="11"/>
          <w:u w:val="single" w:color="auto"/>
          <w:color w:val="auto"/>
        </w:rPr>
        <w:t>Section 2.05(d)</w:t>
      </w:r>
      <w:r>
        <w:rPr>
          <w:rFonts w:ascii="Arial" w:cs="Arial" w:eastAsia="Arial" w:hAnsi="Arial"/>
          <w:sz w:val="11"/>
          <w:szCs w:val="11"/>
          <w:color w:val="auto"/>
        </w:rPr>
        <w:t xml:space="preserve"> an excess remains, the Borrowers shall prepay the FILO Loan in the amount of such excess.</w:t>
      </w:r>
    </w:p>
    <w:p>
      <w:pPr>
        <w:spacing w:after="0" w:line="92" w:lineRule="exact"/>
        <w:rPr>
          <w:rFonts w:ascii="Arial" w:cs="Arial" w:eastAsia="Arial" w:hAnsi="Arial"/>
          <w:sz w:val="11"/>
          <w:szCs w:val="11"/>
          <w:color w:val="auto"/>
        </w:rPr>
      </w:pPr>
    </w:p>
    <w:p>
      <w:pPr>
        <w:ind w:left="220" w:firstLine="1624"/>
        <w:spacing w:after="0" w:line="271" w:lineRule="auto"/>
        <w:tabs>
          <w:tab w:leader="none" w:pos="2413" w:val="left"/>
        </w:tabs>
        <w:numPr>
          <w:ilvl w:val="0"/>
          <w:numId w:val="75"/>
        </w:numPr>
        <w:rPr>
          <w:rFonts w:ascii="Arial" w:cs="Arial" w:eastAsia="Arial" w:hAnsi="Arial"/>
          <w:sz w:val="13"/>
          <w:szCs w:val="13"/>
          <w:color w:val="auto"/>
        </w:rPr>
      </w:pPr>
      <w:r>
        <w:rPr>
          <w:rFonts w:ascii="Arial" w:cs="Arial" w:eastAsia="Arial" w:hAnsi="Arial"/>
          <w:sz w:val="13"/>
          <w:szCs w:val="13"/>
          <w:color w:val="auto"/>
        </w:rPr>
        <w:t xml:space="preserve">The Borrowers shall prepay the Loans and, after the occurrence and during the continuance of an Event of Default or to the extent required by the provisions of </w:t>
      </w:r>
      <w:r>
        <w:rPr>
          <w:rFonts w:ascii="Arial" w:cs="Arial" w:eastAsia="Arial" w:hAnsi="Arial"/>
          <w:sz w:val="13"/>
          <w:szCs w:val="13"/>
          <w:u w:val="single" w:color="auto"/>
          <w:color w:val="auto"/>
        </w:rPr>
        <w:t>Section</w:t>
      </w:r>
      <w:r>
        <w:rPr>
          <w:rFonts w:ascii="Arial" w:cs="Arial" w:eastAsia="Arial" w:hAnsi="Arial"/>
          <w:sz w:val="13"/>
          <w:szCs w:val="13"/>
          <w:color w:val="auto"/>
        </w:rPr>
        <w:t xml:space="preserve"> </w:t>
      </w:r>
      <w:r>
        <w:rPr>
          <w:rFonts w:ascii="Arial" w:cs="Arial" w:eastAsia="Arial" w:hAnsi="Arial"/>
          <w:sz w:val="13"/>
          <w:szCs w:val="13"/>
          <w:u w:val="single" w:color="auto"/>
          <w:color w:val="auto"/>
        </w:rPr>
        <w:t>2.06(c)</w:t>
      </w:r>
      <w:r>
        <w:rPr>
          <w:rFonts w:ascii="Arial" w:cs="Arial" w:eastAsia="Arial" w:hAnsi="Arial"/>
          <w:sz w:val="13"/>
          <w:szCs w:val="13"/>
          <w:color w:val="auto"/>
        </w:rPr>
        <w:t xml:space="preserve">, Cash Collateralize the L/C Obligations to the extent required pursuant to the provisions of </w:t>
      </w:r>
      <w:r>
        <w:rPr>
          <w:rFonts w:ascii="Arial" w:cs="Arial" w:eastAsia="Arial" w:hAnsi="Arial"/>
          <w:sz w:val="13"/>
          <w:szCs w:val="13"/>
          <w:u w:val="single" w:color="auto"/>
          <w:color w:val="auto"/>
        </w:rPr>
        <w:t>Section 6.12</w:t>
      </w:r>
      <w:r>
        <w:rPr>
          <w:rFonts w:ascii="Arial" w:cs="Arial" w:eastAsia="Arial" w:hAnsi="Arial"/>
          <w:sz w:val="13"/>
          <w:szCs w:val="13"/>
          <w:color w:val="auto"/>
        </w:rPr>
        <w:t xml:space="preserve"> hereof.</w:t>
      </w:r>
    </w:p>
    <w:p>
      <w:pPr>
        <w:spacing w:after="0" w:line="112" w:lineRule="exact"/>
        <w:rPr>
          <w:rFonts w:ascii="Arial" w:cs="Arial" w:eastAsia="Arial" w:hAnsi="Arial"/>
          <w:sz w:val="13"/>
          <w:szCs w:val="13"/>
          <w:color w:val="auto"/>
        </w:rPr>
      </w:pPr>
    </w:p>
    <w:p>
      <w:pPr>
        <w:jc w:val="both"/>
        <w:ind w:left="220" w:firstLine="1624"/>
        <w:spacing w:after="0" w:line="252" w:lineRule="auto"/>
        <w:tabs>
          <w:tab w:leader="none" w:pos="2397" w:val="left"/>
        </w:tabs>
        <w:numPr>
          <w:ilvl w:val="0"/>
          <w:numId w:val="75"/>
        </w:numPr>
        <w:rPr>
          <w:rFonts w:ascii="Arial" w:cs="Arial" w:eastAsia="Arial" w:hAnsi="Arial"/>
          <w:sz w:val="13"/>
          <w:szCs w:val="13"/>
          <w:color w:val="auto"/>
        </w:rPr>
      </w:pPr>
      <w:r>
        <w:rPr>
          <w:rFonts w:ascii="Arial" w:cs="Arial" w:eastAsia="Arial" w:hAnsi="Arial"/>
          <w:sz w:val="13"/>
          <w:szCs w:val="13"/>
          <w:color w:val="auto"/>
        </w:rPr>
        <w:t xml:space="preserve">Prepayments made pursuant to </w:t>
      </w:r>
      <w:r>
        <w:rPr>
          <w:rFonts w:ascii="Arial" w:cs="Arial" w:eastAsia="Arial" w:hAnsi="Arial"/>
          <w:sz w:val="13"/>
          <w:szCs w:val="13"/>
          <w:u w:val="single" w:color="auto"/>
          <w:color w:val="auto"/>
        </w:rPr>
        <w:t>Section 2.05(d) and (e)</w:t>
      </w:r>
      <w:r>
        <w:rPr>
          <w:rFonts w:ascii="Arial" w:cs="Arial" w:eastAsia="Arial" w:hAnsi="Arial"/>
          <w:sz w:val="13"/>
          <w:szCs w:val="13"/>
          <w:color w:val="auto"/>
        </w:rPr>
        <w:t xml:space="preserve"> above, </w:t>
      </w:r>
      <w:r>
        <w:rPr>
          <w:rFonts w:ascii="Arial" w:cs="Arial" w:eastAsia="Arial" w:hAnsi="Arial"/>
          <w:sz w:val="13"/>
          <w:szCs w:val="13"/>
          <w:u w:val="single" w:color="auto"/>
          <w:color w:val="auto"/>
        </w:rPr>
        <w:t>first</w:t>
      </w:r>
      <w:r>
        <w:rPr>
          <w:rFonts w:ascii="Arial" w:cs="Arial" w:eastAsia="Arial" w:hAnsi="Arial"/>
          <w:sz w:val="13"/>
          <w:szCs w:val="13"/>
          <w:color w:val="auto"/>
        </w:rPr>
        <w:t xml:space="preserve">, shall be applied ratably to the L/C Borrowings and the Swing Line Loans, </w:t>
      </w:r>
      <w:r>
        <w:rPr>
          <w:rFonts w:ascii="Arial" w:cs="Arial" w:eastAsia="Arial" w:hAnsi="Arial"/>
          <w:sz w:val="13"/>
          <w:szCs w:val="13"/>
          <w:u w:val="single" w:color="auto"/>
          <w:color w:val="auto"/>
        </w:rPr>
        <w:t>second</w:t>
      </w:r>
      <w:r>
        <w:rPr>
          <w:rFonts w:ascii="Arial" w:cs="Arial" w:eastAsia="Arial" w:hAnsi="Arial"/>
          <w:sz w:val="13"/>
          <w:szCs w:val="13"/>
          <w:color w:val="auto"/>
        </w:rPr>
        <w:t xml:space="preserve">, shall be applied ratably to the outstanding Committed Loans, </w:t>
      </w:r>
      <w:r>
        <w:rPr>
          <w:rFonts w:ascii="Arial" w:cs="Arial" w:eastAsia="Arial" w:hAnsi="Arial"/>
          <w:sz w:val="13"/>
          <w:szCs w:val="13"/>
          <w:u w:val="single" w:color="auto"/>
          <w:color w:val="auto"/>
        </w:rPr>
        <w:t>third</w:t>
      </w:r>
      <w:r>
        <w:rPr>
          <w:rFonts w:ascii="Arial" w:cs="Arial" w:eastAsia="Arial" w:hAnsi="Arial"/>
          <w:sz w:val="13"/>
          <w:szCs w:val="13"/>
          <w:color w:val="auto"/>
        </w:rPr>
        <w:t xml:space="preserve">, after the occurrence and during the continuance of an Event of Default, shall be used to Cash Collateralize the remaining L/C Obligations; </w:t>
      </w:r>
      <w:r>
        <w:rPr>
          <w:rFonts w:ascii="Arial" w:cs="Arial" w:eastAsia="Arial" w:hAnsi="Arial"/>
          <w:sz w:val="13"/>
          <w:szCs w:val="13"/>
          <w:u w:val="single" w:color="auto"/>
          <w:color w:val="auto"/>
        </w:rPr>
        <w:t>fourth</w:t>
      </w:r>
      <w:r>
        <w:rPr>
          <w:rFonts w:ascii="Arial" w:cs="Arial" w:eastAsia="Arial" w:hAnsi="Arial"/>
          <w:sz w:val="13"/>
          <w:szCs w:val="13"/>
          <w:color w:val="auto"/>
        </w:rPr>
        <w:t xml:space="preserve">, shall be applied ratably to the Outstanding Amount of the FILO Loan; and </w:t>
      </w:r>
      <w:r>
        <w:rPr>
          <w:rFonts w:ascii="Arial" w:cs="Arial" w:eastAsia="Arial" w:hAnsi="Arial"/>
          <w:sz w:val="13"/>
          <w:szCs w:val="13"/>
          <w:u w:val="single" w:color="auto"/>
          <w:color w:val="auto"/>
        </w:rPr>
        <w:t>fifth</w:t>
      </w:r>
      <w:r>
        <w:rPr>
          <w:rFonts w:ascii="Arial" w:cs="Arial" w:eastAsia="Arial" w:hAnsi="Arial"/>
          <w:sz w:val="13"/>
          <w:szCs w:val="13"/>
          <w:color w:val="auto"/>
        </w:rPr>
        <w:t>, the amount remaining, if any, after the prepayment in full of all L/C Borrowings, Swing Line Loans, Committed Loans and the FILO Loan outstanding at such time and the Cash Collateralization of the remaining L/C Obligations (to the extent required hereunder) in full shall be deposited by the Agent in a deposit account of the Lead Borrower and</w:t>
      </w:r>
    </w:p>
    <w:p>
      <w:pPr>
        <w:spacing w:after="0" w:line="272"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73" w:name="page74"/>
    <w:bookmarkEnd w:id="73"/>
    <w:p>
      <w:pPr>
        <w:jc w:val="both"/>
        <w:ind w:left="220"/>
        <w:spacing w:after="0" w:line="259" w:lineRule="auto"/>
        <w:rPr>
          <w:sz w:val="20"/>
          <w:szCs w:val="20"/>
          <w:color w:val="auto"/>
        </w:rPr>
      </w:pPr>
      <w:r>
        <w:rPr>
          <w:rFonts w:ascii="Arial" w:cs="Arial" w:eastAsia="Arial" w:hAnsi="Arial"/>
          <w:sz w:val="13"/>
          <w:szCs w:val="13"/>
          <w:color w:val="auto"/>
        </w:rPr>
        <w:t>may be utilized by the Borrowers in the ordinary course of its business to the extent otherwise permitted hereunder. Upon the drawing of any Letter of Credit that has been Cash Collateralized, the funds held as Cash Collateral shall be applied (without any further action by or notice to or from the Borrowers or any other Loan Party) to reimburse the L/C Issuer or the Revolving Lenders, as applicable, and, to the extent not so applied, shall thereafter be applied to satisfy other Obligations.</w:t>
      </w:r>
    </w:p>
    <w:p>
      <w:pPr>
        <w:spacing w:after="0" w:line="121" w:lineRule="exact"/>
        <w:rPr>
          <w:sz w:val="20"/>
          <w:szCs w:val="20"/>
          <w:color w:val="auto"/>
        </w:rPr>
      </w:pPr>
    </w:p>
    <w:p>
      <w:pPr>
        <w:jc w:val="both"/>
        <w:ind w:left="220" w:firstLine="1623"/>
        <w:spacing w:after="0" w:line="254" w:lineRule="auto"/>
        <w:tabs>
          <w:tab w:leader="none" w:pos="2418" w:val="left"/>
        </w:tabs>
        <w:numPr>
          <w:ilvl w:val="0"/>
          <w:numId w:val="76"/>
        </w:numPr>
        <w:rPr>
          <w:rFonts w:ascii="Arial" w:cs="Arial" w:eastAsia="Arial" w:hAnsi="Arial"/>
          <w:sz w:val="13"/>
          <w:szCs w:val="13"/>
          <w:color w:val="auto"/>
        </w:rPr>
      </w:pPr>
      <w:r>
        <w:rPr>
          <w:rFonts w:ascii="Arial" w:cs="Arial" w:eastAsia="Arial" w:hAnsi="Arial"/>
          <w:sz w:val="13"/>
          <w:szCs w:val="13"/>
          <w:color w:val="auto"/>
        </w:rPr>
        <w:t xml:space="preserve">If the Borrowers elect to terminate the Aggregate Revolving Commitments (it being acknowledged and agreed that if the Aggregate Revolving Commitments shall be reduced to $0, such reduction shall constitute a termination) pursuant to </w:t>
      </w:r>
      <w:r>
        <w:rPr>
          <w:rFonts w:ascii="Arial" w:cs="Arial" w:eastAsia="Arial" w:hAnsi="Arial"/>
          <w:sz w:val="13"/>
          <w:szCs w:val="13"/>
          <w:u w:val="single" w:color="auto"/>
          <w:color w:val="auto"/>
        </w:rPr>
        <w:t>Section 2.06(a)</w:t>
      </w:r>
      <w:r>
        <w:rPr>
          <w:rFonts w:ascii="Arial" w:cs="Arial" w:eastAsia="Arial" w:hAnsi="Arial"/>
          <w:sz w:val="13"/>
          <w:szCs w:val="13"/>
          <w:color w:val="auto"/>
        </w:rPr>
        <w:t xml:space="preserve">, or if the Agent terminates the Aggregate Revolving Commitments pursuant to </w:t>
      </w:r>
      <w:r>
        <w:rPr>
          <w:rFonts w:ascii="Arial" w:cs="Arial" w:eastAsia="Arial" w:hAnsi="Arial"/>
          <w:sz w:val="13"/>
          <w:szCs w:val="13"/>
          <w:u w:val="single" w:color="auto"/>
          <w:color w:val="auto"/>
        </w:rPr>
        <w:t>Section 8.02(a)</w:t>
      </w:r>
      <w:r>
        <w:rPr>
          <w:rFonts w:ascii="Arial" w:cs="Arial" w:eastAsia="Arial" w:hAnsi="Arial"/>
          <w:sz w:val="13"/>
          <w:szCs w:val="13"/>
          <w:color w:val="auto"/>
        </w:rPr>
        <w:t xml:space="preserve">, the Borrowers shall immediately prepay the outstanding principal balance of the FILO Loan. Any such prepayment shall be accompanied by all accrued but unpaid interest on the amount prepaid, together with any additional amounts required pursuant to </w:t>
      </w:r>
      <w:r>
        <w:rPr>
          <w:rFonts w:ascii="Arial" w:cs="Arial" w:eastAsia="Arial" w:hAnsi="Arial"/>
          <w:sz w:val="13"/>
          <w:szCs w:val="13"/>
          <w:u w:val="single" w:color="auto"/>
          <w:color w:val="auto"/>
        </w:rPr>
        <w:t>Section 3.05</w:t>
      </w:r>
      <w:r>
        <w:rPr>
          <w:rFonts w:ascii="Arial" w:cs="Arial" w:eastAsia="Arial" w:hAnsi="Arial"/>
          <w:sz w:val="13"/>
          <w:szCs w:val="13"/>
          <w:color w:val="auto"/>
        </w:rPr>
        <w:t xml:space="preserve"> and all other Obligations outstanding with respect to the FILO Loan.</w:t>
      </w:r>
    </w:p>
    <w:p>
      <w:pPr>
        <w:spacing w:after="0" w:line="120"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3"/>
          <w:szCs w:val="13"/>
          <w:b w:val="1"/>
          <w:bCs w:val="1"/>
          <w:color w:val="auto"/>
        </w:rPr>
        <w:t>2.06</w:t>
      </w:r>
      <w:r>
        <w:rPr>
          <w:sz w:val="20"/>
          <w:szCs w:val="20"/>
          <w:color w:val="auto"/>
        </w:rPr>
        <w:tab/>
      </w:r>
      <w:r>
        <w:rPr>
          <w:rFonts w:ascii="Arial" w:cs="Arial" w:eastAsia="Arial" w:hAnsi="Arial"/>
          <w:sz w:val="11"/>
          <w:szCs w:val="11"/>
          <w:b w:val="1"/>
          <w:bCs w:val="1"/>
          <w:color w:val="auto"/>
        </w:rPr>
        <w:t>Termination or Reduction of Revolving Commitments.</w:t>
      </w:r>
    </w:p>
    <w:p>
      <w:pPr>
        <w:spacing w:after="0" w:line="152" w:lineRule="exact"/>
        <w:rPr>
          <w:sz w:val="20"/>
          <w:szCs w:val="20"/>
          <w:color w:val="auto"/>
        </w:rPr>
      </w:pPr>
    </w:p>
    <w:p>
      <w:pPr>
        <w:jc w:val="both"/>
        <w:ind w:left="220" w:firstLine="1624"/>
        <w:spacing w:after="0" w:line="282" w:lineRule="auto"/>
        <w:tabs>
          <w:tab w:leader="none" w:pos="2412" w:val="left"/>
        </w:tabs>
        <w:numPr>
          <w:ilvl w:val="0"/>
          <w:numId w:val="77"/>
        </w:numPr>
        <w:rPr>
          <w:rFonts w:ascii="Arial" w:cs="Arial" w:eastAsia="Arial" w:hAnsi="Arial"/>
          <w:sz w:val="12"/>
          <w:szCs w:val="12"/>
          <w:color w:val="auto"/>
        </w:rPr>
      </w:pPr>
      <w:r>
        <w:rPr>
          <w:rFonts w:ascii="Arial" w:cs="Arial" w:eastAsia="Arial" w:hAnsi="Arial"/>
          <w:sz w:val="12"/>
          <w:szCs w:val="12"/>
          <w:color w:val="auto"/>
        </w:rPr>
        <w:t xml:space="preserve">The Borrowers may, upon irrevocable notice from the Lead Borrower to the Agent, terminate the Aggregate Revolving Commitments or from time to time permanently reduce the Aggregate Revolving Commitments;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 any such notice shall be received by the Agent not later than 11:00 a.m. five (5) Business Days prior to the date of termination or reduction, (ii) any such partial reduction shall be in an aggregate amount of $10,000,000 or any whole multiple of $1,000,000 in excess thereof, (iii) the Borrowers shall not terminate or reduce the Aggregate Revolving Commitments if, after giving effect thereto and to any concurrent prepayments hereunder, the Total Revolving Outstandings would exceed the Aggregate Revolving Commitments.</w:t>
      </w:r>
    </w:p>
    <w:p>
      <w:pPr>
        <w:spacing w:after="0" w:line="108" w:lineRule="exact"/>
        <w:rPr>
          <w:rFonts w:ascii="Arial" w:cs="Arial" w:eastAsia="Arial" w:hAnsi="Arial"/>
          <w:sz w:val="12"/>
          <w:szCs w:val="12"/>
          <w:color w:val="auto"/>
        </w:rPr>
      </w:pPr>
    </w:p>
    <w:p>
      <w:pPr>
        <w:ind w:left="220" w:firstLine="1624"/>
        <w:spacing w:after="0" w:line="271" w:lineRule="auto"/>
        <w:tabs>
          <w:tab w:leader="none" w:pos="2419" w:val="left"/>
        </w:tabs>
        <w:numPr>
          <w:ilvl w:val="0"/>
          <w:numId w:val="77"/>
        </w:numPr>
        <w:rPr>
          <w:rFonts w:ascii="Arial" w:cs="Arial" w:eastAsia="Arial" w:hAnsi="Arial"/>
          <w:sz w:val="13"/>
          <w:szCs w:val="13"/>
          <w:color w:val="auto"/>
        </w:rPr>
      </w:pPr>
      <w:r>
        <w:rPr>
          <w:rFonts w:ascii="Arial" w:cs="Arial" w:eastAsia="Arial" w:hAnsi="Arial"/>
          <w:sz w:val="13"/>
          <w:szCs w:val="13"/>
          <w:color w:val="auto"/>
        </w:rPr>
        <w:t>If, after giving effect to any reduction of the Aggregate Revolving Commitments, the Letter of Credit Sublimit or the Swing Line Sublimit exceeds the amount of the Aggregate Revolving Commitments, such Letter of Credit Sublimit or Swing Line Sublimit shall be automatically reduced by the amount of such excess.</w:t>
      </w:r>
    </w:p>
    <w:p>
      <w:pPr>
        <w:spacing w:after="0" w:line="112" w:lineRule="exact"/>
        <w:rPr>
          <w:rFonts w:ascii="Arial" w:cs="Arial" w:eastAsia="Arial" w:hAnsi="Arial"/>
          <w:sz w:val="13"/>
          <w:szCs w:val="13"/>
          <w:color w:val="auto"/>
        </w:rPr>
      </w:pPr>
    </w:p>
    <w:p>
      <w:pPr>
        <w:jc w:val="both"/>
        <w:ind w:left="220" w:firstLine="1624"/>
        <w:spacing w:after="0" w:line="251" w:lineRule="auto"/>
        <w:tabs>
          <w:tab w:leader="none" w:pos="2412" w:val="left"/>
        </w:tabs>
        <w:numPr>
          <w:ilvl w:val="0"/>
          <w:numId w:val="77"/>
        </w:numPr>
        <w:rPr>
          <w:rFonts w:ascii="Arial" w:cs="Arial" w:eastAsia="Arial" w:hAnsi="Arial"/>
          <w:sz w:val="13"/>
          <w:szCs w:val="13"/>
          <w:color w:val="auto"/>
        </w:rPr>
      </w:pPr>
      <w:r>
        <w:rPr>
          <w:rFonts w:ascii="Arial" w:cs="Arial" w:eastAsia="Arial" w:hAnsi="Arial"/>
          <w:sz w:val="13"/>
          <w:szCs w:val="13"/>
          <w:color w:val="auto"/>
        </w:rPr>
        <w:t xml:space="preserve">The Agent will promptly notify the Revolving Lenders of any termination or reduction of the Letter of Credit Sublimit, Swing Line Sublimit or the Aggregate Revolving Commitments under this </w:t>
      </w:r>
      <w:r>
        <w:rPr>
          <w:rFonts w:ascii="Arial" w:cs="Arial" w:eastAsia="Arial" w:hAnsi="Arial"/>
          <w:sz w:val="13"/>
          <w:szCs w:val="13"/>
          <w:u w:val="single" w:color="auto"/>
          <w:color w:val="auto"/>
        </w:rPr>
        <w:t>Section 2.06</w:t>
      </w:r>
      <w:r>
        <w:rPr>
          <w:rFonts w:ascii="Arial" w:cs="Arial" w:eastAsia="Arial" w:hAnsi="Arial"/>
          <w:sz w:val="13"/>
          <w:szCs w:val="13"/>
          <w:color w:val="auto"/>
        </w:rPr>
        <w:t>. Upon any reduction of the Aggregate Revolving Commitments, the Revolving Commitment of each Revolving Lender shall be reduced by such Revolving Lender’s Applicable Percentage of such reduction amount. If, as a result of such termination or reduction, (i) the Outstanding Amount of L/C Obligations not fully Cash Collateralized hereunder would exceed the Letter of Credit Sublimit, the Borrowers shall contemporaneously with such reduction or termination, Cash Collateral such excess amount, and (B) the Committed Loans or the Swing Line Loans hereunder would exceed the Aggregate Revolving Commitments or the Swing Line Sublimit, as applicable, the Borrowers shall contemporaneously with such reduction or termination, pay the Agent an amount equal to such excess.</w:t>
      </w:r>
    </w:p>
    <w:p>
      <w:pPr>
        <w:spacing w:after="0" w:line="121"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3"/>
          <w:szCs w:val="13"/>
          <w:b w:val="1"/>
          <w:bCs w:val="1"/>
          <w:color w:val="auto"/>
        </w:rPr>
        <w:t>2.07</w:t>
      </w:r>
      <w:r>
        <w:rPr>
          <w:sz w:val="20"/>
          <w:szCs w:val="20"/>
          <w:color w:val="auto"/>
        </w:rPr>
        <w:tab/>
      </w:r>
      <w:r>
        <w:rPr>
          <w:rFonts w:ascii="Arial" w:cs="Arial" w:eastAsia="Arial" w:hAnsi="Arial"/>
          <w:sz w:val="11"/>
          <w:szCs w:val="11"/>
          <w:b w:val="1"/>
          <w:bCs w:val="1"/>
          <w:color w:val="auto"/>
        </w:rPr>
        <w:t>Repayment of Obligations</w:t>
      </w:r>
      <w:r>
        <w:rPr>
          <w:rFonts w:ascii="Arial" w:cs="Arial" w:eastAsia="Arial" w:hAnsi="Arial"/>
          <w:sz w:val="11"/>
          <w:szCs w:val="11"/>
          <w:color w:val="auto"/>
        </w:rPr>
        <w:t>.</w:t>
      </w:r>
    </w:p>
    <w:p>
      <w:pPr>
        <w:spacing w:after="0" w:line="152" w:lineRule="exact"/>
        <w:rPr>
          <w:sz w:val="20"/>
          <w:szCs w:val="20"/>
          <w:color w:val="auto"/>
        </w:rPr>
      </w:pPr>
    </w:p>
    <w:p>
      <w:pPr>
        <w:jc w:val="both"/>
        <w:ind w:left="220" w:firstLine="808"/>
        <w:spacing w:after="0" w:line="254" w:lineRule="auto"/>
        <w:rPr>
          <w:sz w:val="20"/>
          <w:szCs w:val="20"/>
          <w:color w:val="auto"/>
        </w:rPr>
      </w:pPr>
      <w:r>
        <w:rPr>
          <w:rFonts w:ascii="Arial" w:cs="Arial" w:eastAsia="Arial" w:hAnsi="Arial"/>
          <w:sz w:val="13"/>
          <w:szCs w:val="13"/>
          <w:color w:val="auto"/>
        </w:rPr>
        <w:t xml:space="preserve">Except as provided in </w:t>
      </w:r>
      <w:r>
        <w:rPr>
          <w:rFonts w:ascii="Arial" w:cs="Arial" w:eastAsia="Arial" w:hAnsi="Arial"/>
          <w:sz w:val="13"/>
          <w:szCs w:val="13"/>
          <w:u w:val="single" w:color="auto"/>
          <w:color w:val="auto"/>
        </w:rPr>
        <w:t>Section 10.11</w:t>
      </w:r>
      <w:r>
        <w:rPr>
          <w:rFonts w:ascii="Arial" w:cs="Arial" w:eastAsia="Arial" w:hAnsi="Arial"/>
          <w:sz w:val="13"/>
          <w:szCs w:val="13"/>
          <w:color w:val="auto"/>
        </w:rPr>
        <w:t xml:space="preserve"> with respect to the collateralization of the Other Liabilities, the Borrowers shall repay to the Lenders on the Termination Date all Obligations (including, without limitation, the Committed Loans, the Swing Line Loans and the aggregate principal amount of the FILO Loan) outstanding on such date (other than contingent indemnification claims for which a claim has not been asserted) and shall cause each Letter of Credit to be returned to the L/C Issuer undrawn or shall Cash Collateralize all L/C Obligations (to the extent not previously Cash Collateralized as required herein).</w:t>
      </w:r>
    </w:p>
    <w:p>
      <w:pPr>
        <w:spacing w:after="0" w:line="271"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74" w:name="page75"/>
    <w:bookmarkEnd w:id="74"/>
    <w:p>
      <w:pPr>
        <w:ind w:left="1040"/>
        <w:spacing w:after="0"/>
        <w:tabs>
          <w:tab w:leader="none" w:pos="1680" w:val="left"/>
        </w:tabs>
        <w:rPr>
          <w:sz w:val="20"/>
          <w:szCs w:val="20"/>
          <w:color w:val="auto"/>
        </w:rPr>
      </w:pPr>
      <w:r>
        <w:rPr>
          <w:rFonts w:ascii="Arial" w:cs="Arial" w:eastAsia="Arial" w:hAnsi="Arial"/>
          <w:sz w:val="13"/>
          <w:szCs w:val="13"/>
          <w:b w:val="1"/>
          <w:bCs w:val="1"/>
          <w:color w:val="auto"/>
        </w:rPr>
        <w:t>2.08</w:t>
      </w:r>
      <w:r>
        <w:rPr>
          <w:sz w:val="20"/>
          <w:szCs w:val="20"/>
          <w:color w:val="auto"/>
        </w:rPr>
        <w:tab/>
      </w:r>
      <w:r>
        <w:rPr>
          <w:rFonts w:ascii="Arial" w:cs="Arial" w:eastAsia="Arial" w:hAnsi="Arial"/>
          <w:sz w:val="11"/>
          <w:szCs w:val="11"/>
          <w:b w:val="1"/>
          <w:bCs w:val="1"/>
          <w:color w:val="auto"/>
        </w:rPr>
        <w:t>Interest</w:t>
      </w:r>
      <w:r>
        <w:rPr>
          <w:rFonts w:ascii="Arial" w:cs="Arial" w:eastAsia="Arial" w:hAnsi="Arial"/>
          <w:sz w:val="11"/>
          <w:szCs w:val="11"/>
          <w:color w:val="auto"/>
        </w:rPr>
        <w:t>.</w:t>
      </w:r>
    </w:p>
    <w:p>
      <w:pPr>
        <w:spacing w:after="0" w:line="153" w:lineRule="exact"/>
        <w:rPr>
          <w:sz w:val="20"/>
          <w:szCs w:val="20"/>
          <w:color w:val="auto"/>
        </w:rPr>
      </w:pPr>
    </w:p>
    <w:p>
      <w:pPr>
        <w:jc w:val="both"/>
        <w:ind w:left="220" w:firstLine="1623"/>
        <w:spacing w:after="0" w:line="252" w:lineRule="auto"/>
        <w:tabs>
          <w:tab w:leader="none" w:pos="2411" w:val="left"/>
        </w:tabs>
        <w:numPr>
          <w:ilvl w:val="0"/>
          <w:numId w:val="78"/>
        </w:numPr>
        <w:rPr>
          <w:rFonts w:ascii="Arial" w:cs="Arial" w:eastAsia="Arial" w:hAnsi="Arial"/>
          <w:sz w:val="13"/>
          <w:szCs w:val="13"/>
          <w:color w:val="auto"/>
        </w:rPr>
      </w:pPr>
      <w:r>
        <w:rPr>
          <w:rFonts w:ascii="Arial" w:cs="Arial" w:eastAsia="Arial" w:hAnsi="Arial"/>
          <w:sz w:val="13"/>
          <w:szCs w:val="13"/>
          <w:color w:val="auto"/>
        </w:rPr>
        <w:t xml:space="preserve">Subject to the provisions of </w:t>
      </w:r>
      <w:r>
        <w:rPr>
          <w:rFonts w:ascii="Arial" w:cs="Arial" w:eastAsia="Arial" w:hAnsi="Arial"/>
          <w:sz w:val="13"/>
          <w:szCs w:val="13"/>
          <w:u w:val="single" w:color="auto"/>
          <w:color w:val="auto"/>
        </w:rPr>
        <w:t>Section 2.08(c)</w:t>
      </w:r>
      <w:r>
        <w:rPr>
          <w:rFonts w:ascii="Arial" w:cs="Arial" w:eastAsia="Arial" w:hAnsi="Arial"/>
          <w:sz w:val="13"/>
          <w:szCs w:val="13"/>
          <w:color w:val="auto"/>
        </w:rPr>
        <w:t xml:space="preserve"> below, (i) each Revolving Loan that is a LIBOR Rate Loan shall bear interest on the outstanding principal amount thereof for each Interest Period at a rate per annum equal to the Adjusted LIBOR Rate for such Interest Period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the Applicable Margin for the Revolving Loans that are LIBOR Rate Loans; (ii) each Revolving Loan that is a Base Rate Loan shall bear interest on the outstanding principal amount thereof from the applicable borrowing date at a rate per annum equal to the Base Rate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the Applicable Margin for the Revolving Loans that are Base Rate Loans; and (iii) each Swing Line Loan shall bear interest on the outstanding principal amount thereof from the applicable borrowing date at a rate per annum equal to the Base Rate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the Applicable Margin for Revolving Loans that are Base Rate Loans.</w:t>
      </w:r>
    </w:p>
    <w:p>
      <w:pPr>
        <w:spacing w:after="0" w:line="124" w:lineRule="exact"/>
        <w:rPr>
          <w:rFonts w:ascii="Arial" w:cs="Arial" w:eastAsia="Arial" w:hAnsi="Arial"/>
          <w:sz w:val="13"/>
          <w:szCs w:val="13"/>
          <w:color w:val="auto"/>
        </w:rPr>
      </w:pPr>
    </w:p>
    <w:p>
      <w:pPr>
        <w:jc w:val="both"/>
        <w:ind w:left="220" w:firstLine="1623"/>
        <w:spacing w:after="0" w:line="254" w:lineRule="auto"/>
        <w:tabs>
          <w:tab w:leader="none" w:pos="2418" w:val="left"/>
        </w:tabs>
        <w:numPr>
          <w:ilvl w:val="0"/>
          <w:numId w:val="78"/>
        </w:numPr>
        <w:rPr>
          <w:rFonts w:ascii="Arial" w:cs="Arial" w:eastAsia="Arial" w:hAnsi="Arial"/>
          <w:sz w:val="13"/>
          <w:szCs w:val="13"/>
          <w:color w:val="auto"/>
        </w:rPr>
      </w:pPr>
      <w:r>
        <w:rPr>
          <w:rFonts w:ascii="Arial" w:cs="Arial" w:eastAsia="Arial" w:hAnsi="Arial"/>
          <w:sz w:val="13"/>
          <w:szCs w:val="13"/>
          <w:color w:val="auto"/>
        </w:rPr>
        <w:t>Subject to the provisions of Section 2.08(c) below, (i) any portion of the FILO Loan that is a LIBOR Rate Loan shall bear interest on the outstanding principal amount thereof for each Interest Period at a rate per annum equal to the Adjusted LIBOR Rate for such Interest Period plus the Applicable Margin for FILO Loans that are LIBOR Rate Loans; and (ii) any portion of the FILO Loan that is a Base Rate Loan shall bear interest on the outstanding principal amount thereof at a rate per annum equal to the Base Rate plus the Applicable Margin for FILO Loans that are Base Rate Loans.</w:t>
      </w:r>
    </w:p>
    <w:p>
      <w:pPr>
        <w:spacing w:after="0" w:line="123" w:lineRule="exact"/>
        <w:rPr>
          <w:rFonts w:ascii="Arial" w:cs="Arial" w:eastAsia="Arial" w:hAnsi="Arial"/>
          <w:sz w:val="13"/>
          <w:szCs w:val="13"/>
          <w:color w:val="auto"/>
        </w:rPr>
      </w:pPr>
    </w:p>
    <w:p>
      <w:pPr>
        <w:jc w:val="both"/>
        <w:ind w:left="220" w:firstLine="1623"/>
        <w:spacing w:after="0" w:line="258" w:lineRule="auto"/>
        <w:tabs>
          <w:tab w:leader="none" w:pos="2411" w:val="left"/>
        </w:tabs>
        <w:numPr>
          <w:ilvl w:val="0"/>
          <w:numId w:val="78"/>
        </w:numPr>
        <w:rPr>
          <w:rFonts w:ascii="Arial" w:cs="Arial" w:eastAsia="Arial" w:hAnsi="Arial"/>
          <w:sz w:val="13"/>
          <w:szCs w:val="13"/>
          <w:color w:val="auto"/>
        </w:rPr>
      </w:pPr>
      <w:r>
        <w:rPr>
          <w:rFonts w:ascii="Arial" w:cs="Arial" w:eastAsia="Arial" w:hAnsi="Arial"/>
          <w:sz w:val="13"/>
          <w:szCs w:val="13"/>
          <w:color w:val="auto"/>
        </w:rPr>
        <w:t>(i) If any amount payable under any Loan Document is not paid when due (without regard to any applicable grace periods), whether at stated maturity, by acceleration or otherwise or automatically if an Event of Default exists under Section 8.01(f), such amount shall thereafter bear interest at a fluctuating interest rate per annum at all times equal to the Default Rate to the fullest extent permitted by Law.</w:t>
      </w:r>
    </w:p>
    <w:p>
      <w:pPr>
        <w:spacing w:after="0" w:line="121" w:lineRule="exact"/>
        <w:rPr>
          <w:rFonts w:ascii="Arial" w:cs="Arial" w:eastAsia="Arial" w:hAnsi="Arial"/>
          <w:sz w:val="13"/>
          <w:szCs w:val="13"/>
          <w:color w:val="auto"/>
        </w:rPr>
      </w:pPr>
    </w:p>
    <w:p>
      <w:pPr>
        <w:jc w:val="both"/>
        <w:ind w:left="220" w:firstLine="2432"/>
        <w:spacing w:after="0" w:line="258" w:lineRule="auto"/>
        <w:tabs>
          <w:tab w:leader="none" w:pos="3236" w:val="left"/>
        </w:tabs>
        <w:numPr>
          <w:ilvl w:val="1"/>
          <w:numId w:val="78"/>
        </w:numPr>
        <w:rPr>
          <w:rFonts w:ascii="Arial" w:cs="Arial" w:eastAsia="Arial" w:hAnsi="Arial"/>
          <w:sz w:val="13"/>
          <w:szCs w:val="13"/>
          <w:color w:val="auto"/>
        </w:rPr>
      </w:pPr>
      <w:r>
        <w:rPr>
          <w:rFonts w:ascii="Arial" w:cs="Arial" w:eastAsia="Arial" w:hAnsi="Arial"/>
          <w:sz w:val="13"/>
          <w:szCs w:val="13"/>
          <w:color w:val="auto"/>
        </w:rPr>
        <w:t>If any other Event of Default exists, then the Agent may, and upon the request of the Required Lenders shall, notify the Lead Borrower that all outstanding Obligations shall thereafter bear interest at a fluctuating interest rate per annum at all times equal to the Default Rate and thereafter such Obligations shall bear interest at the Default Rate to the fullest extent permitted by Law.</w:t>
      </w:r>
    </w:p>
    <w:p>
      <w:pPr>
        <w:spacing w:after="0" w:line="121" w:lineRule="exact"/>
        <w:rPr>
          <w:rFonts w:ascii="Arial" w:cs="Arial" w:eastAsia="Arial" w:hAnsi="Arial"/>
          <w:sz w:val="13"/>
          <w:szCs w:val="13"/>
          <w:color w:val="auto"/>
        </w:rPr>
      </w:pPr>
    </w:p>
    <w:p>
      <w:pPr>
        <w:ind w:left="3280" w:hanging="628"/>
        <w:spacing w:after="0"/>
        <w:tabs>
          <w:tab w:leader="none" w:pos="3280" w:val="left"/>
        </w:tabs>
        <w:numPr>
          <w:ilvl w:val="1"/>
          <w:numId w:val="78"/>
        </w:numPr>
        <w:rPr>
          <w:rFonts w:ascii="Arial" w:cs="Arial" w:eastAsia="Arial" w:hAnsi="Arial"/>
          <w:sz w:val="13"/>
          <w:szCs w:val="13"/>
          <w:color w:val="auto"/>
        </w:rPr>
      </w:pPr>
      <w:r>
        <w:rPr>
          <w:rFonts w:ascii="Arial" w:cs="Arial" w:eastAsia="Arial" w:hAnsi="Arial"/>
          <w:sz w:val="13"/>
          <w:szCs w:val="13"/>
          <w:color w:val="auto"/>
        </w:rPr>
        <w:t>Accrued and unpaid interest on past due amounts (including interest on past due interest) shall be due and payable upon demand.</w:t>
      </w:r>
    </w:p>
    <w:p>
      <w:pPr>
        <w:spacing w:after="0" w:line="147" w:lineRule="exact"/>
        <w:rPr>
          <w:rFonts w:ascii="Arial" w:cs="Arial" w:eastAsia="Arial" w:hAnsi="Arial"/>
          <w:sz w:val="13"/>
          <w:szCs w:val="13"/>
          <w:color w:val="auto"/>
        </w:rPr>
      </w:pPr>
    </w:p>
    <w:p>
      <w:pPr>
        <w:jc w:val="both"/>
        <w:ind w:left="220" w:firstLine="1623"/>
        <w:spacing w:after="0" w:line="258" w:lineRule="auto"/>
        <w:tabs>
          <w:tab w:leader="none" w:pos="2418" w:val="left"/>
        </w:tabs>
        <w:numPr>
          <w:ilvl w:val="0"/>
          <w:numId w:val="78"/>
        </w:numPr>
        <w:rPr>
          <w:rFonts w:ascii="Arial" w:cs="Arial" w:eastAsia="Arial" w:hAnsi="Arial"/>
          <w:sz w:val="13"/>
          <w:szCs w:val="13"/>
          <w:color w:val="auto"/>
        </w:rPr>
      </w:pPr>
      <w:r>
        <w:rPr>
          <w:rFonts w:ascii="Arial" w:cs="Arial" w:eastAsia="Arial" w:hAnsi="Arial"/>
          <w:sz w:val="13"/>
          <w:szCs w:val="13"/>
          <w:color w:val="auto"/>
        </w:rPr>
        <w:t xml:space="preserve">Except as provided in </w:t>
      </w:r>
      <w:r>
        <w:rPr>
          <w:rFonts w:ascii="Arial" w:cs="Arial" w:eastAsia="Arial" w:hAnsi="Arial"/>
          <w:sz w:val="13"/>
          <w:szCs w:val="13"/>
          <w:u w:val="single" w:color="auto"/>
          <w:color w:val="auto"/>
        </w:rPr>
        <w:t>Section 2.08(c)(iii)</w:t>
      </w:r>
      <w:r>
        <w:rPr>
          <w:rFonts w:ascii="Arial" w:cs="Arial" w:eastAsia="Arial" w:hAnsi="Arial"/>
          <w:sz w:val="13"/>
          <w:szCs w:val="13"/>
          <w:color w:val="auto"/>
        </w:rPr>
        <w:t>, 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17"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3"/>
          <w:szCs w:val="13"/>
          <w:b w:val="1"/>
          <w:bCs w:val="1"/>
          <w:color w:val="auto"/>
        </w:rPr>
        <w:t>2.09</w:t>
      </w:r>
      <w:r>
        <w:rPr>
          <w:sz w:val="20"/>
          <w:szCs w:val="20"/>
          <w:color w:val="auto"/>
        </w:rPr>
        <w:tab/>
      </w:r>
      <w:r>
        <w:rPr>
          <w:rFonts w:ascii="Arial" w:cs="Arial" w:eastAsia="Arial" w:hAnsi="Arial"/>
          <w:sz w:val="11"/>
          <w:szCs w:val="11"/>
          <w:b w:val="1"/>
          <w:bCs w:val="1"/>
          <w:color w:val="auto"/>
        </w:rPr>
        <w:t>Fees</w:t>
      </w:r>
      <w:r>
        <w:rPr>
          <w:rFonts w:ascii="Arial" w:cs="Arial" w:eastAsia="Arial" w:hAnsi="Arial"/>
          <w:sz w:val="11"/>
          <w:szCs w:val="11"/>
          <w:color w:val="auto"/>
        </w:rPr>
        <w:t>. In addition to certain fees described in subsections (i) and (j) of</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Section 2.03</w:t>
      </w:r>
      <w:r>
        <w:rPr>
          <w:rFonts w:ascii="Arial" w:cs="Arial" w:eastAsia="Arial" w:hAnsi="Arial"/>
          <w:sz w:val="11"/>
          <w:szCs w:val="11"/>
          <w:color w:val="auto"/>
        </w:rPr>
        <w:t>:</w:t>
      </w:r>
    </w:p>
    <w:p>
      <w:pPr>
        <w:spacing w:after="0" w:line="152" w:lineRule="exact"/>
        <w:rPr>
          <w:sz w:val="20"/>
          <w:szCs w:val="20"/>
          <w:color w:val="auto"/>
        </w:rPr>
      </w:pPr>
    </w:p>
    <w:p>
      <w:pPr>
        <w:jc w:val="both"/>
        <w:ind w:left="220" w:firstLine="1624"/>
        <w:spacing w:after="0" w:line="252" w:lineRule="auto"/>
        <w:tabs>
          <w:tab w:leader="none" w:pos="2413" w:val="left"/>
        </w:tabs>
        <w:numPr>
          <w:ilvl w:val="0"/>
          <w:numId w:val="79"/>
        </w:numPr>
        <w:rPr>
          <w:rFonts w:ascii="Arial" w:cs="Arial" w:eastAsia="Arial" w:hAnsi="Arial"/>
          <w:sz w:val="13"/>
          <w:szCs w:val="13"/>
          <w:color w:val="auto"/>
        </w:rPr>
      </w:pPr>
      <w:r>
        <w:rPr>
          <w:rFonts w:ascii="Arial" w:cs="Arial" w:eastAsia="Arial" w:hAnsi="Arial"/>
          <w:sz w:val="13"/>
          <w:szCs w:val="13"/>
          <w:u w:val="single" w:color="auto"/>
          <w:color w:val="auto"/>
        </w:rPr>
        <w:t>Commitment Fee</w:t>
      </w:r>
      <w:r>
        <w:rPr>
          <w:rFonts w:ascii="Arial" w:cs="Arial" w:eastAsia="Arial" w:hAnsi="Arial"/>
          <w:sz w:val="13"/>
          <w:szCs w:val="13"/>
          <w:color w:val="auto"/>
        </w:rPr>
        <w:t xml:space="preserve">. The Borrowers shall pay to the Agent for the account of each Revolving Lender in accordance with its Applicable Percentage, a commitment fee (the “Commitment Fee”) equal to the Commitment Fee Percentage </w:t>
      </w:r>
      <w:r>
        <w:rPr>
          <w:rFonts w:ascii="Arial" w:cs="Arial" w:eastAsia="Arial" w:hAnsi="Arial"/>
          <w:sz w:val="13"/>
          <w:szCs w:val="13"/>
          <w:i w:val="1"/>
          <w:iCs w:val="1"/>
          <w:color w:val="auto"/>
        </w:rPr>
        <w:t>multiplied by</w:t>
      </w:r>
      <w:r>
        <w:rPr>
          <w:rFonts w:ascii="Arial" w:cs="Arial" w:eastAsia="Arial" w:hAnsi="Arial"/>
          <w:sz w:val="13"/>
          <w:szCs w:val="13"/>
          <w:color w:val="auto"/>
        </w:rPr>
        <w:t xml:space="preserve"> the actual daily amount by which the Aggregate Revolving Commitments exceed the Total Revolving Outstandings (excluding outstanding Swing Line Loans) (subject to adjustment as provided in </w:t>
      </w:r>
      <w:r>
        <w:rPr>
          <w:rFonts w:ascii="Arial" w:cs="Arial" w:eastAsia="Arial" w:hAnsi="Arial"/>
          <w:sz w:val="13"/>
          <w:szCs w:val="13"/>
          <w:u w:val="single" w:color="auto"/>
          <w:color w:val="auto"/>
        </w:rPr>
        <w:t>Section 2.16</w:t>
      </w:r>
      <w:r>
        <w:rPr>
          <w:rFonts w:ascii="Arial" w:cs="Arial" w:eastAsia="Arial" w:hAnsi="Arial"/>
          <w:sz w:val="13"/>
          <w:szCs w:val="13"/>
          <w:color w:val="auto"/>
        </w:rPr>
        <w:t xml:space="preserve">) during the immediately preceding quarter. The Commitment Fee shall accrue at all times during the Availability Period, including at any time during which one or more of the conditions in </w:t>
      </w:r>
      <w:r>
        <w:rPr>
          <w:rFonts w:ascii="Arial" w:cs="Arial" w:eastAsia="Arial" w:hAnsi="Arial"/>
          <w:sz w:val="13"/>
          <w:szCs w:val="13"/>
          <w:u w:val="single" w:color="auto"/>
          <w:color w:val="auto"/>
        </w:rPr>
        <w:t>Article IV</w:t>
      </w:r>
      <w:r>
        <w:rPr>
          <w:rFonts w:ascii="Arial" w:cs="Arial" w:eastAsia="Arial" w:hAnsi="Arial"/>
          <w:sz w:val="13"/>
          <w:szCs w:val="13"/>
          <w:color w:val="auto"/>
        </w:rPr>
        <w:t xml:space="preserve"> is not met, and shall be due and payable quarterly in arrears on the first day of each March, June, September and December, commencing with the first such date to occur after the Closing Date, and on the last day of the Availability Period.</w:t>
      </w:r>
    </w:p>
    <w:p>
      <w:pPr>
        <w:spacing w:after="0" w:line="272"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4" w:right="439" w:bottom="1440" w:gutter="0" w:footer="0" w:header="0"/>
        </w:sectPr>
      </w:pPr>
    </w:p>
    <w:bookmarkStart w:id="75" w:name="page76"/>
    <w:bookmarkEnd w:id="75"/>
    <w:p>
      <w:pPr>
        <w:ind w:left="220" w:firstLine="1624"/>
        <w:spacing w:after="0" w:line="274" w:lineRule="auto"/>
        <w:tabs>
          <w:tab w:leader="none" w:pos="2419" w:val="left"/>
        </w:tabs>
        <w:numPr>
          <w:ilvl w:val="0"/>
          <w:numId w:val="80"/>
        </w:numPr>
        <w:rPr>
          <w:rFonts w:ascii="Arial" w:cs="Arial" w:eastAsia="Arial" w:hAnsi="Arial"/>
          <w:sz w:val="13"/>
          <w:szCs w:val="13"/>
          <w:color w:val="auto"/>
        </w:rPr>
      </w:pPr>
      <w:r>
        <w:rPr>
          <w:rFonts w:ascii="Arial" w:cs="Arial" w:eastAsia="Arial" w:hAnsi="Arial"/>
          <w:sz w:val="13"/>
          <w:szCs w:val="13"/>
          <w:u w:val="single" w:color="auto"/>
          <w:color w:val="auto"/>
        </w:rPr>
        <w:t>Other Fees</w:t>
      </w:r>
      <w:r>
        <w:rPr>
          <w:rFonts w:ascii="Arial" w:cs="Arial" w:eastAsia="Arial" w:hAnsi="Arial"/>
          <w:sz w:val="13"/>
          <w:szCs w:val="13"/>
          <w:color w:val="auto"/>
        </w:rPr>
        <w:t>. The Borrowers shall pay to the Arranger and the Agent for their own respective accounts fees in the amounts and at the times specified in the Fee Letter. Such fees shall be fully earned when paid and shall not be refundable for any reason whatsoever.</w:t>
      </w:r>
    </w:p>
    <w:p>
      <w:pPr>
        <w:spacing w:after="0" w:line="106" w:lineRule="exact"/>
        <w:rPr>
          <w:sz w:val="20"/>
          <w:szCs w:val="20"/>
          <w:color w:val="auto"/>
        </w:rPr>
      </w:pPr>
    </w:p>
    <w:p>
      <w:pPr>
        <w:jc w:val="both"/>
        <w:ind w:left="220" w:firstLine="808"/>
        <w:spacing w:after="0" w:line="253" w:lineRule="auto"/>
        <w:rPr>
          <w:sz w:val="20"/>
          <w:szCs w:val="20"/>
          <w:color w:val="auto"/>
        </w:rPr>
      </w:pPr>
      <w:r>
        <w:rPr>
          <w:rFonts w:ascii="Arial" w:cs="Arial" w:eastAsia="Arial" w:hAnsi="Arial"/>
          <w:sz w:val="13"/>
          <w:szCs w:val="13"/>
          <w:b w:val="1"/>
          <w:bCs w:val="1"/>
          <w:color w:val="auto"/>
        </w:rPr>
        <w:t>2.10 Computation of Interest and Fees</w:t>
      </w:r>
      <w:r>
        <w:rPr>
          <w:rFonts w:ascii="Arial" w:cs="Arial" w:eastAsia="Arial" w:hAnsi="Arial"/>
          <w:sz w:val="13"/>
          <w:szCs w:val="13"/>
          <w:color w:val="auto"/>
        </w:rPr>
        <w:t>. All computations of interest for Base Rate Loans when the Base Rate is determined by Bank of America’s “prime rate” shall be made on the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basis of a year of 365 or 366 days, as the case may be, and actual days elapsed. All other computations of fees and interest shall be made on the basis of a 360-day year and actual days elapsed. Interest shall accrue on each Loan for the day on which the Loan is made, and shall not accrue on a Loan, or any portion thereof, for the day on which the Loan or such portion is paid,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any Loan that is repaid on the same day on which it is made shall, subject to </w:t>
      </w:r>
      <w:r>
        <w:rPr>
          <w:rFonts w:ascii="Arial" w:cs="Arial" w:eastAsia="Arial" w:hAnsi="Arial"/>
          <w:sz w:val="13"/>
          <w:szCs w:val="13"/>
          <w:u w:val="single" w:color="auto"/>
          <w:color w:val="auto"/>
        </w:rPr>
        <w:t>Section 2.12(a)</w:t>
      </w:r>
      <w:r>
        <w:rPr>
          <w:rFonts w:ascii="Arial" w:cs="Arial" w:eastAsia="Arial" w:hAnsi="Arial"/>
          <w:sz w:val="13"/>
          <w:szCs w:val="13"/>
          <w:color w:val="auto"/>
        </w:rPr>
        <w:t>, bear interest for one day. Each determination by the Agent of an interest rate or fee hereunder shall be conclusive and binding for all purposes, absent manifest error.</w:t>
      </w:r>
    </w:p>
    <w:p>
      <w:pPr>
        <w:spacing w:after="0" w:line="122" w:lineRule="exact"/>
        <w:rPr>
          <w:sz w:val="20"/>
          <w:szCs w:val="20"/>
          <w:color w:val="auto"/>
        </w:rPr>
      </w:pPr>
    </w:p>
    <w:p>
      <w:pPr>
        <w:ind w:left="1040"/>
        <w:spacing w:after="0"/>
        <w:tabs>
          <w:tab w:leader="none" w:pos="1660" w:val="left"/>
        </w:tabs>
        <w:rPr>
          <w:sz w:val="20"/>
          <w:szCs w:val="20"/>
          <w:color w:val="auto"/>
        </w:rPr>
      </w:pPr>
      <w:r>
        <w:rPr>
          <w:rFonts w:ascii="Arial" w:cs="Arial" w:eastAsia="Arial" w:hAnsi="Arial"/>
          <w:sz w:val="13"/>
          <w:szCs w:val="13"/>
          <w:b w:val="1"/>
          <w:bCs w:val="1"/>
          <w:color w:val="auto"/>
        </w:rPr>
        <w:t>2.11</w:t>
      </w:r>
      <w:r>
        <w:rPr>
          <w:sz w:val="20"/>
          <w:szCs w:val="20"/>
          <w:color w:val="auto"/>
        </w:rPr>
        <w:tab/>
      </w:r>
      <w:r>
        <w:rPr>
          <w:rFonts w:ascii="Arial" w:cs="Arial" w:eastAsia="Arial" w:hAnsi="Arial"/>
          <w:sz w:val="11"/>
          <w:szCs w:val="11"/>
          <w:b w:val="1"/>
          <w:bCs w:val="1"/>
          <w:color w:val="auto"/>
        </w:rPr>
        <w:t>Evidence of Debt</w:t>
      </w:r>
      <w:r>
        <w:rPr>
          <w:rFonts w:ascii="Arial" w:cs="Arial" w:eastAsia="Arial" w:hAnsi="Arial"/>
          <w:sz w:val="11"/>
          <w:szCs w:val="11"/>
          <w:color w:val="auto"/>
        </w:rPr>
        <w:t>.</w:t>
      </w:r>
    </w:p>
    <w:p>
      <w:pPr>
        <w:spacing w:after="0" w:line="152" w:lineRule="exact"/>
        <w:rPr>
          <w:sz w:val="20"/>
          <w:szCs w:val="20"/>
          <w:color w:val="auto"/>
        </w:rPr>
      </w:pPr>
    </w:p>
    <w:p>
      <w:pPr>
        <w:jc w:val="both"/>
        <w:ind w:left="220" w:firstLine="1624"/>
        <w:spacing w:after="0" w:line="271" w:lineRule="auto"/>
        <w:tabs>
          <w:tab w:leader="none" w:pos="2412" w:val="left"/>
        </w:tabs>
        <w:numPr>
          <w:ilvl w:val="0"/>
          <w:numId w:val="81"/>
        </w:numPr>
        <w:rPr>
          <w:rFonts w:ascii="Arial" w:cs="Arial" w:eastAsia="Arial" w:hAnsi="Arial"/>
          <w:sz w:val="12"/>
          <w:szCs w:val="12"/>
          <w:color w:val="auto"/>
        </w:rPr>
      </w:pPr>
      <w:r>
        <w:rPr>
          <w:rFonts w:ascii="Arial" w:cs="Arial" w:eastAsia="Arial" w:hAnsi="Arial"/>
          <w:sz w:val="12"/>
          <w:szCs w:val="12"/>
          <w:color w:val="auto"/>
        </w:rPr>
        <w:t>The Credit Extensions made by each Lender shall be evidenced by one or more accounts or records maintained by the Agent (the “Loan Account”) in the ordinary course of business. In addition, each Lender may record in such Lender’s internal records, an appropriate notation evidencing the date and amount of each Loan from such Lender, each payment and prepayment of principal of any such Loan, and each payment of interest, fees and other amounts due in connection with the Obligations due to such Lender. The accounts or records maintained by the Agent and each Lender shall be conclusive absent manifest error of the amount of the Credit Extensions made by the Lenders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accounts and records of the Agent in respect of such matters, the accounts and records of the Agent shall control in the absence of manifest error. Upon the request of any Lender made through the Agent, the Borrowers shall execute and deliver to such Lender (through the Agent) a Note, which shall evidence such Lender’s Loans in addition to such accounts or records. Each Lender may attach schedules to its Note and endorse thereon the date, Type (if applicable), amount and maturity of its Loans and payments with respect thereto. Upon receipt of an affidavit of a Lender as to the loss, theft, destruction or mutilation of such Lender’s Note and upon cancellation of such Note, the Borrowers will issue, in lieu thereof, a replacement Note in favor of such Lender, in the same principal amount thereof and otherwise of like tenor.</w:t>
      </w:r>
    </w:p>
    <w:p>
      <w:pPr>
        <w:spacing w:after="0" w:line="117" w:lineRule="exact"/>
        <w:rPr>
          <w:rFonts w:ascii="Arial" w:cs="Arial" w:eastAsia="Arial" w:hAnsi="Arial"/>
          <w:sz w:val="12"/>
          <w:szCs w:val="12"/>
          <w:color w:val="auto"/>
        </w:rPr>
      </w:pPr>
    </w:p>
    <w:p>
      <w:pPr>
        <w:jc w:val="both"/>
        <w:ind w:left="220" w:firstLine="1624"/>
        <w:spacing w:after="0" w:line="290" w:lineRule="auto"/>
        <w:tabs>
          <w:tab w:leader="none" w:pos="2419" w:val="left"/>
        </w:tabs>
        <w:numPr>
          <w:ilvl w:val="0"/>
          <w:numId w:val="81"/>
        </w:numPr>
        <w:rPr>
          <w:rFonts w:ascii="Arial" w:cs="Arial" w:eastAsia="Arial" w:hAnsi="Arial"/>
          <w:sz w:val="12"/>
          <w:szCs w:val="12"/>
          <w:color w:val="auto"/>
        </w:rPr>
      </w:pPr>
      <w:r>
        <w:rPr>
          <w:rFonts w:ascii="Arial" w:cs="Arial" w:eastAsia="Arial" w:hAnsi="Arial"/>
          <w:sz w:val="12"/>
          <w:szCs w:val="12"/>
          <w:color w:val="auto"/>
        </w:rPr>
        <w:t xml:space="preserve">In addition to the accounts and records referred to in </w:t>
      </w:r>
      <w:r>
        <w:rPr>
          <w:rFonts w:ascii="Arial" w:cs="Arial" w:eastAsia="Arial" w:hAnsi="Arial"/>
          <w:sz w:val="12"/>
          <w:szCs w:val="12"/>
          <w:u w:val="single" w:color="auto"/>
          <w:color w:val="auto"/>
        </w:rPr>
        <w:t>Section 2.11(a)</w:t>
      </w:r>
      <w:r>
        <w:rPr>
          <w:rFonts w:ascii="Arial" w:cs="Arial" w:eastAsia="Arial" w:hAnsi="Arial"/>
          <w:sz w:val="12"/>
          <w:szCs w:val="12"/>
          <w:color w:val="auto"/>
        </w:rPr>
        <w:t>, each Revolving Lender and the Agent shall maintain in accordance with its usual practice accounts or records evidencing the purchases and sales by such Revolving Lender of participations in Letters of Credit and Swing Line Loans. In the event of any conflict between the accounts and records maintained by the Agent and the accounts and records of any Revolving Lender in respect of such matters, the accounts and records of the Agent shall control in the absence of manifest error.</w:t>
      </w:r>
    </w:p>
    <w:p>
      <w:pPr>
        <w:spacing w:after="0" w:line="99" w:lineRule="exact"/>
        <w:rPr>
          <w:sz w:val="20"/>
          <w:szCs w:val="20"/>
          <w:color w:val="auto"/>
        </w:rPr>
      </w:pPr>
    </w:p>
    <w:p>
      <w:pPr>
        <w:ind w:left="1060"/>
        <w:spacing w:after="0"/>
        <w:tabs>
          <w:tab w:leader="none" w:pos="1700" w:val="left"/>
        </w:tabs>
        <w:rPr>
          <w:sz w:val="20"/>
          <w:szCs w:val="20"/>
          <w:color w:val="auto"/>
        </w:rPr>
      </w:pPr>
      <w:r>
        <w:rPr>
          <w:rFonts w:ascii="Arial" w:cs="Arial" w:eastAsia="Arial" w:hAnsi="Arial"/>
          <w:sz w:val="13"/>
          <w:szCs w:val="13"/>
          <w:b w:val="1"/>
          <w:bCs w:val="1"/>
          <w:color w:val="auto"/>
        </w:rPr>
        <w:t>2.12</w:t>
      </w:r>
      <w:r>
        <w:rPr>
          <w:sz w:val="20"/>
          <w:szCs w:val="20"/>
          <w:color w:val="auto"/>
        </w:rPr>
        <w:tab/>
      </w:r>
      <w:r>
        <w:rPr>
          <w:rFonts w:ascii="Arial" w:cs="Arial" w:eastAsia="Arial" w:hAnsi="Arial"/>
          <w:sz w:val="11"/>
          <w:szCs w:val="11"/>
          <w:b w:val="1"/>
          <w:bCs w:val="1"/>
          <w:color w:val="auto"/>
        </w:rPr>
        <w:t>Payments Generally; Agent’s Clawback</w:t>
      </w:r>
      <w:r>
        <w:rPr>
          <w:rFonts w:ascii="Arial" w:cs="Arial" w:eastAsia="Arial" w:hAnsi="Arial"/>
          <w:sz w:val="11"/>
          <w:szCs w:val="11"/>
          <w:color w:val="auto"/>
        </w:rPr>
        <w:t>.</w:t>
      </w:r>
    </w:p>
    <w:p>
      <w:pPr>
        <w:spacing w:after="0" w:line="152" w:lineRule="exact"/>
        <w:rPr>
          <w:sz w:val="20"/>
          <w:szCs w:val="20"/>
          <w:color w:val="auto"/>
        </w:rPr>
      </w:pPr>
    </w:p>
    <w:p>
      <w:pPr>
        <w:jc w:val="both"/>
        <w:ind w:left="220" w:firstLine="1624"/>
        <w:spacing w:after="0" w:line="254" w:lineRule="auto"/>
        <w:tabs>
          <w:tab w:leader="none" w:pos="2412" w:val="left"/>
        </w:tabs>
        <w:numPr>
          <w:ilvl w:val="0"/>
          <w:numId w:val="82"/>
        </w:numPr>
        <w:rPr>
          <w:rFonts w:ascii="Arial" w:cs="Arial" w:eastAsia="Arial" w:hAnsi="Arial"/>
          <w:sz w:val="13"/>
          <w:szCs w:val="13"/>
          <w:color w:val="auto"/>
        </w:rPr>
      </w:pPr>
      <w:r>
        <w:rPr>
          <w:rFonts w:ascii="Arial" w:cs="Arial" w:eastAsia="Arial" w:hAnsi="Arial"/>
          <w:sz w:val="13"/>
          <w:szCs w:val="13"/>
          <w:u w:val="single" w:color="auto"/>
          <w:color w:val="auto"/>
        </w:rPr>
        <w:t>General</w:t>
      </w:r>
      <w:r>
        <w:rPr>
          <w:rFonts w:ascii="Arial" w:cs="Arial" w:eastAsia="Arial" w:hAnsi="Arial"/>
          <w:sz w:val="13"/>
          <w:szCs w:val="13"/>
          <w:color w:val="auto"/>
        </w:rPr>
        <w:t xml:space="preserve">. All payments to be made by the Borrowers shall be made without condition or deduction for any counterclaim, defense, recoupment or setoff. Except as otherwise expressly provided herein, all payments by the Borrowers hereunder shall be made to the Agent, for the account of the respective Lenders to which such payment is owed, at the Agent’s Office in Dollars and in immediately available funds not later than 2:00 p.m. on the date specified herein. The Agent will, subject to </w:t>
      </w:r>
      <w:r>
        <w:rPr>
          <w:rFonts w:ascii="Arial" w:cs="Arial" w:eastAsia="Arial" w:hAnsi="Arial"/>
          <w:sz w:val="13"/>
          <w:szCs w:val="13"/>
          <w:u w:val="single" w:color="auto"/>
          <w:color w:val="auto"/>
        </w:rPr>
        <w:t>Section 2.14</w:t>
      </w:r>
      <w:r>
        <w:rPr>
          <w:rFonts w:ascii="Arial" w:cs="Arial" w:eastAsia="Arial" w:hAnsi="Arial"/>
          <w:sz w:val="13"/>
          <w:szCs w:val="13"/>
          <w:color w:val="auto"/>
        </w:rPr>
        <w:t xml:space="preserve"> hereof, promptly distribute to each Lender its Applicable Percentage (or other applicable</w:t>
      </w:r>
    </w:p>
    <w:p>
      <w:pPr>
        <w:spacing w:after="0" w:line="271"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76" w:name="page77"/>
    <w:bookmarkEnd w:id="76"/>
    <w:p>
      <w:pPr>
        <w:jc w:val="both"/>
        <w:ind w:left="220"/>
        <w:spacing w:after="0" w:line="255" w:lineRule="auto"/>
        <w:rPr>
          <w:sz w:val="20"/>
          <w:szCs w:val="20"/>
          <w:color w:val="auto"/>
        </w:rPr>
      </w:pPr>
      <w:r>
        <w:rPr>
          <w:rFonts w:ascii="Arial" w:cs="Arial" w:eastAsia="Arial" w:hAnsi="Arial"/>
          <w:sz w:val="13"/>
          <w:szCs w:val="13"/>
          <w:color w:val="auto"/>
        </w:rPr>
        <w:t>share as provided herein) of such payment in like funds as received by wire transfer to such Lender’s Lending Office. All payments received by the Agent after 2:00 p.m. shall, at the option of the Agent, be deemed received on the next succeeding Business Day and any applicable interest or fee shall continue to accrue. If any payment to be made by the Borrowers shall come due on a day other than a Business Day, payment shall be made on the next following Business Day (other than with respect to payment of a LIBOR Loan), and such extension of time shall be reflected in computing interest or fees, as the case may be.</w:t>
      </w:r>
    </w:p>
    <w:p>
      <w:pPr>
        <w:spacing w:after="0" w:line="123" w:lineRule="exact"/>
        <w:rPr>
          <w:sz w:val="20"/>
          <w:szCs w:val="20"/>
          <w:color w:val="auto"/>
        </w:rPr>
      </w:pPr>
    </w:p>
    <w:p>
      <w:pPr>
        <w:jc w:val="both"/>
        <w:ind w:left="220" w:firstLine="1624"/>
        <w:spacing w:after="0" w:line="270" w:lineRule="auto"/>
        <w:tabs>
          <w:tab w:leader="none" w:pos="2419" w:val="left"/>
        </w:tabs>
        <w:numPr>
          <w:ilvl w:val="0"/>
          <w:numId w:val="83"/>
        </w:numPr>
        <w:rPr>
          <w:rFonts w:ascii="Arial" w:cs="Arial" w:eastAsia="Arial" w:hAnsi="Arial"/>
          <w:sz w:val="12"/>
          <w:szCs w:val="12"/>
          <w:color w:val="auto"/>
        </w:rPr>
      </w:pPr>
      <w:r>
        <w:rPr>
          <w:rFonts w:ascii="Arial" w:cs="Arial" w:eastAsia="Arial" w:hAnsi="Arial"/>
          <w:sz w:val="12"/>
          <w:szCs w:val="12"/>
          <w:color w:val="auto"/>
        </w:rPr>
        <w:t xml:space="preserve">(i) </w:t>
      </w:r>
      <w:r>
        <w:rPr>
          <w:rFonts w:ascii="Arial" w:cs="Arial" w:eastAsia="Arial" w:hAnsi="Arial"/>
          <w:sz w:val="12"/>
          <w:szCs w:val="12"/>
          <w:u w:val="single" w:color="auto"/>
          <w:color w:val="auto"/>
        </w:rPr>
        <w:t>Funding by Revolving Lenders; Presumption by Agent</w:t>
      </w:r>
      <w:r>
        <w:rPr>
          <w:rFonts w:ascii="Arial" w:cs="Arial" w:eastAsia="Arial" w:hAnsi="Arial"/>
          <w:sz w:val="12"/>
          <w:szCs w:val="12"/>
          <w:color w:val="auto"/>
        </w:rPr>
        <w:t xml:space="preserve">. Unless the Agent shall have received notice from a Revolving Lender prior to (A) the proposed date of any Borrowing of LIBOR Rate Loans (or in the case of any Borrowing of Base Rate Loans, prior to 12:00 noon on the date of such Borrowing), or (B) the date that such Revolving Lender’s participation in a Letter of Credit or Swing Line Loan is required to be funded, that such Revolving Lender will not make available to the Agent such Revolving Lender’s share of such Borrowing or participation, the Agent may assume that such Revolving Lender has made such share available on such date in accordance with </w:t>
      </w:r>
      <w:r>
        <w:rPr>
          <w:rFonts w:ascii="Arial" w:cs="Arial" w:eastAsia="Arial" w:hAnsi="Arial"/>
          <w:sz w:val="12"/>
          <w:szCs w:val="12"/>
          <w:u w:val="single" w:color="auto"/>
          <w:color w:val="auto"/>
        </w:rPr>
        <w:t>Section 2.02</w:t>
      </w:r>
      <w:r>
        <w:rPr>
          <w:rFonts w:ascii="Arial" w:cs="Arial" w:eastAsia="Arial" w:hAnsi="Arial"/>
          <w:sz w:val="12"/>
          <w:szCs w:val="12"/>
          <w:color w:val="auto"/>
        </w:rPr>
        <w:t xml:space="preserve"> (or in the case of a Borrowing of Base Rate Loans, that such Revolving Lender has made such share available in accordance with and at the time required by </w:t>
      </w:r>
      <w:r>
        <w:rPr>
          <w:rFonts w:ascii="Arial" w:cs="Arial" w:eastAsia="Arial" w:hAnsi="Arial"/>
          <w:sz w:val="12"/>
          <w:szCs w:val="12"/>
          <w:u w:val="single" w:color="auto"/>
          <w:color w:val="auto"/>
        </w:rPr>
        <w:t>Section 2.02</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2.03</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2.05</w:t>
      </w:r>
      <w:r>
        <w:rPr>
          <w:rFonts w:ascii="Arial" w:cs="Arial" w:eastAsia="Arial" w:hAnsi="Arial"/>
          <w:sz w:val="12"/>
          <w:szCs w:val="12"/>
          <w:color w:val="auto"/>
        </w:rPr>
        <w:t>, as applicable, and may, in reliance upon such assumption, make available to the Borrowers, the L/C Issuer or the Swing Line Lender, as applicable, a corresponding amount. In such event, if a Revolving Lender has not in fact made its share of the applicable Committed Borrowing or participation available to the Agent, then the applicable Revolving Lender and the Borrowers severally agree to pay to the Agent forthwith on demand such corresponding amount in immediately available funds with interest thereon, for each day from and including the date such amount is made available to the Borrowers to but excluding the date of payment to the Agent, at (A) in the case of a payment to be made by such Revolving Lender, the greater of the Federal Funds Rate and a rate determined by the Agent in accordance with banking industry rules on interbank compensation plus any administrative processing or similar fees customarily charged by the Agent in connection with the foregoing, and (B) in the case of a payment to be made by the Borrowers, the interest rate applicable to Base Rate Loans. If the Borrowers and such Revolving Lender shall pay such interest to the Agent for the same or an overlapping period, the Agent shall promptly remit to the Borrowers the amount of such interest paid by the Borrowers for such period. If such Revolving Lender pays its share of the applicable Committed Borrowing or participation to the Agent, then the amount so paid shall constitute such Revolving Lender’s Committed Loan included in such Committed Borrowing or participation in such Letter of Credit or Swing Line Loan. Any payment by the Borrowers shall be without prejudice to any claim the Borrowers may have against a Revolving Lender that shall have failed to make such payment to the Agent.</w:t>
      </w:r>
    </w:p>
    <w:p>
      <w:pPr>
        <w:spacing w:after="0" w:line="114" w:lineRule="exact"/>
        <w:rPr>
          <w:sz w:val="20"/>
          <w:szCs w:val="20"/>
          <w:color w:val="auto"/>
        </w:rPr>
      </w:pPr>
    </w:p>
    <w:p>
      <w:pPr>
        <w:jc w:val="both"/>
        <w:ind w:left="220" w:firstLine="1624"/>
        <w:spacing w:after="0" w:line="251" w:lineRule="auto"/>
        <w:tabs>
          <w:tab w:leader="none" w:pos="2029" w:val="left"/>
        </w:tabs>
        <w:numPr>
          <w:ilvl w:val="0"/>
          <w:numId w:val="84"/>
        </w:numPr>
        <w:rPr>
          <w:rFonts w:ascii="Arial" w:cs="Arial" w:eastAsia="Arial" w:hAnsi="Arial"/>
          <w:sz w:val="13"/>
          <w:szCs w:val="13"/>
          <w:color w:val="auto"/>
        </w:rPr>
      </w:pPr>
      <w:r>
        <w:rPr>
          <w:rFonts w:ascii="Arial" w:cs="Arial" w:eastAsia="Arial" w:hAnsi="Arial"/>
          <w:sz w:val="13"/>
          <w:szCs w:val="13"/>
          <w:u w:val="single" w:color="auto"/>
          <w:color w:val="auto"/>
        </w:rPr>
        <w:t>Payments by Borrowers; Presumptions by Agent</w:t>
      </w:r>
      <w:r>
        <w:rPr>
          <w:rFonts w:ascii="Arial" w:cs="Arial" w:eastAsia="Arial" w:hAnsi="Arial"/>
          <w:sz w:val="13"/>
          <w:szCs w:val="13"/>
          <w:color w:val="auto"/>
        </w:rPr>
        <w:t>. Unless the Agent shall have received notice from the Lead Borrower prior to the time at which any payment is due to the Agent for the account of any of the Lenders or the L/C Issuer hereunder that the Borrowers will not make such payment, the Agent may assume that the Borrowers have made such payment on such date in accordance herewith and may, in reliance upon such assumption, distribute to the Lenders or the L/C Issuer, as the case may be, the amount due. In such event, if the Borrowers have not in fact made such payment, then each of the Lenders or the L/C Issuer, as the case may be, severally agrees to repay to the Agent forthwith on demand the amount so distributed to such Lender or the L/C Issuer, in immediately available funds with interest thereon, for each day from and including the date such amount is distributed to it to but excluding the date of payment to the Agent, at the greater of the Federal Funds Rate and a rate determined by the Agent in accordance with banking industry rules on interbank compensation.</w:t>
      </w:r>
    </w:p>
    <w:p>
      <w:pPr>
        <w:spacing w:after="0" w:line="125"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A notice of the Agent to any Lender or the Lead Borrower with respect to any amount owing under this subsection (b) shall be conclusive, absent manifest error.</w:t>
      </w:r>
    </w:p>
    <w:p>
      <w:pPr>
        <w:spacing w:after="0" w:line="295"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77" w:name="page78"/>
    <w:bookmarkEnd w:id="77"/>
    <w:p>
      <w:pPr>
        <w:jc w:val="both"/>
        <w:ind w:left="220" w:firstLine="1624"/>
        <w:spacing w:after="0" w:line="255" w:lineRule="auto"/>
        <w:tabs>
          <w:tab w:leader="none" w:pos="2412" w:val="left"/>
        </w:tabs>
        <w:numPr>
          <w:ilvl w:val="0"/>
          <w:numId w:val="85"/>
        </w:numPr>
        <w:rPr>
          <w:rFonts w:ascii="Arial" w:cs="Arial" w:eastAsia="Arial" w:hAnsi="Arial"/>
          <w:sz w:val="13"/>
          <w:szCs w:val="13"/>
          <w:color w:val="auto"/>
        </w:rPr>
      </w:pPr>
      <w:r>
        <w:rPr>
          <w:rFonts w:ascii="Arial" w:cs="Arial" w:eastAsia="Arial" w:hAnsi="Arial"/>
          <w:sz w:val="13"/>
          <w:szCs w:val="13"/>
          <w:u w:val="single" w:color="auto"/>
          <w:color w:val="auto"/>
        </w:rPr>
        <w:t>Failure to Satisfy Conditions Precedent</w:t>
      </w:r>
      <w:r>
        <w:rPr>
          <w:rFonts w:ascii="Arial" w:cs="Arial" w:eastAsia="Arial" w:hAnsi="Arial"/>
          <w:sz w:val="13"/>
          <w:szCs w:val="13"/>
          <w:color w:val="auto"/>
        </w:rPr>
        <w:t xml:space="preserve">. If any Lender makes available to the Agent funds for any Loan to be made by such Lender as provided in the foregoing provisions of this </w:t>
      </w:r>
      <w:r>
        <w:rPr>
          <w:rFonts w:ascii="Arial" w:cs="Arial" w:eastAsia="Arial" w:hAnsi="Arial"/>
          <w:sz w:val="13"/>
          <w:szCs w:val="13"/>
          <w:u w:val="single" w:color="auto"/>
          <w:color w:val="auto"/>
        </w:rPr>
        <w:t>Article II</w:t>
      </w:r>
      <w:r>
        <w:rPr>
          <w:rFonts w:ascii="Arial" w:cs="Arial" w:eastAsia="Arial" w:hAnsi="Arial"/>
          <w:sz w:val="13"/>
          <w:szCs w:val="13"/>
          <w:color w:val="auto"/>
        </w:rPr>
        <w:t xml:space="preserve">, and such funds are not made available to the Borrowers by the Agent because the conditions to the applicable Credit Extension set forth in </w:t>
      </w:r>
      <w:r>
        <w:rPr>
          <w:rFonts w:ascii="Arial" w:cs="Arial" w:eastAsia="Arial" w:hAnsi="Arial"/>
          <w:sz w:val="13"/>
          <w:szCs w:val="13"/>
          <w:u w:val="single" w:color="auto"/>
          <w:color w:val="auto"/>
        </w:rPr>
        <w:t>Article IV</w:t>
      </w:r>
      <w:r>
        <w:rPr>
          <w:rFonts w:ascii="Arial" w:cs="Arial" w:eastAsia="Arial" w:hAnsi="Arial"/>
          <w:sz w:val="13"/>
          <w:szCs w:val="13"/>
          <w:color w:val="auto"/>
        </w:rPr>
        <w:t xml:space="preserve"> are not satisfied or waived in accordance with the terms hereof (subject to the provisions of the last paragraph of </w:t>
      </w:r>
      <w:r>
        <w:rPr>
          <w:rFonts w:ascii="Arial" w:cs="Arial" w:eastAsia="Arial" w:hAnsi="Arial"/>
          <w:sz w:val="13"/>
          <w:szCs w:val="13"/>
          <w:u w:val="single" w:color="auto"/>
          <w:color w:val="auto"/>
        </w:rPr>
        <w:t>Section 4.02</w:t>
      </w:r>
      <w:r>
        <w:rPr>
          <w:rFonts w:ascii="Arial" w:cs="Arial" w:eastAsia="Arial" w:hAnsi="Arial"/>
          <w:sz w:val="13"/>
          <w:szCs w:val="13"/>
          <w:color w:val="auto"/>
        </w:rPr>
        <w:t xml:space="preserve"> hereof), the Agent shall return such funds (in like funds as received from such Lender) to such Lender, without interest.</w:t>
      </w:r>
    </w:p>
    <w:p>
      <w:pPr>
        <w:spacing w:after="0" w:line="122" w:lineRule="exact"/>
        <w:rPr>
          <w:rFonts w:ascii="Arial" w:cs="Arial" w:eastAsia="Arial" w:hAnsi="Arial"/>
          <w:sz w:val="13"/>
          <w:szCs w:val="13"/>
          <w:color w:val="auto"/>
        </w:rPr>
      </w:pPr>
    </w:p>
    <w:p>
      <w:pPr>
        <w:jc w:val="both"/>
        <w:ind w:left="220" w:firstLine="1624"/>
        <w:spacing w:after="0" w:line="282" w:lineRule="auto"/>
        <w:tabs>
          <w:tab w:leader="none" w:pos="2419" w:val="left"/>
        </w:tabs>
        <w:numPr>
          <w:ilvl w:val="0"/>
          <w:numId w:val="85"/>
        </w:numPr>
        <w:rPr>
          <w:rFonts w:ascii="Arial" w:cs="Arial" w:eastAsia="Arial" w:hAnsi="Arial"/>
          <w:sz w:val="12"/>
          <w:szCs w:val="12"/>
          <w:color w:val="auto"/>
        </w:rPr>
      </w:pPr>
      <w:r>
        <w:rPr>
          <w:rFonts w:ascii="Arial" w:cs="Arial" w:eastAsia="Arial" w:hAnsi="Arial"/>
          <w:sz w:val="12"/>
          <w:szCs w:val="12"/>
          <w:u w:val="single" w:color="auto"/>
          <w:color w:val="auto"/>
        </w:rPr>
        <w:t>Obligations of Lenders Several</w:t>
      </w:r>
      <w:r>
        <w:rPr>
          <w:rFonts w:ascii="Arial" w:cs="Arial" w:eastAsia="Arial" w:hAnsi="Arial"/>
          <w:sz w:val="12"/>
          <w:szCs w:val="12"/>
          <w:color w:val="auto"/>
        </w:rPr>
        <w:t>. The obligations of the Revolving Lenders hereunder to make Committed Loans, to fund participations in Letters of Credit and Swing Line Loans, and the obligations of the FILO Lenders to make the FILO Loan and the obligations of the Lenders to make payments hereunder are several and not joint. The failure of any Lender to make any Committed Loan, to fund any such participation or to make any payment hereunder on any date required hereunder shall not relieve any other Lender of its corresponding obligation to do so on such date, and no Lender shall be responsible for the failure of any other Lender to so make its Loan, to purchase its participation or to make its payment hereunder.</w:t>
      </w:r>
    </w:p>
    <w:p>
      <w:pPr>
        <w:spacing w:after="0" w:line="108" w:lineRule="exact"/>
        <w:rPr>
          <w:rFonts w:ascii="Arial" w:cs="Arial" w:eastAsia="Arial" w:hAnsi="Arial"/>
          <w:sz w:val="12"/>
          <w:szCs w:val="12"/>
          <w:color w:val="auto"/>
        </w:rPr>
      </w:pPr>
    </w:p>
    <w:p>
      <w:pPr>
        <w:ind w:left="220" w:firstLine="1624"/>
        <w:spacing w:after="0" w:line="271" w:lineRule="auto"/>
        <w:tabs>
          <w:tab w:leader="none" w:pos="2412" w:val="left"/>
        </w:tabs>
        <w:numPr>
          <w:ilvl w:val="0"/>
          <w:numId w:val="85"/>
        </w:numPr>
        <w:rPr>
          <w:rFonts w:ascii="Arial" w:cs="Arial" w:eastAsia="Arial" w:hAnsi="Arial"/>
          <w:sz w:val="13"/>
          <w:szCs w:val="13"/>
          <w:color w:val="auto"/>
        </w:rPr>
      </w:pPr>
      <w:r>
        <w:rPr>
          <w:rFonts w:ascii="Arial" w:cs="Arial" w:eastAsia="Arial" w:hAnsi="Arial"/>
          <w:sz w:val="13"/>
          <w:szCs w:val="13"/>
          <w:u w:val="single" w:color="auto"/>
          <w:color w:val="auto"/>
        </w:rPr>
        <w:t>Funding Source</w:t>
      </w:r>
      <w:r>
        <w:rPr>
          <w:rFonts w:ascii="Arial" w:cs="Arial" w:eastAsia="Arial" w:hAnsi="Arial"/>
          <w:sz w:val="13"/>
          <w:szCs w:val="13"/>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09" w:lineRule="exact"/>
        <w:rPr>
          <w:sz w:val="20"/>
          <w:szCs w:val="20"/>
          <w:color w:val="auto"/>
        </w:rPr>
      </w:pPr>
    </w:p>
    <w:p>
      <w:pPr>
        <w:jc w:val="both"/>
        <w:ind w:left="220" w:firstLine="808"/>
        <w:spacing w:after="0" w:line="253" w:lineRule="auto"/>
        <w:rPr>
          <w:sz w:val="20"/>
          <w:szCs w:val="20"/>
          <w:color w:val="auto"/>
        </w:rPr>
      </w:pPr>
      <w:r>
        <w:rPr>
          <w:rFonts w:ascii="Arial" w:cs="Arial" w:eastAsia="Arial" w:hAnsi="Arial"/>
          <w:sz w:val="13"/>
          <w:szCs w:val="13"/>
          <w:b w:val="1"/>
          <w:bCs w:val="1"/>
          <w:color w:val="auto"/>
        </w:rPr>
        <w:t>2.13 Sharing of Payments by Lenders</w:t>
      </w:r>
      <w:r>
        <w:rPr>
          <w:rFonts w:ascii="Arial" w:cs="Arial" w:eastAsia="Arial" w:hAnsi="Arial"/>
          <w:sz w:val="13"/>
          <w:szCs w:val="13"/>
          <w:color w:val="auto"/>
        </w:rPr>
        <w:t>. If any Credit Party shall, by exercising any right of setoff or counterclaim or otherwise, obtain payment in respect of any principal of, interest</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on, or other amounts with respect to, any of the Obligations resulting in such Credit Party’s receiving payment of a proportion of the aggregate amount of such Obligations greater than its </w:t>
      </w:r>
      <w:r>
        <w:rPr>
          <w:rFonts w:ascii="Arial" w:cs="Arial" w:eastAsia="Arial" w:hAnsi="Arial"/>
          <w:sz w:val="13"/>
          <w:szCs w:val="13"/>
          <w:u w:val="single" w:color="auto"/>
          <w:color w:val="auto"/>
        </w:rPr>
        <w:t>pro rata</w:t>
      </w:r>
      <w:r>
        <w:rPr>
          <w:rFonts w:ascii="Arial" w:cs="Arial" w:eastAsia="Arial" w:hAnsi="Arial"/>
          <w:sz w:val="13"/>
          <w:szCs w:val="13"/>
          <w:color w:val="auto"/>
        </w:rPr>
        <w:t xml:space="preserve"> share thereof as provided herein (including as in contravention of the priorities of payment set forth in </w:t>
      </w:r>
      <w:r>
        <w:rPr>
          <w:rFonts w:ascii="Arial" w:cs="Arial" w:eastAsia="Arial" w:hAnsi="Arial"/>
          <w:sz w:val="13"/>
          <w:szCs w:val="13"/>
          <w:u w:val="single" w:color="auto"/>
          <w:color w:val="auto"/>
        </w:rPr>
        <w:t>Section 8.03</w:t>
      </w:r>
      <w:r>
        <w:rPr>
          <w:rFonts w:ascii="Arial" w:cs="Arial" w:eastAsia="Arial" w:hAnsi="Arial"/>
          <w:sz w:val="13"/>
          <w:szCs w:val="13"/>
          <w:color w:val="auto"/>
        </w:rPr>
        <w:t xml:space="preserve">), then the Credit Party receiving such greater proportion shall (a) notify the Agent of such fact, and (b) purchase (for cash at face value) participations in the Obligations of the other Credit Parties, or make such other adjustments as shall be equitable, so that the benefit of all such payments shall be shared by the Credit Parties ratably and in the priorities set forth in </w:t>
      </w:r>
      <w:r>
        <w:rPr>
          <w:rFonts w:ascii="Arial" w:cs="Arial" w:eastAsia="Arial" w:hAnsi="Arial"/>
          <w:sz w:val="13"/>
          <w:szCs w:val="13"/>
          <w:u w:val="single" w:color="auto"/>
          <w:color w:val="auto"/>
        </w:rPr>
        <w:t>Section 8.03</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w:t>
      </w:r>
    </w:p>
    <w:p>
      <w:pPr>
        <w:spacing w:after="0" w:line="126" w:lineRule="exact"/>
        <w:rPr>
          <w:sz w:val="20"/>
          <w:szCs w:val="20"/>
          <w:color w:val="auto"/>
        </w:rPr>
      </w:pPr>
    </w:p>
    <w:p>
      <w:pPr>
        <w:ind w:left="1080" w:firstLine="739"/>
        <w:spacing w:after="0" w:line="271" w:lineRule="auto"/>
        <w:tabs>
          <w:tab w:leader="none" w:pos="2384" w:val="left"/>
        </w:tabs>
        <w:numPr>
          <w:ilvl w:val="0"/>
          <w:numId w:val="86"/>
        </w:numPr>
        <w:rPr>
          <w:rFonts w:ascii="Arial" w:cs="Arial" w:eastAsia="Arial" w:hAnsi="Arial"/>
          <w:sz w:val="13"/>
          <w:szCs w:val="13"/>
          <w:color w:val="auto"/>
        </w:rPr>
      </w:pPr>
      <w:r>
        <w:rPr>
          <w:rFonts w:ascii="Arial" w:cs="Arial" w:eastAsia="Arial" w:hAnsi="Arial"/>
          <w:sz w:val="13"/>
          <w:szCs w:val="13"/>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12" w:lineRule="exact"/>
        <w:rPr>
          <w:rFonts w:ascii="Arial" w:cs="Arial" w:eastAsia="Arial" w:hAnsi="Arial"/>
          <w:sz w:val="13"/>
          <w:szCs w:val="13"/>
          <w:color w:val="auto"/>
        </w:rPr>
      </w:pPr>
    </w:p>
    <w:p>
      <w:pPr>
        <w:jc w:val="both"/>
        <w:ind w:left="1080" w:firstLine="739"/>
        <w:spacing w:after="0" w:line="254" w:lineRule="auto"/>
        <w:tabs>
          <w:tab w:leader="none" w:pos="2420"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provisions of this Section shall not be construed to apply to (x) any payment made by the Loan Parties pursuant to and in accordance with the express terms of this Agreement (including the application of funds arising from the existence of a Defaulting Lender) or (y) any payment obtained by a Lender as consideration for the assignment of or sale of a participation in any of its Committed Loans, FILO Loan or subparticipations in L/C Obligations or Swing Line Loans to any Eligible Assignee or Participant, other than to the Borrowers or any Subsidiary thereof (as to which the provisions of this Section shall apply).</w:t>
      </w:r>
    </w:p>
    <w:p>
      <w:pPr>
        <w:spacing w:after="0" w:line="124" w:lineRule="exact"/>
        <w:rPr>
          <w:sz w:val="20"/>
          <w:szCs w:val="20"/>
          <w:color w:val="auto"/>
        </w:rPr>
      </w:pPr>
    </w:p>
    <w:p>
      <w:pPr>
        <w:ind w:left="220" w:firstLine="808"/>
        <w:spacing w:after="0" w:line="314" w:lineRule="auto"/>
        <w:rPr>
          <w:sz w:val="20"/>
          <w:szCs w:val="20"/>
          <w:color w:val="auto"/>
        </w:rPr>
      </w:pPr>
      <w:r>
        <w:rPr>
          <w:rFonts w:ascii="Arial" w:cs="Arial" w:eastAsia="Arial" w:hAnsi="Arial"/>
          <w:sz w:val="12"/>
          <w:szCs w:val="12"/>
          <w:color w:val="auto"/>
        </w:rPr>
        <w:t>Each Loan Party consents to the foregoing and agrees, to the extent it may effectively do so under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236"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78" w:name="page79"/>
    <w:bookmarkEnd w:id="78"/>
    <w:p>
      <w:pPr>
        <w:ind w:left="1060"/>
        <w:spacing w:after="0"/>
        <w:tabs>
          <w:tab w:leader="none" w:pos="1700" w:val="left"/>
        </w:tabs>
        <w:rPr>
          <w:sz w:val="20"/>
          <w:szCs w:val="20"/>
          <w:color w:val="auto"/>
        </w:rPr>
      </w:pPr>
      <w:r>
        <w:rPr>
          <w:rFonts w:ascii="Arial" w:cs="Arial" w:eastAsia="Arial" w:hAnsi="Arial"/>
          <w:sz w:val="13"/>
          <w:szCs w:val="13"/>
          <w:b w:val="1"/>
          <w:bCs w:val="1"/>
          <w:color w:val="auto"/>
        </w:rPr>
        <w:t>2.14</w:t>
      </w:r>
      <w:r>
        <w:rPr>
          <w:sz w:val="20"/>
          <w:szCs w:val="20"/>
          <w:color w:val="auto"/>
        </w:rPr>
        <w:tab/>
      </w:r>
      <w:r>
        <w:rPr>
          <w:rFonts w:ascii="Arial" w:cs="Arial" w:eastAsia="Arial" w:hAnsi="Arial"/>
          <w:sz w:val="11"/>
          <w:szCs w:val="11"/>
          <w:b w:val="1"/>
          <w:bCs w:val="1"/>
          <w:color w:val="auto"/>
        </w:rPr>
        <w:t>Settlement Amongst Revolving Lenders</w:t>
      </w:r>
    </w:p>
    <w:p>
      <w:pPr>
        <w:spacing w:after="0" w:line="153" w:lineRule="exact"/>
        <w:rPr>
          <w:sz w:val="20"/>
          <w:szCs w:val="20"/>
          <w:color w:val="auto"/>
        </w:rPr>
      </w:pPr>
    </w:p>
    <w:p>
      <w:pPr>
        <w:jc w:val="both"/>
        <w:ind w:left="220" w:firstLine="1624"/>
        <w:spacing w:after="0" w:line="258" w:lineRule="auto"/>
        <w:tabs>
          <w:tab w:leader="none" w:pos="2412" w:val="left"/>
        </w:tabs>
        <w:numPr>
          <w:ilvl w:val="0"/>
          <w:numId w:val="87"/>
        </w:numPr>
        <w:rPr>
          <w:rFonts w:ascii="Arial" w:cs="Arial" w:eastAsia="Arial" w:hAnsi="Arial"/>
          <w:sz w:val="13"/>
          <w:szCs w:val="13"/>
          <w:color w:val="auto"/>
        </w:rPr>
      </w:pPr>
      <w:r>
        <w:rPr>
          <w:rFonts w:ascii="Arial" w:cs="Arial" w:eastAsia="Arial" w:hAnsi="Arial"/>
          <w:sz w:val="13"/>
          <w:szCs w:val="13"/>
          <w:color w:val="auto"/>
        </w:rPr>
        <w:t>The amount of each Revolving Lender’s Applicable Percentage of outstanding Revolving Loans (including, for clarity, outstanding Swing Line Loans), shall be computed weekly (or more frequently in the Agent’s discretion) and shall be adjusted upward or downward based on all Loans and repayments of Revolving Loans received by the Agent as of 3:00 p.m. on the first Business Day (such date, the “Settlement Date”) following the end of the period specified by the Agent.</w:t>
      </w:r>
    </w:p>
    <w:p>
      <w:pPr>
        <w:spacing w:after="0" w:line="121" w:lineRule="exact"/>
        <w:rPr>
          <w:rFonts w:ascii="Arial" w:cs="Arial" w:eastAsia="Arial" w:hAnsi="Arial"/>
          <w:sz w:val="13"/>
          <w:szCs w:val="13"/>
          <w:color w:val="auto"/>
        </w:rPr>
      </w:pPr>
    </w:p>
    <w:p>
      <w:pPr>
        <w:jc w:val="both"/>
        <w:ind w:left="220" w:firstLine="1624"/>
        <w:spacing w:after="0" w:line="272" w:lineRule="auto"/>
        <w:tabs>
          <w:tab w:leader="none" w:pos="2419" w:val="left"/>
        </w:tabs>
        <w:numPr>
          <w:ilvl w:val="0"/>
          <w:numId w:val="87"/>
        </w:numPr>
        <w:rPr>
          <w:rFonts w:ascii="Arial" w:cs="Arial" w:eastAsia="Arial" w:hAnsi="Arial"/>
          <w:sz w:val="12"/>
          <w:szCs w:val="12"/>
          <w:color w:val="auto"/>
        </w:rPr>
      </w:pPr>
      <w:r>
        <w:rPr>
          <w:rFonts w:ascii="Arial" w:cs="Arial" w:eastAsia="Arial" w:hAnsi="Arial"/>
          <w:sz w:val="12"/>
          <w:szCs w:val="12"/>
          <w:color w:val="auto"/>
        </w:rPr>
        <w:t>The Agent shall deliver to each of the Revolving Lenders promptly after a Settlement Date a summary statement of the amount of outstanding Loans for the period and the amount of repayments received for the period. As reflected on the summary statement, each Revolving Lender shall transfer to the Agent (as provided below) or the Agent shall transfer to each Revolving Lender, such amounts as are necessary to insure that, after giving effect to all such transfers, the amount of Committed Loans made by each Revolving Lender shall be equal to such Revolving Lender’s Applicable Percentage of all Committed Loans outstanding as of such Settlement Date. If the summary statement requires transfers to be made to the Agent by the Revolving Lenders and is received prior to 1:00 p.m. on a Business Day, such transfers shall be made in immediately available funds no later than 3:00 p.m. that day; and, if received after 1:00 p.m., then no later than 3:00 p.m. on the next Business Day. The obligation of each Revolving Lender to transfer such funds is irrevocable, unconditional and without recourse to or warranty by the Agent. If and to the extent any Revolving Lender shall not have so made its transfer to the Agent, such Revolving Lender agrees to pay to the Agent, forthwith on demand such amount, together with interest thereon, for each day from such date until the date such amount is paid to the Agent, equal to the greater of the Federal Funds Rate and a rate determined by the Agent in accordance with banking industry rules on interbank compensation plus any administrative, processing, or similar fees customarily charged by the Agent in connection with the foregoing.</w:t>
      </w:r>
    </w:p>
    <w:p>
      <w:pPr>
        <w:spacing w:after="0" w:line="111"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3"/>
          <w:szCs w:val="13"/>
          <w:b w:val="1"/>
          <w:bCs w:val="1"/>
          <w:color w:val="auto"/>
        </w:rPr>
        <w:t>2.15</w:t>
      </w:r>
      <w:r>
        <w:rPr>
          <w:sz w:val="20"/>
          <w:szCs w:val="20"/>
          <w:color w:val="auto"/>
        </w:rPr>
        <w:tab/>
      </w:r>
      <w:r>
        <w:rPr>
          <w:rFonts w:ascii="Arial" w:cs="Arial" w:eastAsia="Arial" w:hAnsi="Arial"/>
          <w:sz w:val="11"/>
          <w:szCs w:val="11"/>
          <w:b w:val="1"/>
          <w:bCs w:val="1"/>
          <w:color w:val="auto"/>
        </w:rPr>
        <w:t>Increase in Commitments</w:t>
      </w:r>
      <w:r>
        <w:rPr>
          <w:rFonts w:ascii="Arial" w:cs="Arial" w:eastAsia="Arial" w:hAnsi="Arial"/>
          <w:sz w:val="11"/>
          <w:szCs w:val="11"/>
          <w:color w:val="auto"/>
        </w:rPr>
        <w:t>.</w:t>
      </w:r>
    </w:p>
    <w:p>
      <w:pPr>
        <w:spacing w:after="0" w:line="152" w:lineRule="exact"/>
        <w:rPr>
          <w:sz w:val="20"/>
          <w:szCs w:val="20"/>
          <w:color w:val="auto"/>
        </w:rPr>
      </w:pPr>
    </w:p>
    <w:p>
      <w:pPr>
        <w:jc w:val="both"/>
        <w:ind w:left="220" w:firstLine="1624"/>
        <w:spacing w:after="0" w:line="275" w:lineRule="auto"/>
        <w:tabs>
          <w:tab w:leader="none" w:pos="2412" w:val="left"/>
        </w:tabs>
        <w:numPr>
          <w:ilvl w:val="0"/>
          <w:numId w:val="88"/>
        </w:numPr>
        <w:rPr>
          <w:rFonts w:ascii="Arial" w:cs="Arial" w:eastAsia="Arial" w:hAnsi="Arial"/>
          <w:sz w:val="12"/>
          <w:szCs w:val="12"/>
          <w:color w:val="auto"/>
        </w:rPr>
      </w:pPr>
      <w:r>
        <w:rPr>
          <w:rFonts w:ascii="Arial" w:cs="Arial" w:eastAsia="Arial" w:hAnsi="Arial"/>
          <w:sz w:val="12"/>
          <w:szCs w:val="12"/>
          <w:u w:val="single" w:color="auto"/>
          <w:color w:val="auto"/>
        </w:rPr>
        <w:t>Request for Increase</w:t>
      </w:r>
      <w:r>
        <w:rPr>
          <w:rFonts w:ascii="Arial" w:cs="Arial" w:eastAsia="Arial" w:hAnsi="Arial"/>
          <w:sz w:val="12"/>
          <w:szCs w:val="12"/>
          <w:color w:val="auto"/>
        </w:rPr>
        <w:t xml:space="preserve">. Provided no Default or Event of Default then exists or would arise therefrom, upon notice to the Agent (which shall promptly notify the Revolving Lenders), the Lead Borrower may from time to time, request an increase in the Aggregate Revolving Commitments by an amount (for all such requests) not exceeding $50,000,000;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 any such request for an increase shall be in a minimum amount of $10,000,000, and (ii) the Lead Borrower may make a maximum of three such requests (each such request, a “Commitment Increase”). At the time of sending such notice, the Lead Borrower (in consultation with the Agent) shall specify the time period within which each Revolving Lender is requested to respond (which shall in no event be less than ten (10) Business Days from the date of delivery of such notice to the Revolving Lenders). Any Commitment Increase shall be on the same terms and pursuant to the same documentation applicable to the existing Revolving Commitments (other than with respect to any fees payable to the Revolving Lenders or Additional Commitment Lenders providing any Commitment Increase).</w:t>
      </w:r>
    </w:p>
    <w:p>
      <w:pPr>
        <w:spacing w:after="0" w:line="114" w:lineRule="exact"/>
        <w:rPr>
          <w:rFonts w:ascii="Arial" w:cs="Arial" w:eastAsia="Arial" w:hAnsi="Arial"/>
          <w:sz w:val="12"/>
          <w:szCs w:val="12"/>
          <w:color w:val="auto"/>
        </w:rPr>
      </w:pPr>
    </w:p>
    <w:p>
      <w:pPr>
        <w:jc w:val="both"/>
        <w:ind w:left="220" w:firstLine="1623"/>
        <w:spacing w:after="0" w:line="258" w:lineRule="auto"/>
        <w:tabs>
          <w:tab w:leader="none" w:pos="2418" w:val="left"/>
        </w:tabs>
        <w:numPr>
          <w:ilvl w:val="0"/>
          <w:numId w:val="88"/>
        </w:numPr>
        <w:rPr>
          <w:rFonts w:ascii="Arial" w:cs="Arial" w:eastAsia="Arial" w:hAnsi="Arial"/>
          <w:sz w:val="13"/>
          <w:szCs w:val="13"/>
          <w:color w:val="auto"/>
        </w:rPr>
      </w:pPr>
      <w:r>
        <w:rPr>
          <w:rFonts w:ascii="Arial" w:cs="Arial" w:eastAsia="Arial" w:hAnsi="Arial"/>
          <w:sz w:val="13"/>
          <w:szCs w:val="13"/>
          <w:u w:val="single" w:color="auto"/>
          <w:color w:val="auto"/>
        </w:rPr>
        <w:t>Revolving Lender Elections to Increase</w:t>
      </w:r>
      <w:r>
        <w:rPr>
          <w:rFonts w:ascii="Arial" w:cs="Arial" w:eastAsia="Arial" w:hAnsi="Arial"/>
          <w:sz w:val="13"/>
          <w:szCs w:val="13"/>
          <w:color w:val="auto"/>
        </w:rPr>
        <w:t>. Each Revolving Lender shall notify the Agent within such time period whether or not it agrees to increase its Commitment and, if so, whether by an amount equal to, greater than, or less than its Applicable Percentage of such requested increase. Any Revolving Lender not responding within such time period shall be deemed to have declined to increase its Commitment.</w:t>
      </w:r>
    </w:p>
    <w:p>
      <w:pPr>
        <w:spacing w:after="0" w:line="121" w:lineRule="exact"/>
        <w:rPr>
          <w:rFonts w:ascii="Arial" w:cs="Arial" w:eastAsia="Arial" w:hAnsi="Arial"/>
          <w:sz w:val="13"/>
          <w:szCs w:val="13"/>
          <w:color w:val="auto"/>
        </w:rPr>
      </w:pPr>
    </w:p>
    <w:p>
      <w:pPr>
        <w:jc w:val="both"/>
        <w:ind w:left="220" w:firstLine="1624"/>
        <w:spacing w:after="0" w:line="258" w:lineRule="auto"/>
        <w:tabs>
          <w:tab w:leader="none" w:pos="2412" w:val="left"/>
        </w:tabs>
        <w:numPr>
          <w:ilvl w:val="0"/>
          <w:numId w:val="88"/>
        </w:numPr>
        <w:rPr>
          <w:rFonts w:ascii="Arial" w:cs="Arial" w:eastAsia="Arial" w:hAnsi="Arial"/>
          <w:sz w:val="13"/>
          <w:szCs w:val="13"/>
          <w:color w:val="auto"/>
        </w:rPr>
      </w:pPr>
      <w:r>
        <w:rPr>
          <w:rFonts w:ascii="Arial" w:cs="Arial" w:eastAsia="Arial" w:hAnsi="Arial"/>
          <w:sz w:val="13"/>
          <w:szCs w:val="13"/>
          <w:u w:val="single" w:color="auto"/>
          <w:color w:val="auto"/>
        </w:rPr>
        <w:t>Notification by Agent; Additional Lenders</w:t>
      </w:r>
      <w:r>
        <w:rPr>
          <w:rFonts w:ascii="Arial" w:cs="Arial" w:eastAsia="Arial" w:hAnsi="Arial"/>
          <w:sz w:val="13"/>
          <w:szCs w:val="13"/>
          <w:color w:val="auto"/>
        </w:rPr>
        <w:t>. The Agent shall notify the Lead Borrower and each Revolving Lender of the Revolving Lenders’ responses to each request made hereunder. To achieve the full amount of a requested increase and subject to the approval of the Agent, the L/C Issuer and the Swing Line Lender, to the extent that the existing Revolving Lenders decline to</w:t>
      </w:r>
    </w:p>
    <w:p>
      <w:pPr>
        <w:spacing w:after="0" w:line="269"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4" w:right="439" w:bottom="1440" w:gutter="0" w:footer="0" w:header="0"/>
        </w:sectPr>
      </w:pPr>
    </w:p>
    <w:bookmarkStart w:id="79" w:name="page80"/>
    <w:bookmarkEnd w:id="79"/>
    <w:p>
      <w:pPr>
        <w:jc w:val="both"/>
        <w:ind w:left="220"/>
        <w:spacing w:after="0" w:line="252" w:lineRule="auto"/>
        <w:rPr>
          <w:sz w:val="20"/>
          <w:szCs w:val="20"/>
          <w:color w:val="auto"/>
        </w:rPr>
      </w:pPr>
      <w:r>
        <w:rPr>
          <w:rFonts w:ascii="Arial" w:cs="Arial" w:eastAsia="Arial" w:hAnsi="Arial"/>
          <w:sz w:val="13"/>
          <w:szCs w:val="13"/>
          <w:color w:val="auto"/>
        </w:rPr>
        <w:t xml:space="preserve">increase their Commitments, or decline to increase their Commitments to the amount requested by the Lead Borrower, the Agent, in consultation with the Lead Borrower, will use its reasonable efforts to arrange for other Eligible Assignees to become a Revolving Lender hereunder (each such Revolving Lender, an “Additional Commitment Lender”) and to issue commitments in an amount equal to the amount of the increase in the Aggregate Revolving Commitments requested by the Lead Borrower and not accepted by the existing Revolving Lenders (and the Lead Borrower may also invite additional Eligible Assignees to become Revolving Lenders), </w:t>
      </w:r>
      <w:r>
        <w:rPr>
          <w:rFonts w:ascii="Arial" w:cs="Arial" w:eastAsia="Arial" w:hAnsi="Arial"/>
          <w:sz w:val="13"/>
          <w:szCs w:val="13"/>
          <w:i w:val="1"/>
          <w:iCs w:val="1"/>
          <w:color w:val="auto"/>
        </w:rPr>
        <w:t>provided, however,</w:t>
      </w:r>
      <w:r>
        <w:rPr>
          <w:rFonts w:ascii="Arial" w:cs="Arial" w:eastAsia="Arial" w:hAnsi="Arial"/>
          <w:sz w:val="13"/>
          <w:szCs w:val="13"/>
          <w:color w:val="auto"/>
        </w:rPr>
        <w:t xml:space="preserve"> that without the consent of the Agent, at no time shall the Revolving Commitment of any Additional Commitment Lender be less than $5,000,000.</w:t>
      </w:r>
    </w:p>
    <w:p>
      <w:pPr>
        <w:spacing w:after="0" w:line="126" w:lineRule="exact"/>
        <w:rPr>
          <w:sz w:val="20"/>
          <w:szCs w:val="20"/>
          <w:color w:val="auto"/>
        </w:rPr>
      </w:pPr>
    </w:p>
    <w:p>
      <w:pPr>
        <w:jc w:val="both"/>
        <w:ind w:left="220" w:firstLine="1624"/>
        <w:spacing w:after="0" w:line="252" w:lineRule="auto"/>
        <w:tabs>
          <w:tab w:leader="none" w:pos="2419" w:val="left"/>
        </w:tabs>
        <w:numPr>
          <w:ilvl w:val="1"/>
          <w:numId w:val="89"/>
        </w:numPr>
        <w:rPr>
          <w:rFonts w:ascii="Arial" w:cs="Arial" w:eastAsia="Arial" w:hAnsi="Arial"/>
          <w:sz w:val="13"/>
          <w:szCs w:val="13"/>
          <w:color w:val="auto"/>
        </w:rPr>
      </w:pPr>
      <w:r>
        <w:rPr>
          <w:rFonts w:ascii="Arial" w:cs="Arial" w:eastAsia="Arial" w:hAnsi="Arial"/>
          <w:sz w:val="13"/>
          <w:szCs w:val="13"/>
          <w:u w:val="single" w:color="auto"/>
          <w:color w:val="auto"/>
        </w:rPr>
        <w:t>Effective Date and Allocations</w:t>
      </w:r>
      <w:r>
        <w:rPr>
          <w:rFonts w:ascii="Arial" w:cs="Arial" w:eastAsia="Arial" w:hAnsi="Arial"/>
          <w:sz w:val="13"/>
          <w:szCs w:val="13"/>
          <w:color w:val="auto"/>
        </w:rPr>
        <w:t xml:space="preserve">. If the Aggregate Revolving Commitments are increased in accordance with this Section, the Agent, in consultation with the Lead Borrower, shall determine the effective date (the “Increase Effective Date”) and the final allocation of such increase. The Agent shall promptly notify the Lead Borrower and the Revolving Lenders of the final allocation of such increase and the Increase Effective Date and on the Increase Effective Date (i) the Aggregate Revolving Commitments under, and for all purposes of, this Agreement shall be increased by the aggregate amount of such Commitment Increases, and (ii) </w:t>
      </w:r>
      <w:r>
        <w:rPr>
          <w:rFonts w:ascii="Arial" w:cs="Arial" w:eastAsia="Arial" w:hAnsi="Arial"/>
          <w:sz w:val="13"/>
          <w:szCs w:val="13"/>
          <w:u w:val="single" w:color="auto"/>
          <w:color w:val="auto"/>
        </w:rPr>
        <w:t>Schedule 2.01</w:t>
      </w:r>
      <w:r>
        <w:rPr>
          <w:rFonts w:ascii="Arial" w:cs="Arial" w:eastAsia="Arial" w:hAnsi="Arial"/>
          <w:sz w:val="13"/>
          <w:szCs w:val="13"/>
          <w:color w:val="auto"/>
        </w:rPr>
        <w:t xml:space="preserve"> shall be deemed modified, without further action, to reflect the revised Commitments and Applicable Percentages of the Revolving Lenders.</w:t>
      </w:r>
    </w:p>
    <w:p>
      <w:pPr>
        <w:spacing w:after="0" w:line="124" w:lineRule="exact"/>
        <w:rPr>
          <w:rFonts w:ascii="Arial" w:cs="Arial" w:eastAsia="Arial" w:hAnsi="Arial"/>
          <w:sz w:val="13"/>
          <w:szCs w:val="13"/>
          <w:color w:val="auto"/>
        </w:rPr>
      </w:pPr>
    </w:p>
    <w:p>
      <w:pPr>
        <w:jc w:val="both"/>
        <w:ind w:left="220" w:firstLine="1620"/>
        <w:spacing w:after="0" w:line="300" w:lineRule="auto"/>
        <w:tabs>
          <w:tab w:leader="none" w:pos="2412" w:val="left"/>
        </w:tabs>
        <w:numPr>
          <w:ilvl w:val="1"/>
          <w:numId w:val="89"/>
        </w:numPr>
        <w:rPr>
          <w:rFonts w:ascii="Arial" w:cs="Arial" w:eastAsia="Arial" w:hAnsi="Arial"/>
          <w:sz w:val="11"/>
          <w:szCs w:val="11"/>
          <w:color w:val="auto"/>
        </w:rPr>
      </w:pPr>
      <w:r>
        <w:rPr>
          <w:rFonts w:ascii="Arial" w:cs="Arial" w:eastAsia="Arial" w:hAnsi="Arial"/>
          <w:sz w:val="11"/>
          <w:szCs w:val="11"/>
          <w:u w:val="single" w:color="auto"/>
          <w:color w:val="auto"/>
        </w:rPr>
        <w:t>Conditions to Effectiveness of Increase</w:t>
      </w:r>
      <w:r>
        <w:rPr>
          <w:rFonts w:ascii="Arial" w:cs="Arial" w:eastAsia="Arial" w:hAnsi="Arial"/>
          <w:sz w:val="11"/>
          <w:szCs w:val="11"/>
          <w:color w:val="auto"/>
        </w:rPr>
        <w:t>. As a condition precedent to such increase, (i) the Lead Borrower shall deliver to the Agent a certificate of each Loan Party dated as of the Increase Effective Date signed by a Responsible Officer of such Loan Party (A) certifying and attaching the resolutions adopted by such Loan Party approving or consenting to such increase, and</w:t>
      </w:r>
    </w:p>
    <w:p>
      <w:pPr>
        <w:jc w:val="both"/>
        <w:ind w:left="220" w:firstLine="5"/>
        <w:spacing w:after="0" w:line="269" w:lineRule="auto"/>
        <w:tabs>
          <w:tab w:leader="none" w:pos="427" w:val="left"/>
        </w:tabs>
        <w:numPr>
          <w:ilvl w:val="0"/>
          <w:numId w:val="90"/>
        </w:numPr>
        <w:rPr>
          <w:rFonts w:ascii="Arial" w:cs="Arial" w:eastAsia="Arial" w:hAnsi="Arial"/>
          <w:sz w:val="12"/>
          <w:szCs w:val="12"/>
          <w:color w:val="auto"/>
        </w:rPr>
      </w:pPr>
      <w:r>
        <w:rPr>
          <w:rFonts w:ascii="Arial" w:cs="Arial" w:eastAsia="Arial" w:hAnsi="Arial"/>
          <w:sz w:val="12"/>
          <w:szCs w:val="12"/>
          <w:color w:val="auto"/>
        </w:rPr>
        <w:t xml:space="preserve">in the case of the Borrowers, certifying that, before and after giving effect to such increase, (1) the representations and warranties contained in </w:t>
      </w:r>
      <w:r>
        <w:rPr>
          <w:rFonts w:ascii="Arial" w:cs="Arial" w:eastAsia="Arial" w:hAnsi="Arial"/>
          <w:sz w:val="12"/>
          <w:szCs w:val="12"/>
          <w:u w:val="single" w:color="auto"/>
          <w:color w:val="auto"/>
        </w:rPr>
        <w:t>Article V</w:t>
      </w:r>
      <w:r>
        <w:rPr>
          <w:rFonts w:ascii="Arial" w:cs="Arial" w:eastAsia="Arial" w:hAnsi="Arial"/>
          <w:sz w:val="12"/>
          <w:szCs w:val="12"/>
          <w:color w:val="auto"/>
        </w:rPr>
        <w:t xml:space="preserve"> and the other Loan Documents are true and correct in all material respects (without duplication of any materiality qualifiers set forth therein) on and as of the Increase Effective Date, except to the extent that such representations and warranties specifically refer to an earlier date, in which case they are true and correct in all material respects (without duplication of any materiality qualifiers set forth therein) as of such earlier date, and except that for purposes of this </w:t>
      </w:r>
      <w:r>
        <w:rPr>
          <w:rFonts w:ascii="Arial" w:cs="Arial" w:eastAsia="Arial" w:hAnsi="Arial"/>
          <w:sz w:val="12"/>
          <w:szCs w:val="12"/>
          <w:u w:val="single" w:color="auto"/>
          <w:color w:val="auto"/>
        </w:rPr>
        <w:t>Section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2.15</w:t>
      </w:r>
      <w:r>
        <w:rPr>
          <w:rFonts w:ascii="Arial" w:cs="Arial" w:eastAsia="Arial" w:hAnsi="Arial"/>
          <w:sz w:val="12"/>
          <w:szCs w:val="12"/>
          <w:color w:val="auto"/>
        </w:rPr>
        <w:t xml:space="preserve">, the representations and warranties contained in subsections (a) and (b) of </w:t>
      </w:r>
      <w:r>
        <w:rPr>
          <w:rFonts w:ascii="Arial" w:cs="Arial" w:eastAsia="Arial" w:hAnsi="Arial"/>
          <w:sz w:val="12"/>
          <w:szCs w:val="12"/>
          <w:u w:val="single" w:color="auto"/>
          <w:color w:val="auto"/>
        </w:rPr>
        <w:t>Section 5.05</w:t>
      </w:r>
      <w:r>
        <w:rPr>
          <w:rFonts w:ascii="Arial" w:cs="Arial" w:eastAsia="Arial" w:hAnsi="Arial"/>
          <w:sz w:val="12"/>
          <w:szCs w:val="12"/>
          <w:color w:val="auto"/>
        </w:rPr>
        <w:t xml:space="preserve"> shall be deemed to refer to the most recent statements furnished pursuant to clauses (a) and (b), respectively, of </w:t>
      </w:r>
      <w:r>
        <w:rPr>
          <w:rFonts w:ascii="Arial" w:cs="Arial" w:eastAsia="Arial" w:hAnsi="Arial"/>
          <w:sz w:val="12"/>
          <w:szCs w:val="12"/>
          <w:u w:val="single" w:color="auto"/>
          <w:color w:val="auto"/>
        </w:rPr>
        <w:t>Section 6.01</w:t>
      </w:r>
      <w:r>
        <w:rPr>
          <w:rFonts w:ascii="Arial" w:cs="Arial" w:eastAsia="Arial" w:hAnsi="Arial"/>
          <w:sz w:val="12"/>
          <w:szCs w:val="12"/>
          <w:color w:val="auto"/>
        </w:rPr>
        <w:t xml:space="preserve">, and (2) no Default or Event of Default exists or would arise therefrom, (ii) the Borrowers, the Agent, and any Additional Commitment Lender shall have executed and delivered a Joinder Agreement to the Loan Documents in such form as the Agent shall reasonably require; (iii) the Borrowers shall have paid such fees and other compensation to the Additional Commitment Lenders as the Lead Borrower and such Additional Commitment Lenders shall agree; (iv) the Borrowers shall have paid such arrangement fees to the Agent as the Lead Borrower and the Agent may agree; (v) if requested by the Agent, the Borrowers shall deliver an opinion or opinions, in form and substance reasonably satisfactory to the Agent, from counsel to the Borrowers reasonably satisfactory to the Agent and dated such date; (vi) the Borrowers and the Additional Commitment Lender shall have delivered such other instruments, documents and agreements as the Agent may reasonably have requested; and (vii) no Default or Event of Default exists. The Borrowers shall prepay any Committed Loans outstanding on the Increase Effective Date (and pay any additional amounts required pursuant to </w:t>
      </w:r>
      <w:r>
        <w:rPr>
          <w:rFonts w:ascii="Arial" w:cs="Arial" w:eastAsia="Arial" w:hAnsi="Arial"/>
          <w:sz w:val="12"/>
          <w:szCs w:val="12"/>
          <w:u w:val="single" w:color="auto"/>
          <w:color w:val="auto"/>
        </w:rPr>
        <w:t>Section 3.05</w:t>
      </w:r>
      <w:r>
        <w:rPr>
          <w:rFonts w:ascii="Arial" w:cs="Arial" w:eastAsia="Arial" w:hAnsi="Arial"/>
          <w:sz w:val="12"/>
          <w:szCs w:val="12"/>
          <w:color w:val="auto"/>
        </w:rPr>
        <w:t>) to the extent necessary to keep the outstanding Committed Loans ratable with any revised Applicable Percentages arising from any nonratable increase in the Aggregate Revolving Commitments under this Section.</w:t>
      </w:r>
    </w:p>
    <w:p>
      <w:pPr>
        <w:spacing w:after="0" w:line="117" w:lineRule="exact"/>
        <w:rPr>
          <w:rFonts w:ascii="Arial" w:cs="Arial" w:eastAsia="Arial" w:hAnsi="Arial"/>
          <w:sz w:val="12"/>
          <w:szCs w:val="12"/>
          <w:color w:val="auto"/>
        </w:rPr>
      </w:pPr>
    </w:p>
    <w:p>
      <w:pPr>
        <w:ind w:left="2400" w:hanging="560"/>
        <w:spacing w:after="0"/>
        <w:tabs>
          <w:tab w:leader="none" w:pos="2400" w:val="left"/>
        </w:tabs>
        <w:numPr>
          <w:ilvl w:val="1"/>
          <w:numId w:val="90"/>
        </w:numPr>
        <w:rPr>
          <w:rFonts w:ascii="Arial" w:cs="Arial" w:eastAsia="Arial" w:hAnsi="Arial"/>
          <w:sz w:val="13"/>
          <w:szCs w:val="13"/>
          <w:color w:val="auto"/>
        </w:rPr>
      </w:pPr>
      <w:r>
        <w:rPr>
          <w:rFonts w:ascii="Arial" w:cs="Arial" w:eastAsia="Arial" w:hAnsi="Arial"/>
          <w:sz w:val="13"/>
          <w:szCs w:val="13"/>
          <w:u w:val="single" w:color="auto"/>
          <w:color w:val="auto"/>
        </w:rPr>
        <w:t>Conflicting Provisions</w:t>
      </w:r>
      <w:r>
        <w:rPr>
          <w:rFonts w:ascii="Arial" w:cs="Arial" w:eastAsia="Arial" w:hAnsi="Arial"/>
          <w:sz w:val="13"/>
          <w:szCs w:val="13"/>
          <w:color w:val="auto"/>
        </w:rPr>
        <w:t xml:space="preserve">. This Section shall supersede any provisions in </w:t>
      </w:r>
      <w:r>
        <w:rPr>
          <w:rFonts w:ascii="Arial" w:cs="Arial" w:eastAsia="Arial" w:hAnsi="Arial"/>
          <w:sz w:val="13"/>
          <w:szCs w:val="13"/>
          <w:u w:val="single" w:color="auto"/>
          <w:color w:val="auto"/>
        </w:rPr>
        <w:t>Sections</w:t>
      </w:r>
    </w:p>
    <w:p>
      <w:pPr>
        <w:spacing w:after="0" w:line="14" w:lineRule="exact"/>
        <w:rPr>
          <w:sz w:val="20"/>
          <w:szCs w:val="20"/>
          <w:color w:val="auto"/>
        </w:rPr>
      </w:pPr>
    </w:p>
    <w:p>
      <w:pPr>
        <w:ind w:left="220"/>
        <w:spacing w:after="0"/>
        <w:rPr>
          <w:sz w:val="20"/>
          <w:szCs w:val="20"/>
          <w:color w:val="auto"/>
        </w:rPr>
      </w:pPr>
      <w:r>
        <w:rPr>
          <w:rFonts w:ascii="Arial" w:cs="Arial" w:eastAsia="Arial" w:hAnsi="Arial"/>
          <w:sz w:val="13"/>
          <w:szCs w:val="13"/>
          <w:u w:val="single" w:color="auto"/>
          <w:color w:val="auto"/>
        </w:rPr>
        <w:t>2.13</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10.01</w:t>
      </w:r>
      <w:r>
        <w:rPr>
          <w:rFonts w:ascii="Arial" w:cs="Arial" w:eastAsia="Arial" w:hAnsi="Arial"/>
          <w:sz w:val="13"/>
          <w:szCs w:val="13"/>
          <w:color w:val="auto"/>
        </w:rPr>
        <w:t xml:space="preserve"> to the contrary.</w:t>
      </w:r>
    </w:p>
    <w:p>
      <w:pPr>
        <w:spacing w:after="0" w:line="285"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80" w:name="page81"/>
    <w:bookmarkEnd w:id="80"/>
    <w:p>
      <w:pPr>
        <w:ind w:left="1040"/>
        <w:spacing w:after="0"/>
        <w:tabs>
          <w:tab w:leader="none" w:pos="1680" w:val="left"/>
        </w:tabs>
        <w:rPr>
          <w:sz w:val="20"/>
          <w:szCs w:val="20"/>
          <w:color w:val="auto"/>
        </w:rPr>
      </w:pPr>
      <w:r>
        <w:rPr>
          <w:rFonts w:ascii="Arial" w:cs="Arial" w:eastAsia="Arial" w:hAnsi="Arial"/>
          <w:sz w:val="13"/>
          <w:szCs w:val="13"/>
          <w:b w:val="1"/>
          <w:bCs w:val="1"/>
          <w:color w:val="auto"/>
        </w:rPr>
        <w:t>2.16</w:t>
      </w:r>
      <w:r>
        <w:rPr>
          <w:sz w:val="20"/>
          <w:szCs w:val="20"/>
          <w:color w:val="auto"/>
        </w:rPr>
        <w:tab/>
      </w:r>
      <w:r>
        <w:rPr>
          <w:rFonts w:ascii="Arial" w:cs="Arial" w:eastAsia="Arial" w:hAnsi="Arial"/>
          <w:sz w:val="11"/>
          <w:szCs w:val="11"/>
          <w:b w:val="1"/>
          <w:bCs w:val="1"/>
          <w:color w:val="auto"/>
        </w:rPr>
        <w:t>Defaulting Lenders.</w:t>
      </w:r>
    </w:p>
    <w:p>
      <w:pPr>
        <w:spacing w:after="0" w:line="153" w:lineRule="exact"/>
        <w:rPr>
          <w:sz w:val="20"/>
          <w:szCs w:val="20"/>
          <w:color w:val="auto"/>
        </w:rPr>
      </w:pPr>
    </w:p>
    <w:p>
      <w:pPr>
        <w:ind w:left="220" w:firstLine="1624"/>
        <w:spacing w:after="0" w:line="271" w:lineRule="auto"/>
        <w:tabs>
          <w:tab w:leader="none" w:pos="2412" w:val="left"/>
        </w:tabs>
        <w:numPr>
          <w:ilvl w:val="0"/>
          <w:numId w:val="91"/>
        </w:numPr>
        <w:rPr>
          <w:rFonts w:ascii="Arial" w:cs="Arial" w:eastAsia="Arial" w:hAnsi="Arial"/>
          <w:sz w:val="13"/>
          <w:szCs w:val="13"/>
          <w:color w:val="auto"/>
        </w:rPr>
      </w:pPr>
      <w:r>
        <w:rPr>
          <w:rFonts w:ascii="Arial" w:cs="Arial" w:eastAsia="Arial" w:hAnsi="Arial"/>
          <w:sz w:val="13"/>
          <w:szCs w:val="13"/>
          <w:u w:val="single" w:color="auto"/>
          <w:color w:val="auto"/>
        </w:rPr>
        <w:t>Adjustments</w:t>
      </w:r>
      <w:r>
        <w:rPr>
          <w:rFonts w:ascii="Arial" w:cs="Arial" w:eastAsia="Arial" w:hAnsi="Arial"/>
          <w:sz w:val="13"/>
          <w:szCs w:val="13"/>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12" w:lineRule="exact"/>
        <w:rPr>
          <w:rFonts w:ascii="Arial" w:cs="Arial" w:eastAsia="Arial" w:hAnsi="Arial"/>
          <w:sz w:val="13"/>
          <w:szCs w:val="13"/>
          <w:color w:val="auto"/>
        </w:rPr>
      </w:pPr>
    </w:p>
    <w:p>
      <w:pPr>
        <w:ind w:left="1080" w:firstLine="1483"/>
        <w:spacing w:after="0" w:line="271" w:lineRule="auto"/>
        <w:tabs>
          <w:tab w:leader="none" w:pos="3127" w:val="left"/>
        </w:tabs>
        <w:numPr>
          <w:ilvl w:val="1"/>
          <w:numId w:val="91"/>
        </w:numPr>
        <w:rPr>
          <w:rFonts w:ascii="Arial" w:cs="Arial" w:eastAsia="Arial" w:hAnsi="Arial"/>
          <w:sz w:val="13"/>
          <w:szCs w:val="13"/>
          <w:color w:val="auto"/>
        </w:rPr>
      </w:pPr>
      <w:r>
        <w:rPr>
          <w:rFonts w:ascii="Arial" w:cs="Arial" w:eastAsia="Arial" w:hAnsi="Arial"/>
          <w:sz w:val="13"/>
          <w:szCs w:val="13"/>
          <w:u w:val="single" w:color="auto"/>
          <w:color w:val="auto"/>
        </w:rPr>
        <w:t>Waivers and Amendments</w:t>
      </w:r>
      <w:r>
        <w:rPr>
          <w:rFonts w:ascii="Arial" w:cs="Arial" w:eastAsia="Arial" w:hAnsi="Arial"/>
          <w:sz w:val="13"/>
          <w:szCs w:val="13"/>
          <w:color w:val="auto"/>
        </w:rPr>
        <w:t xml:space="preserve">. Such Defaulting Lender’s right to approve or disapprove any amendment, waiver or consent with respect to this Agreement shall be restricted as set forth in the definition of “Required Lenders” and </w:t>
      </w:r>
      <w:r>
        <w:rPr>
          <w:rFonts w:ascii="Arial" w:cs="Arial" w:eastAsia="Arial" w:hAnsi="Arial"/>
          <w:sz w:val="13"/>
          <w:szCs w:val="13"/>
          <w:u w:val="single" w:color="auto"/>
          <w:color w:val="auto"/>
        </w:rPr>
        <w:t>Section 10.01</w:t>
      </w:r>
      <w:r>
        <w:rPr>
          <w:rFonts w:ascii="Arial" w:cs="Arial" w:eastAsia="Arial" w:hAnsi="Arial"/>
          <w:sz w:val="13"/>
          <w:szCs w:val="13"/>
          <w:color w:val="auto"/>
        </w:rPr>
        <w:t>.</w:t>
      </w:r>
    </w:p>
    <w:p>
      <w:pPr>
        <w:spacing w:after="0" w:line="112" w:lineRule="exact"/>
        <w:rPr>
          <w:rFonts w:ascii="Arial" w:cs="Arial" w:eastAsia="Arial" w:hAnsi="Arial"/>
          <w:sz w:val="13"/>
          <w:szCs w:val="13"/>
          <w:color w:val="auto"/>
        </w:rPr>
      </w:pPr>
    </w:p>
    <w:p>
      <w:pPr>
        <w:jc w:val="both"/>
        <w:ind w:left="1080" w:firstLine="1484"/>
        <w:spacing w:after="0" w:line="269" w:lineRule="auto"/>
        <w:tabs>
          <w:tab w:leader="none" w:pos="3165" w:val="left"/>
        </w:tabs>
        <w:numPr>
          <w:ilvl w:val="1"/>
          <w:numId w:val="91"/>
        </w:numPr>
        <w:rPr>
          <w:rFonts w:ascii="Arial" w:cs="Arial" w:eastAsia="Arial" w:hAnsi="Arial"/>
          <w:sz w:val="12"/>
          <w:szCs w:val="12"/>
          <w:color w:val="auto"/>
        </w:rPr>
      </w:pPr>
      <w:r>
        <w:rPr>
          <w:rFonts w:ascii="Arial" w:cs="Arial" w:eastAsia="Arial" w:hAnsi="Arial"/>
          <w:sz w:val="12"/>
          <w:szCs w:val="12"/>
          <w:u w:val="single" w:color="auto"/>
          <w:color w:val="auto"/>
        </w:rPr>
        <w:t>Defaulting Lender Waterfall</w:t>
      </w:r>
      <w:r>
        <w:rPr>
          <w:rFonts w:ascii="Arial" w:cs="Arial" w:eastAsia="Arial" w:hAnsi="Arial"/>
          <w:sz w:val="12"/>
          <w:szCs w:val="12"/>
          <w:color w:val="auto"/>
        </w:rPr>
        <w:t xml:space="preserve">. Any payment of principal, interest, fees or other amounts received by the Agent for the account of such Defaulting Lender (whether voluntary or mandatory, at maturity, pursuant to </w:t>
      </w:r>
      <w:r>
        <w:rPr>
          <w:rFonts w:ascii="Arial" w:cs="Arial" w:eastAsia="Arial" w:hAnsi="Arial"/>
          <w:sz w:val="12"/>
          <w:szCs w:val="12"/>
          <w:u w:val="single" w:color="auto"/>
          <w:color w:val="auto"/>
        </w:rPr>
        <w:t>Article VIII</w:t>
      </w:r>
      <w:r>
        <w:rPr>
          <w:rFonts w:ascii="Arial" w:cs="Arial" w:eastAsia="Arial" w:hAnsi="Arial"/>
          <w:sz w:val="12"/>
          <w:szCs w:val="12"/>
          <w:color w:val="auto"/>
        </w:rPr>
        <w:t xml:space="preserve"> or otherwise) or received by the Agent from a Defaulting Lender pursuant to </w:t>
      </w:r>
      <w:r>
        <w:rPr>
          <w:rFonts w:ascii="Arial" w:cs="Arial" w:eastAsia="Arial" w:hAnsi="Arial"/>
          <w:sz w:val="12"/>
          <w:szCs w:val="12"/>
          <w:u w:val="single" w:color="auto"/>
          <w:color w:val="auto"/>
        </w:rPr>
        <w:t>Section 10.08</w:t>
      </w:r>
      <w:r>
        <w:rPr>
          <w:rFonts w:ascii="Arial" w:cs="Arial" w:eastAsia="Arial" w:hAnsi="Arial"/>
          <w:sz w:val="12"/>
          <w:szCs w:val="12"/>
          <w:color w:val="auto"/>
        </w:rPr>
        <w:t xml:space="preserve"> shall be applied at such time or times as may be determined by the Agent as follows: first, to the payment of any amounts owing by such Defaulting Lender to the Agent hereunder; second, to the payment on a pro rata basis of any amounts owing by such Defaulting Lender to the L/C Issuer or Swing Line Lender hereunder; third, to Cash Collateralize the L/C Issuer’s Fronting Exposure with respect to such Defaulting Lender; fourth, as the Lead Borrower may request (so long as no Default or Event of Default exists), to the funding of any Loan in respect of which such Defaulting Lender has failed to fund its portion thereof as required by this Agreement, as determined by the Agent; fifth, if so determined by the Agent and the Lead Borrower, to be held in a deposit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sixth, to the payment of any amounts owing to the Lenders, the L/C Issuer or Swing Line Lender as a result of any judgment of a court of competent jurisdiction obtained by any Lender, the L/C Issuer or the Swing Line Lender against such Defaulting Lender as a result of such Defaulting Lender’s breach of its obligations under this Agreement; seventh, so long as no Default or Event of Default exists, to the payment of any amounts owing to the Borrowers as a result of any judgment of a court of competent jurisdiction obtained by the Borrowers against such Defaulting Lender as a result of such Defaulting Lender’s breach of its obligations under this Agreement; and eighth, to such Defaulting Lender or as otherwise directed by a court of competent jurisdiction; provided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Arial" w:cs="Arial" w:eastAsia="Arial" w:hAnsi="Arial"/>
          <w:sz w:val="12"/>
          <w:szCs w:val="12"/>
          <w:u w:val="single" w:color="auto"/>
          <w:color w:val="auto"/>
        </w:rPr>
        <w:t>Section 4.02</w:t>
      </w:r>
      <w:r>
        <w:rPr>
          <w:rFonts w:ascii="Arial" w:cs="Arial" w:eastAsia="Arial" w:hAnsi="Arial"/>
          <w:sz w:val="12"/>
          <w:szCs w:val="12"/>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 Line Loans are held by the Revolving Lenders pro rata in accordance with the Commitments hereunder without giving effect to </w:t>
      </w:r>
      <w:r>
        <w:rPr>
          <w:rFonts w:ascii="Arial" w:cs="Arial" w:eastAsia="Arial" w:hAnsi="Arial"/>
          <w:sz w:val="12"/>
          <w:szCs w:val="12"/>
          <w:u w:val="single" w:color="auto"/>
          <w:color w:val="auto"/>
        </w:rPr>
        <w:t>Section 2.16(a)(iv)</w:t>
      </w:r>
      <w:r>
        <w:rPr>
          <w:rFonts w:ascii="Arial" w:cs="Arial" w:eastAsia="Arial" w:hAnsi="Arial"/>
          <w:sz w:val="12"/>
          <w:szCs w:val="12"/>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2"/>
          <w:szCs w:val="12"/>
          <w:u w:val="single" w:color="auto"/>
          <w:color w:val="auto"/>
        </w:rPr>
        <w:t>Section 2.16(a)(ii)</w:t>
      </w:r>
      <w:r>
        <w:rPr>
          <w:rFonts w:ascii="Arial" w:cs="Arial" w:eastAsia="Arial" w:hAnsi="Arial"/>
          <w:sz w:val="12"/>
          <w:szCs w:val="12"/>
          <w:color w:val="auto"/>
        </w:rPr>
        <w:t xml:space="preserve"> shall be deemed paid to and redirected by such Defaulting Lender, and each Lender irrevocably consents hereto.</w:t>
      </w:r>
    </w:p>
    <w:p>
      <w:pPr>
        <w:spacing w:after="0" w:line="269" w:lineRule="exact"/>
        <w:rPr>
          <w:rFonts w:ascii="Arial" w:cs="Arial" w:eastAsia="Arial" w:hAnsi="Arial"/>
          <w:sz w:val="12"/>
          <w:szCs w:val="12"/>
          <w:color w:val="auto"/>
        </w:rPr>
      </w:pPr>
    </w:p>
    <w:p>
      <w:pPr>
        <w:ind w:left="3220" w:hanging="623"/>
        <w:spacing w:after="0"/>
        <w:tabs>
          <w:tab w:leader="none" w:pos="3220" w:val="left"/>
        </w:tabs>
        <w:numPr>
          <w:ilvl w:val="2"/>
          <w:numId w:val="91"/>
        </w:numPr>
        <w:rPr>
          <w:rFonts w:ascii="Arial" w:cs="Arial" w:eastAsia="Arial" w:hAnsi="Arial"/>
          <w:sz w:val="13"/>
          <w:szCs w:val="13"/>
          <w:color w:val="auto"/>
        </w:rPr>
      </w:pPr>
      <w:r>
        <w:rPr>
          <w:rFonts w:ascii="Arial" w:cs="Arial" w:eastAsia="Arial" w:hAnsi="Arial"/>
          <w:sz w:val="13"/>
          <w:szCs w:val="13"/>
          <w:u w:val="single" w:color="auto"/>
          <w:color w:val="auto"/>
        </w:rPr>
        <w:t>Certain Fees</w:t>
      </w:r>
      <w:r>
        <w:rPr>
          <w:rFonts w:ascii="Arial" w:cs="Arial" w:eastAsia="Arial" w:hAnsi="Arial"/>
          <w:sz w:val="13"/>
          <w:szCs w:val="13"/>
          <w:color w:val="auto"/>
        </w:rPr>
        <w:t>.</w:t>
      </w:r>
    </w:p>
    <w:p>
      <w:pPr>
        <w:spacing w:after="0" w:line="147" w:lineRule="exact"/>
        <w:rPr>
          <w:rFonts w:ascii="Arial" w:cs="Arial" w:eastAsia="Arial" w:hAnsi="Arial"/>
          <w:sz w:val="13"/>
          <w:szCs w:val="13"/>
          <w:color w:val="auto"/>
        </w:rPr>
      </w:pPr>
    </w:p>
    <w:p>
      <w:pPr>
        <w:ind w:left="3920" w:hanging="610"/>
        <w:spacing w:after="0"/>
        <w:tabs>
          <w:tab w:leader="none" w:pos="3920" w:val="left"/>
        </w:tabs>
        <w:numPr>
          <w:ilvl w:val="3"/>
          <w:numId w:val="91"/>
        </w:numPr>
        <w:rPr>
          <w:rFonts w:ascii="Arial" w:cs="Arial" w:eastAsia="Arial" w:hAnsi="Arial"/>
          <w:sz w:val="12"/>
          <w:szCs w:val="12"/>
          <w:color w:val="auto"/>
        </w:rPr>
      </w:pPr>
      <w:r>
        <w:rPr>
          <w:rFonts w:ascii="Arial" w:cs="Arial" w:eastAsia="Arial" w:hAnsi="Arial"/>
          <w:sz w:val="12"/>
          <w:szCs w:val="12"/>
          <w:color w:val="auto"/>
        </w:rPr>
        <w:t xml:space="preserve">No Defaulting Lender shall be entitled to receive any fee payable under </w:t>
      </w:r>
      <w:r>
        <w:rPr>
          <w:rFonts w:ascii="Arial" w:cs="Arial" w:eastAsia="Arial" w:hAnsi="Arial"/>
          <w:sz w:val="12"/>
          <w:szCs w:val="12"/>
          <w:u w:val="single" w:color="auto"/>
          <w:color w:val="auto"/>
        </w:rPr>
        <w:t>Section 2.09(a)</w:t>
      </w:r>
      <w:r>
        <w:rPr>
          <w:rFonts w:ascii="Arial" w:cs="Arial" w:eastAsia="Arial" w:hAnsi="Arial"/>
          <w:sz w:val="12"/>
          <w:szCs w:val="12"/>
          <w:color w:val="auto"/>
        </w:rPr>
        <w:t xml:space="preserve"> for any period during which that Lender is a</w:t>
      </w:r>
    </w:p>
    <w:p>
      <w:pPr>
        <w:spacing w:after="0" w:line="25" w:lineRule="exact"/>
        <w:rPr>
          <w:rFonts w:ascii="Arial" w:cs="Arial" w:eastAsia="Arial" w:hAnsi="Arial"/>
          <w:sz w:val="12"/>
          <w:szCs w:val="12"/>
          <w:color w:val="auto"/>
        </w:rPr>
      </w:pPr>
    </w:p>
    <w:p>
      <w:pPr>
        <w:ind w:left="1080"/>
        <w:spacing w:after="0"/>
        <w:rPr>
          <w:rFonts w:ascii="Arial" w:cs="Arial" w:eastAsia="Arial" w:hAnsi="Arial"/>
          <w:sz w:val="12"/>
          <w:szCs w:val="12"/>
          <w:color w:val="auto"/>
        </w:rPr>
      </w:pPr>
      <w:r>
        <w:rPr>
          <w:rFonts w:ascii="Arial" w:cs="Arial" w:eastAsia="Arial" w:hAnsi="Arial"/>
          <w:sz w:val="13"/>
          <w:szCs w:val="13"/>
          <w:color w:val="auto"/>
        </w:rPr>
        <w:t>Defaulting Lender (and the</w:t>
      </w:r>
    </w:p>
    <w:p>
      <w:pPr>
        <w:spacing w:after="0" w:line="285"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4" w:right="439" w:bottom="1440" w:gutter="0" w:footer="0" w:header="0"/>
        </w:sectPr>
      </w:pPr>
    </w:p>
    <w:bookmarkStart w:id="81" w:name="page82"/>
    <w:bookmarkEnd w:id="81"/>
    <w:p>
      <w:pPr>
        <w:ind w:left="1080"/>
        <w:spacing w:after="0"/>
        <w:rPr>
          <w:sz w:val="20"/>
          <w:szCs w:val="20"/>
          <w:color w:val="auto"/>
        </w:rPr>
      </w:pPr>
      <w:r>
        <w:rPr>
          <w:rFonts w:ascii="Arial" w:cs="Arial" w:eastAsia="Arial" w:hAnsi="Arial"/>
          <w:sz w:val="13"/>
          <w:szCs w:val="13"/>
          <w:color w:val="auto"/>
        </w:rPr>
        <w:t>Borrowers shall not be required to pay any such fee that otherwise would have been required to have been paid to that Defaulting Lender).</w:t>
      </w:r>
    </w:p>
    <w:p>
      <w:pPr>
        <w:spacing w:after="0" w:line="149" w:lineRule="exact"/>
        <w:rPr>
          <w:sz w:val="20"/>
          <w:szCs w:val="20"/>
          <w:color w:val="auto"/>
        </w:rPr>
      </w:pPr>
    </w:p>
    <w:p>
      <w:pPr>
        <w:ind w:left="1080" w:firstLine="2230"/>
        <w:spacing w:after="0" w:line="271" w:lineRule="auto"/>
        <w:tabs>
          <w:tab w:leader="none" w:pos="3923" w:val="left"/>
        </w:tabs>
        <w:numPr>
          <w:ilvl w:val="2"/>
          <w:numId w:val="92"/>
        </w:numPr>
        <w:rPr>
          <w:rFonts w:ascii="Arial" w:cs="Arial" w:eastAsia="Arial" w:hAnsi="Arial"/>
          <w:sz w:val="13"/>
          <w:szCs w:val="13"/>
          <w:color w:val="auto"/>
        </w:rPr>
      </w:pPr>
      <w:r>
        <w:rPr>
          <w:rFonts w:ascii="Arial" w:cs="Arial" w:eastAsia="Arial" w:hAnsi="Arial"/>
          <w:sz w:val="13"/>
          <w:szCs w:val="13"/>
          <w:color w:val="auto"/>
        </w:rPr>
        <w:t xml:space="preserve">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Arial" w:cs="Arial" w:eastAsia="Arial" w:hAnsi="Arial"/>
          <w:sz w:val="13"/>
          <w:szCs w:val="13"/>
          <w:u w:val="single" w:color="auto"/>
          <w:color w:val="auto"/>
        </w:rPr>
        <w:t>Section 2.03(g)</w:t>
      </w:r>
      <w:r>
        <w:rPr>
          <w:rFonts w:ascii="Arial" w:cs="Arial" w:eastAsia="Arial" w:hAnsi="Arial"/>
          <w:sz w:val="13"/>
          <w:szCs w:val="13"/>
          <w:color w:val="auto"/>
        </w:rPr>
        <w:t>.</w:t>
      </w:r>
    </w:p>
    <w:p>
      <w:pPr>
        <w:spacing w:after="0" w:line="112" w:lineRule="exact"/>
        <w:rPr>
          <w:rFonts w:ascii="Arial" w:cs="Arial" w:eastAsia="Arial" w:hAnsi="Arial"/>
          <w:sz w:val="13"/>
          <w:szCs w:val="13"/>
          <w:color w:val="auto"/>
        </w:rPr>
      </w:pPr>
    </w:p>
    <w:p>
      <w:pPr>
        <w:jc w:val="both"/>
        <w:ind w:left="1080" w:firstLine="2230"/>
        <w:spacing w:after="0" w:line="252" w:lineRule="auto"/>
        <w:tabs>
          <w:tab w:leader="none" w:pos="3923" w:val="left"/>
        </w:tabs>
        <w:numPr>
          <w:ilvl w:val="2"/>
          <w:numId w:val="92"/>
        </w:numPr>
        <w:rPr>
          <w:rFonts w:ascii="Arial" w:cs="Arial" w:eastAsia="Arial" w:hAnsi="Arial"/>
          <w:sz w:val="13"/>
          <w:szCs w:val="13"/>
          <w:color w:val="auto"/>
        </w:rPr>
      </w:pPr>
      <w:r>
        <w:rPr>
          <w:rFonts w:ascii="Arial" w:cs="Arial" w:eastAsia="Arial" w:hAnsi="Arial"/>
          <w:sz w:val="13"/>
          <w:szCs w:val="13"/>
          <w:color w:val="auto"/>
        </w:rPr>
        <w:t xml:space="preserve">With respect to any fee payable under </w:t>
      </w:r>
      <w:r>
        <w:rPr>
          <w:rFonts w:ascii="Arial" w:cs="Arial" w:eastAsia="Arial" w:hAnsi="Arial"/>
          <w:sz w:val="13"/>
          <w:szCs w:val="13"/>
          <w:u w:val="single" w:color="auto"/>
          <w:color w:val="auto"/>
        </w:rPr>
        <w:t>Section 2.09(a)</w:t>
      </w:r>
      <w:r>
        <w:rPr>
          <w:rFonts w:ascii="Arial" w:cs="Arial" w:eastAsia="Arial" w:hAnsi="Arial"/>
          <w:sz w:val="13"/>
          <w:szCs w:val="13"/>
          <w:color w:val="auto"/>
        </w:rPr>
        <w:t xml:space="preserve"> or any Letter of Credit Fee not required to be paid to any Defaulting Lender pursuant to </w:t>
      </w:r>
      <w:r>
        <w:rPr>
          <w:rFonts w:ascii="Arial" w:cs="Arial" w:eastAsia="Arial" w:hAnsi="Arial"/>
          <w:sz w:val="13"/>
          <w:szCs w:val="13"/>
          <w:u w:val="single" w:color="auto"/>
          <w:color w:val="auto"/>
        </w:rPr>
        <w:t>clause (A)</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(B)</w:t>
      </w:r>
      <w:r>
        <w:rPr>
          <w:rFonts w:ascii="Arial" w:cs="Arial" w:eastAsia="Arial" w:hAnsi="Arial"/>
          <w:sz w:val="13"/>
          <w:szCs w:val="13"/>
          <w:color w:val="auto"/>
        </w:rPr>
        <w:t xml:space="preserve"> above, the Borrowers shall (x) pay to each Non-Defaulting Lender that portion of any such fee otherwise payable to such Defaulting Lender with respect to such Defaulting Lender’s participation in L/C Obligations or Swing Line Loans that has been reallocated to such Non- Defaulting Lender pursuant to </w:t>
      </w:r>
      <w:r>
        <w:rPr>
          <w:rFonts w:ascii="Arial" w:cs="Arial" w:eastAsia="Arial" w:hAnsi="Arial"/>
          <w:sz w:val="13"/>
          <w:szCs w:val="13"/>
          <w:u w:val="single" w:color="auto"/>
          <w:color w:val="auto"/>
        </w:rPr>
        <w:t>clause (iv)</w:t>
      </w:r>
      <w:r>
        <w:rPr>
          <w:rFonts w:ascii="Arial" w:cs="Arial" w:eastAsia="Arial" w:hAnsi="Arial"/>
          <w:sz w:val="13"/>
          <w:szCs w:val="13"/>
          <w:color w:val="auto"/>
        </w:rPr>
        <w:t xml:space="preserve"> below, (y) pay to the L/C Issuer and Swing Line Lender, as applicable, the amount of any such fee otherwise payable to such Defaulting Lender to the extent allocable to such L/C Issuer’s or Swing Line Lender’s Fronting Exposure to such Defaulting Lender, and (z) not be required to pay the remaining amount of any such fee.</w:t>
      </w:r>
    </w:p>
    <w:p>
      <w:pPr>
        <w:spacing w:after="0" w:line="124" w:lineRule="exact"/>
        <w:rPr>
          <w:rFonts w:ascii="Arial" w:cs="Arial" w:eastAsia="Arial" w:hAnsi="Arial"/>
          <w:sz w:val="13"/>
          <w:szCs w:val="13"/>
          <w:color w:val="auto"/>
        </w:rPr>
      </w:pPr>
    </w:p>
    <w:p>
      <w:pPr>
        <w:jc w:val="both"/>
        <w:ind w:left="1080" w:firstLine="1483"/>
        <w:spacing w:after="0" w:line="250" w:lineRule="auto"/>
        <w:tabs>
          <w:tab w:leader="none" w:pos="3193" w:val="left"/>
        </w:tabs>
        <w:numPr>
          <w:ilvl w:val="1"/>
          <w:numId w:val="93"/>
        </w:numPr>
        <w:rPr>
          <w:rFonts w:ascii="Arial" w:cs="Arial" w:eastAsia="Arial" w:hAnsi="Arial"/>
          <w:sz w:val="13"/>
          <w:szCs w:val="13"/>
          <w:color w:val="auto"/>
        </w:rPr>
      </w:pPr>
      <w:r>
        <w:rPr>
          <w:rFonts w:ascii="Arial" w:cs="Arial" w:eastAsia="Arial" w:hAnsi="Arial"/>
          <w:sz w:val="13"/>
          <w:szCs w:val="13"/>
          <w:u w:val="single" w:color="auto"/>
          <w:color w:val="auto"/>
        </w:rPr>
        <w:t>Reallocation of Applicable Percentages to Reduce Fronting Exposure</w:t>
      </w:r>
      <w:r>
        <w:rPr>
          <w:rFonts w:ascii="Arial" w:cs="Arial" w:eastAsia="Arial" w:hAnsi="Arial"/>
          <w:sz w:val="13"/>
          <w:szCs w:val="13"/>
          <w:color w:val="auto"/>
        </w:rPr>
        <w:t xml:space="preserve">. All or any part of such Defaulting Lender’s participation in L/C Obligations and Swing Line Loans shall be reallocated among the Non-Defaulting Lenders in accordance with their respective Applicable Percentages (calculated without regard to such Defaulting Lender’s Commitment) but only to the extent that (x) the conditions set forth in </w:t>
      </w:r>
      <w:r>
        <w:rPr>
          <w:rFonts w:ascii="Arial" w:cs="Arial" w:eastAsia="Arial" w:hAnsi="Arial"/>
          <w:sz w:val="13"/>
          <w:szCs w:val="13"/>
          <w:u w:val="single" w:color="auto"/>
          <w:color w:val="auto"/>
        </w:rPr>
        <w:t>Section 4.02</w:t>
      </w:r>
      <w:r>
        <w:rPr>
          <w:rFonts w:ascii="Arial" w:cs="Arial" w:eastAsia="Arial" w:hAnsi="Arial"/>
          <w:sz w:val="13"/>
          <w:szCs w:val="13"/>
          <w:color w:val="auto"/>
        </w:rPr>
        <w:t xml:space="preserve"> are satisfied at the time of such reallocation (and, unless the Borrowers shall have otherwise notified the Agent at such time, the Borrowers shall be deemed to have represented and warranted that such conditions are satisfied at such time), and (y) such reallocation does not cause the aggregate Outstanding Amount of Obligations of any Non-Defaulting Lender to exceed such Non-Defaulting Lender’s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25" w:lineRule="exact"/>
        <w:rPr>
          <w:rFonts w:ascii="Arial" w:cs="Arial" w:eastAsia="Arial" w:hAnsi="Arial"/>
          <w:sz w:val="13"/>
          <w:szCs w:val="13"/>
          <w:color w:val="auto"/>
        </w:rPr>
      </w:pPr>
    </w:p>
    <w:p>
      <w:pPr>
        <w:jc w:val="both"/>
        <w:ind w:left="1080" w:firstLine="1484"/>
        <w:spacing w:after="0" w:line="290" w:lineRule="auto"/>
        <w:tabs>
          <w:tab w:leader="none" w:pos="3157" w:val="left"/>
        </w:tabs>
        <w:numPr>
          <w:ilvl w:val="1"/>
          <w:numId w:val="93"/>
        </w:numPr>
        <w:rPr>
          <w:rFonts w:ascii="Arial" w:cs="Arial" w:eastAsia="Arial" w:hAnsi="Arial"/>
          <w:sz w:val="12"/>
          <w:szCs w:val="12"/>
          <w:color w:val="auto"/>
        </w:rPr>
      </w:pPr>
      <w:r>
        <w:rPr>
          <w:rFonts w:ascii="Arial" w:cs="Arial" w:eastAsia="Arial" w:hAnsi="Arial"/>
          <w:sz w:val="12"/>
          <w:szCs w:val="12"/>
          <w:u w:val="single" w:color="auto"/>
          <w:color w:val="auto"/>
        </w:rPr>
        <w:t>Cash Collateral, Repayment of Swing Line Loans</w:t>
      </w:r>
      <w:r>
        <w:rPr>
          <w:rFonts w:ascii="Arial" w:cs="Arial" w:eastAsia="Arial" w:hAnsi="Arial"/>
          <w:sz w:val="12"/>
          <w:szCs w:val="12"/>
          <w:color w:val="auto"/>
        </w:rPr>
        <w:t xml:space="preserve">. If the reallocation described in clause (a)(iv) above cannot, or can only partially, be effected, the Borrowers shall, without prejudice to any right or remedy available to them hereunder or under applicable Law, (x) first, prepay Swing Line Loans in an amount equal to the Swing Line Lenders’ Fronting Exposure and (y) second, Cash Collateralize the L/C Issuers’ Fronting Exposure in accordance with the procedures set forth in </w:t>
      </w:r>
      <w:r>
        <w:rPr>
          <w:rFonts w:ascii="Arial" w:cs="Arial" w:eastAsia="Arial" w:hAnsi="Arial"/>
          <w:sz w:val="12"/>
          <w:szCs w:val="12"/>
          <w:u w:val="single" w:color="auto"/>
          <w:color w:val="auto"/>
        </w:rPr>
        <w:t>Section 2.03(g)</w:t>
      </w:r>
      <w:r>
        <w:rPr>
          <w:rFonts w:ascii="Arial" w:cs="Arial" w:eastAsia="Arial" w:hAnsi="Arial"/>
          <w:sz w:val="12"/>
          <w:szCs w:val="12"/>
          <w:color w:val="auto"/>
        </w:rPr>
        <w:t>.</w:t>
      </w:r>
    </w:p>
    <w:p>
      <w:pPr>
        <w:spacing w:after="0" w:line="103" w:lineRule="exact"/>
        <w:rPr>
          <w:rFonts w:ascii="Arial" w:cs="Arial" w:eastAsia="Arial" w:hAnsi="Arial"/>
          <w:sz w:val="12"/>
          <w:szCs w:val="12"/>
          <w:color w:val="auto"/>
        </w:rPr>
      </w:pPr>
    </w:p>
    <w:p>
      <w:pPr>
        <w:jc w:val="both"/>
        <w:ind w:left="220" w:firstLine="1624"/>
        <w:spacing w:after="0" w:line="250" w:lineRule="auto"/>
        <w:tabs>
          <w:tab w:leader="none" w:pos="2419" w:val="left"/>
        </w:tabs>
        <w:numPr>
          <w:ilvl w:val="0"/>
          <w:numId w:val="94"/>
        </w:numPr>
        <w:rPr>
          <w:rFonts w:ascii="Arial" w:cs="Arial" w:eastAsia="Arial" w:hAnsi="Arial"/>
          <w:sz w:val="13"/>
          <w:szCs w:val="13"/>
          <w:color w:val="auto"/>
        </w:rPr>
      </w:pPr>
      <w:r>
        <w:rPr>
          <w:rFonts w:ascii="Arial" w:cs="Arial" w:eastAsia="Arial" w:hAnsi="Arial"/>
          <w:sz w:val="13"/>
          <w:szCs w:val="13"/>
          <w:u w:val="single" w:color="auto"/>
          <w:color w:val="auto"/>
        </w:rPr>
        <w:t>Defaulting Lender Cure</w:t>
      </w:r>
      <w:r>
        <w:rPr>
          <w:rFonts w:ascii="Arial" w:cs="Arial" w:eastAsia="Arial" w:hAnsi="Arial"/>
          <w:sz w:val="13"/>
          <w:szCs w:val="13"/>
          <w:color w:val="auto"/>
        </w:rPr>
        <w:t xml:space="preserve">. If the Lead Borrower, the Agent, the Swing Line Lender and the L/C Issuer agree in writing that a Lender is no longer a Defaulting Lender, the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Agent may determine to be necessary to cause the Committed Loans and funded and unfunded participations in Letters of Credit and Swing Line Loans to be held on a pro rata basis by the Revolving Lenders in accordance with their Applicable Percentages (without giving effect to </w:t>
      </w:r>
      <w:r>
        <w:rPr>
          <w:rFonts w:ascii="Arial" w:cs="Arial" w:eastAsia="Arial" w:hAnsi="Arial"/>
          <w:sz w:val="13"/>
          <w:szCs w:val="13"/>
          <w:u w:val="single" w:color="auto"/>
          <w:color w:val="auto"/>
        </w:rPr>
        <w:t>Section 2.16(a)(iv)</w:t>
      </w:r>
      <w:r>
        <w:rPr>
          <w:rFonts w:ascii="Arial" w:cs="Arial" w:eastAsia="Arial" w:hAnsi="Arial"/>
          <w:sz w:val="13"/>
          <w:szCs w:val="13"/>
          <w:color w:val="auto"/>
        </w:rPr>
        <w:t>), whereupon such Lender will cease to be a Defaulting Lender; provided that no adjustments will be made retroactively with respect to fees accrued or payments made by or on behalf of the Borrowers while that Lender was a Defaulting Lender; and provided, further, that except to the extent otherwise expressly agreed by the affected parties, no change hereunder from Defaulting Lender to</w:t>
      </w:r>
    </w:p>
    <w:p>
      <w:pPr>
        <w:spacing w:after="0" w:line="273"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82" w:name="page83"/>
    <w:bookmarkEnd w:id="82"/>
    <w:p>
      <w:pPr>
        <w:ind w:left="220"/>
        <w:spacing w:after="0"/>
        <w:rPr>
          <w:sz w:val="20"/>
          <w:szCs w:val="20"/>
          <w:color w:val="auto"/>
        </w:rPr>
      </w:pPr>
      <w:r>
        <w:rPr>
          <w:rFonts w:ascii="Arial" w:cs="Arial" w:eastAsia="Arial" w:hAnsi="Arial"/>
          <w:sz w:val="13"/>
          <w:szCs w:val="13"/>
          <w:color w:val="auto"/>
        </w:rPr>
        <w:t>Lender will constitute a waiver or release of any claim of any party hereunder arising from that Lender’s having been a Defaulting Lender.</w:t>
      </w:r>
    </w:p>
    <w:p>
      <w:pPr>
        <w:spacing w:after="0" w:line="145" w:lineRule="exact"/>
        <w:rPr>
          <w:sz w:val="20"/>
          <w:szCs w:val="20"/>
          <w:color w:val="auto"/>
        </w:rPr>
      </w:pPr>
    </w:p>
    <w:p>
      <w:pPr>
        <w:jc w:val="center"/>
        <w:ind w:right="-199"/>
        <w:spacing w:after="0"/>
        <w:rPr>
          <w:sz w:val="20"/>
          <w:szCs w:val="20"/>
          <w:color w:val="auto"/>
        </w:rPr>
      </w:pPr>
      <w:r>
        <w:rPr>
          <w:rFonts w:ascii="Arial" w:cs="Arial" w:eastAsia="Arial" w:hAnsi="Arial"/>
          <w:sz w:val="13"/>
          <w:szCs w:val="13"/>
          <w:b w:val="1"/>
          <w:bCs w:val="1"/>
          <w:color w:val="auto"/>
        </w:rPr>
        <w:t>ARTICLE III</w:t>
      </w:r>
    </w:p>
    <w:p>
      <w:pPr>
        <w:spacing w:after="0" w:line="18" w:lineRule="exact"/>
        <w:rPr>
          <w:sz w:val="20"/>
          <w:szCs w:val="20"/>
          <w:color w:val="auto"/>
        </w:rPr>
      </w:pPr>
    </w:p>
    <w:p>
      <w:pPr>
        <w:jc w:val="center"/>
        <w:ind w:right="-199"/>
        <w:spacing w:after="0"/>
        <w:rPr>
          <w:sz w:val="20"/>
          <w:szCs w:val="20"/>
          <w:color w:val="auto"/>
        </w:rPr>
      </w:pPr>
      <w:r>
        <w:rPr>
          <w:rFonts w:ascii="Arial" w:cs="Arial" w:eastAsia="Arial" w:hAnsi="Arial"/>
          <w:sz w:val="13"/>
          <w:szCs w:val="13"/>
          <w:b w:val="1"/>
          <w:bCs w:val="1"/>
          <w:color w:val="auto"/>
        </w:rPr>
        <w:t>TAXES, YIELD PROTECTION AND ILLEGALITY; APPOINTMENT OF LEAD BORROWER</w:t>
      </w:r>
    </w:p>
    <w:p>
      <w:pPr>
        <w:spacing w:after="0" w:line="134" w:lineRule="exact"/>
        <w:rPr>
          <w:sz w:val="20"/>
          <w:szCs w:val="20"/>
          <w:color w:val="auto"/>
        </w:rPr>
      </w:pPr>
    </w:p>
    <w:p>
      <w:pPr>
        <w:ind w:left="1060"/>
        <w:spacing w:after="0"/>
        <w:tabs>
          <w:tab w:leader="none" w:pos="1700" w:val="left"/>
        </w:tabs>
        <w:rPr>
          <w:sz w:val="20"/>
          <w:szCs w:val="20"/>
          <w:color w:val="auto"/>
        </w:rPr>
      </w:pPr>
      <w:r>
        <w:rPr>
          <w:rFonts w:ascii="Arial" w:cs="Arial" w:eastAsia="Arial" w:hAnsi="Arial"/>
          <w:sz w:val="13"/>
          <w:szCs w:val="13"/>
          <w:b w:val="1"/>
          <w:bCs w:val="1"/>
          <w:color w:val="auto"/>
        </w:rPr>
        <w:t>3.01</w:t>
      </w:r>
      <w:r>
        <w:rPr>
          <w:sz w:val="20"/>
          <w:szCs w:val="20"/>
          <w:color w:val="auto"/>
        </w:rPr>
        <w:tab/>
      </w:r>
      <w:r>
        <w:rPr>
          <w:rFonts w:ascii="Arial" w:cs="Arial" w:eastAsia="Arial" w:hAnsi="Arial"/>
          <w:sz w:val="10"/>
          <w:szCs w:val="10"/>
          <w:b w:val="1"/>
          <w:bCs w:val="1"/>
          <w:color w:val="auto"/>
        </w:rPr>
        <w:t>Taxes</w:t>
      </w:r>
      <w:r>
        <w:rPr>
          <w:rFonts w:ascii="Arial" w:cs="Arial" w:eastAsia="Arial" w:hAnsi="Arial"/>
          <w:sz w:val="10"/>
          <w:szCs w:val="10"/>
          <w:color w:val="auto"/>
        </w:rPr>
        <w:t>.</w:t>
      </w:r>
    </w:p>
    <w:p>
      <w:pPr>
        <w:spacing w:after="0" w:line="152" w:lineRule="exact"/>
        <w:rPr>
          <w:sz w:val="20"/>
          <w:szCs w:val="20"/>
          <w:color w:val="auto"/>
        </w:rPr>
      </w:pPr>
    </w:p>
    <w:p>
      <w:pPr>
        <w:ind w:left="2460" w:hanging="583"/>
        <w:spacing w:after="0"/>
        <w:tabs>
          <w:tab w:leader="none" w:pos="2460" w:val="left"/>
        </w:tabs>
        <w:numPr>
          <w:ilvl w:val="2"/>
          <w:numId w:val="95"/>
        </w:numPr>
        <w:rPr>
          <w:rFonts w:ascii="Arial" w:cs="Arial" w:eastAsia="Arial" w:hAnsi="Arial"/>
          <w:sz w:val="13"/>
          <w:szCs w:val="13"/>
          <w:color w:val="auto"/>
        </w:rPr>
      </w:pPr>
      <w:r>
        <w:rPr>
          <w:rFonts w:ascii="Arial" w:cs="Arial" w:eastAsia="Arial" w:hAnsi="Arial"/>
          <w:sz w:val="13"/>
          <w:szCs w:val="13"/>
          <w:u w:val="single" w:color="auto"/>
          <w:color w:val="auto"/>
        </w:rPr>
        <w:t>Payments Free of Taxes; Obligation to Withhold; Payments on Account of Taxes</w:t>
      </w:r>
      <w:r>
        <w:rPr>
          <w:rFonts w:ascii="Arial" w:cs="Arial" w:eastAsia="Arial" w:hAnsi="Arial"/>
          <w:sz w:val="13"/>
          <w:szCs w:val="13"/>
          <w:color w:val="auto"/>
        </w:rPr>
        <w:t>.</w:t>
      </w:r>
    </w:p>
    <w:p>
      <w:pPr>
        <w:spacing w:after="0" w:line="147" w:lineRule="exact"/>
        <w:rPr>
          <w:rFonts w:ascii="Arial" w:cs="Arial" w:eastAsia="Arial" w:hAnsi="Arial"/>
          <w:sz w:val="13"/>
          <w:szCs w:val="13"/>
          <w:color w:val="auto"/>
        </w:rPr>
      </w:pPr>
    </w:p>
    <w:p>
      <w:pPr>
        <w:jc w:val="both"/>
        <w:ind w:left="220" w:firstLine="2432"/>
        <w:spacing w:after="0" w:line="254" w:lineRule="auto"/>
        <w:tabs>
          <w:tab w:leader="none" w:pos="3201" w:val="left"/>
        </w:tabs>
        <w:numPr>
          <w:ilvl w:val="3"/>
          <w:numId w:val="95"/>
        </w:numPr>
        <w:rPr>
          <w:rFonts w:ascii="Arial" w:cs="Arial" w:eastAsia="Arial" w:hAnsi="Arial"/>
          <w:sz w:val="13"/>
          <w:szCs w:val="13"/>
          <w:color w:val="auto"/>
        </w:rPr>
      </w:pPr>
      <w:r>
        <w:rPr>
          <w:rFonts w:ascii="Arial" w:cs="Arial" w:eastAsia="Arial" w:hAnsi="Arial"/>
          <w:sz w:val="13"/>
          <w:szCs w:val="13"/>
          <w:color w:val="auto"/>
        </w:rPr>
        <w:t xml:space="preserve">Any and all payments by or on account of any obligation of any Loan Party under any Loan Document shall be made without deduction or withholding for any Taxes, except as required by applicable Laws. If any applicable Laws (as determined in the good faith discretion of the Agent) require the deduction or withholding of any Tax from any such payment by the Agent or a Loan Party, then the Agent or such Loan Party shall be entitled to make such deduction or withholding, upon the basis of the information and documentation to be delivered pursuant to </w:t>
      </w:r>
      <w:r>
        <w:rPr>
          <w:rFonts w:ascii="Arial" w:cs="Arial" w:eastAsia="Arial" w:hAnsi="Arial"/>
          <w:sz w:val="13"/>
          <w:szCs w:val="13"/>
          <w:u w:val="single" w:color="auto"/>
          <w:color w:val="auto"/>
        </w:rPr>
        <w:t>subsection (e)</w:t>
      </w:r>
      <w:r>
        <w:rPr>
          <w:rFonts w:ascii="Arial" w:cs="Arial" w:eastAsia="Arial" w:hAnsi="Arial"/>
          <w:sz w:val="13"/>
          <w:szCs w:val="13"/>
          <w:color w:val="auto"/>
        </w:rPr>
        <w:t xml:space="preserve"> below.</w:t>
      </w:r>
    </w:p>
    <w:p>
      <w:pPr>
        <w:spacing w:after="0" w:line="123" w:lineRule="exact"/>
        <w:rPr>
          <w:rFonts w:ascii="Arial" w:cs="Arial" w:eastAsia="Arial" w:hAnsi="Arial"/>
          <w:sz w:val="13"/>
          <w:szCs w:val="13"/>
          <w:color w:val="auto"/>
        </w:rPr>
      </w:pPr>
    </w:p>
    <w:p>
      <w:pPr>
        <w:ind w:left="3240" w:hanging="588"/>
        <w:spacing w:after="0"/>
        <w:tabs>
          <w:tab w:leader="none" w:pos="3240" w:val="left"/>
        </w:tabs>
        <w:numPr>
          <w:ilvl w:val="3"/>
          <w:numId w:val="95"/>
        </w:numPr>
        <w:rPr>
          <w:rFonts w:ascii="Arial" w:cs="Arial" w:eastAsia="Arial" w:hAnsi="Arial"/>
          <w:sz w:val="12"/>
          <w:szCs w:val="12"/>
          <w:color w:val="auto"/>
        </w:rPr>
      </w:pPr>
      <w:r>
        <w:rPr>
          <w:rFonts w:ascii="Arial" w:cs="Arial" w:eastAsia="Arial" w:hAnsi="Arial"/>
          <w:sz w:val="12"/>
          <w:szCs w:val="12"/>
          <w:color w:val="auto"/>
        </w:rPr>
        <w:t>If any Loan Party or the Agent shall be required by any applicable Laws other than the Code to withhold or deduct any Taxes from any payment, then</w:t>
      </w:r>
    </w:p>
    <w:p>
      <w:pPr>
        <w:spacing w:after="0" w:line="25" w:lineRule="exact"/>
        <w:rPr>
          <w:rFonts w:ascii="Arial" w:cs="Arial" w:eastAsia="Arial" w:hAnsi="Arial"/>
          <w:sz w:val="12"/>
          <w:szCs w:val="12"/>
          <w:color w:val="auto"/>
        </w:rPr>
      </w:pPr>
    </w:p>
    <w:p>
      <w:pPr>
        <w:jc w:val="both"/>
        <w:ind w:left="220" w:firstLine="8"/>
        <w:spacing w:after="0" w:line="248" w:lineRule="auto"/>
        <w:tabs>
          <w:tab w:leader="none" w:pos="445" w:val="left"/>
        </w:tabs>
        <w:numPr>
          <w:ilvl w:val="0"/>
          <w:numId w:val="96"/>
        </w:numPr>
        <w:rPr>
          <w:rFonts w:ascii="Arial" w:cs="Arial" w:eastAsia="Arial" w:hAnsi="Arial"/>
          <w:sz w:val="13"/>
          <w:szCs w:val="13"/>
          <w:color w:val="auto"/>
        </w:rPr>
      </w:pPr>
      <w:r>
        <w:rPr>
          <w:rFonts w:ascii="Arial" w:cs="Arial" w:eastAsia="Arial" w:hAnsi="Arial"/>
          <w:sz w:val="13"/>
          <w:szCs w:val="13"/>
          <w:color w:val="auto"/>
        </w:rPr>
        <w:t xml:space="preserve">such Loan Party or the Agent, as required by such Laws, shall withhold or make such deductions as are determined by it to be required based upon the information and documentation it has received pursuant to </w:t>
      </w:r>
      <w:r>
        <w:rPr>
          <w:rFonts w:ascii="Arial" w:cs="Arial" w:eastAsia="Arial" w:hAnsi="Arial"/>
          <w:sz w:val="13"/>
          <w:szCs w:val="13"/>
          <w:u w:val="single" w:color="auto"/>
          <w:color w:val="auto"/>
        </w:rPr>
        <w:t>subsection (e)</w:t>
      </w:r>
      <w:r>
        <w:rPr>
          <w:rFonts w:ascii="Arial" w:cs="Arial" w:eastAsia="Arial" w:hAnsi="Arial"/>
          <w:sz w:val="13"/>
          <w:szCs w:val="13"/>
          <w:color w:val="auto"/>
        </w:rPr>
        <w:t xml:space="preserve"> below, (B) such Loan Party or the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Arial" w:cs="Arial" w:eastAsia="Arial" w:hAnsi="Arial"/>
          <w:sz w:val="13"/>
          <w:szCs w:val="13"/>
          <w:u w:val="single" w:color="auto"/>
          <w:color w:val="auto"/>
        </w:rPr>
        <w:t>Section 3.01</w:t>
      </w:r>
      <w:r>
        <w:rPr>
          <w:rFonts w:ascii="Arial" w:cs="Arial" w:eastAsia="Arial" w:hAnsi="Arial"/>
          <w:sz w:val="13"/>
          <w:szCs w:val="13"/>
          <w:color w:val="auto"/>
        </w:rPr>
        <w:t>) the applicable Recipient receives an amount equal to the sum it would have received had no such withholding or deduction been made.</w:t>
      </w:r>
    </w:p>
    <w:p>
      <w:pPr>
        <w:spacing w:after="0" w:line="127" w:lineRule="exact"/>
        <w:rPr>
          <w:rFonts w:ascii="Arial" w:cs="Arial" w:eastAsia="Arial" w:hAnsi="Arial"/>
          <w:sz w:val="13"/>
          <w:szCs w:val="13"/>
          <w:color w:val="auto"/>
        </w:rPr>
      </w:pPr>
    </w:p>
    <w:p>
      <w:pPr>
        <w:ind w:left="220" w:firstLine="1623"/>
        <w:spacing w:after="0" w:line="271" w:lineRule="auto"/>
        <w:tabs>
          <w:tab w:leader="none" w:pos="2418" w:val="left"/>
        </w:tabs>
        <w:numPr>
          <w:ilvl w:val="1"/>
          <w:numId w:val="96"/>
        </w:numPr>
        <w:rPr>
          <w:rFonts w:ascii="Arial" w:cs="Arial" w:eastAsia="Arial" w:hAnsi="Arial"/>
          <w:sz w:val="13"/>
          <w:szCs w:val="13"/>
          <w:color w:val="auto"/>
        </w:rPr>
      </w:pPr>
      <w:r>
        <w:rPr>
          <w:rFonts w:ascii="Arial" w:cs="Arial" w:eastAsia="Arial" w:hAnsi="Arial"/>
          <w:sz w:val="13"/>
          <w:szCs w:val="13"/>
          <w:u w:val="single" w:color="auto"/>
          <w:color w:val="auto"/>
        </w:rPr>
        <w:t>Payment of Other Taxes by the Borrowers</w:t>
      </w:r>
      <w:r>
        <w:rPr>
          <w:rFonts w:ascii="Arial" w:cs="Arial" w:eastAsia="Arial" w:hAnsi="Arial"/>
          <w:sz w:val="13"/>
          <w:szCs w:val="13"/>
          <w:color w:val="auto"/>
        </w:rPr>
        <w:t>. Without limiting the provisions of subsection (a) above, the Borrowers shall timely pay to the relevant Governmental Authority in accordance with applicable Law, or at the option of the Agent timely reimburse it for the payment of, any Other Taxes.</w:t>
      </w:r>
    </w:p>
    <w:p>
      <w:pPr>
        <w:spacing w:after="0" w:line="112" w:lineRule="exact"/>
        <w:rPr>
          <w:rFonts w:ascii="Arial" w:cs="Arial" w:eastAsia="Arial" w:hAnsi="Arial"/>
          <w:sz w:val="13"/>
          <w:szCs w:val="13"/>
          <w:color w:val="auto"/>
        </w:rPr>
      </w:pPr>
    </w:p>
    <w:p>
      <w:pPr>
        <w:ind w:left="2460" w:hanging="583"/>
        <w:spacing w:after="0"/>
        <w:tabs>
          <w:tab w:leader="none" w:pos="2460" w:val="left"/>
        </w:tabs>
        <w:numPr>
          <w:ilvl w:val="2"/>
          <w:numId w:val="96"/>
        </w:numPr>
        <w:rPr>
          <w:rFonts w:ascii="Arial" w:cs="Arial" w:eastAsia="Arial" w:hAnsi="Arial"/>
          <w:sz w:val="13"/>
          <w:szCs w:val="13"/>
          <w:color w:val="auto"/>
        </w:rPr>
      </w:pPr>
      <w:r>
        <w:rPr>
          <w:rFonts w:ascii="Arial" w:cs="Arial" w:eastAsia="Arial" w:hAnsi="Arial"/>
          <w:sz w:val="13"/>
          <w:szCs w:val="13"/>
          <w:u w:val="single" w:color="auto"/>
          <w:color w:val="auto"/>
        </w:rPr>
        <w:t>Tax Indemnifications</w:t>
      </w:r>
      <w:r>
        <w:rPr>
          <w:rFonts w:ascii="Arial" w:cs="Arial" w:eastAsia="Arial" w:hAnsi="Arial"/>
          <w:sz w:val="13"/>
          <w:szCs w:val="13"/>
          <w:color w:val="auto"/>
        </w:rPr>
        <w:t>.</w:t>
      </w:r>
    </w:p>
    <w:p>
      <w:pPr>
        <w:spacing w:after="0" w:line="147" w:lineRule="exact"/>
        <w:rPr>
          <w:rFonts w:ascii="Arial" w:cs="Arial" w:eastAsia="Arial" w:hAnsi="Arial"/>
          <w:sz w:val="13"/>
          <w:szCs w:val="13"/>
          <w:color w:val="auto"/>
        </w:rPr>
      </w:pPr>
    </w:p>
    <w:p>
      <w:pPr>
        <w:jc w:val="both"/>
        <w:ind w:left="220" w:firstLine="2432"/>
        <w:spacing w:after="0" w:line="278" w:lineRule="auto"/>
        <w:tabs>
          <w:tab w:leader="none" w:pos="3201" w:val="left"/>
        </w:tabs>
        <w:numPr>
          <w:ilvl w:val="3"/>
          <w:numId w:val="96"/>
        </w:numPr>
        <w:rPr>
          <w:rFonts w:ascii="Arial" w:cs="Arial" w:eastAsia="Arial" w:hAnsi="Arial"/>
          <w:sz w:val="12"/>
          <w:szCs w:val="12"/>
          <w:color w:val="auto"/>
        </w:rPr>
      </w:pPr>
      <w:r>
        <w:rPr>
          <w:rFonts w:ascii="Arial" w:cs="Arial" w:eastAsia="Arial" w:hAnsi="Arial"/>
          <w:sz w:val="12"/>
          <w:szCs w:val="12"/>
          <w:color w:val="auto"/>
        </w:rPr>
        <w:t xml:space="preserve">The Loan Parties shall, and each Loan Party does hereby, jointly and severally indemnify each Recipient, and shall make payment in respect thereof within 10 days after demand therefor, for the full amount of any Indemnified Taxes (including Indemnified Taxes imposed or asserted on or attributable to amounts payable under this </w:t>
      </w:r>
      <w:r>
        <w:rPr>
          <w:rFonts w:ascii="Arial" w:cs="Arial" w:eastAsia="Arial" w:hAnsi="Arial"/>
          <w:sz w:val="12"/>
          <w:szCs w:val="12"/>
          <w:u w:val="single" w:color="auto"/>
          <w:color w:val="auto"/>
        </w:rPr>
        <w:t>Section 3.01</w:t>
      </w:r>
      <w:r>
        <w:rPr>
          <w:rFonts w:ascii="Arial" w:cs="Arial" w:eastAsia="Arial" w:hAnsi="Arial"/>
          <w:sz w:val="12"/>
          <w:szCs w:val="12"/>
          <w:color w:val="auto"/>
        </w:rPr>
        <w:t>)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Lead Borrower by a Lender or the L/C Issuer (with a copy to the Agent), or by the Agent on its own behalf or on behalf of a Lender or the L/C Issuer, shall be conclusive absent manifest error.</w:t>
      </w:r>
    </w:p>
    <w:p>
      <w:pPr>
        <w:spacing w:after="0" w:line="110" w:lineRule="exact"/>
        <w:rPr>
          <w:rFonts w:ascii="Arial" w:cs="Arial" w:eastAsia="Arial" w:hAnsi="Arial"/>
          <w:sz w:val="12"/>
          <w:szCs w:val="12"/>
          <w:color w:val="auto"/>
        </w:rPr>
      </w:pPr>
    </w:p>
    <w:p>
      <w:pPr>
        <w:ind w:left="3240" w:hanging="588"/>
        <w:spacing w:after="0"/>
        <w:tabs>
          <w:tab w:leader="none" w:pos="3240" w:val="left"/>
        </w:tabs>
        <w:numPr>
          <w:ilvl w:val="3"/>
          <w:numId w:val="96"/>
        </w:numPr>
        <w:rPr>
          <w:rFonts w:ascii="Arial" w:cs="Arial" w:eastAsia="Arial" w:hAnsi="Arial"/>
          <w:sz w:val="12"/>
          <w:szCs w:val="12"/>
          <w:color w:val="auto"/>
        </w:rPr>
      </w:pPr>
      <w:r>
        <w:rPr>
          <w:rFonts w:ascii="Arial" w:cs="Arial" w:eastAsia="Arial" w:hAnsi="Arial"/>
          <w:sz w:val="12"/>
          <w:szCs w:val="12"/>
          <w:color w:val="auto"/>
        </w:rPr>
        <w:t>Each Lender and the L/C Issuer shall, and does hereby, severally indemnify, and shall make payment in respect thereof within 10 days after demand</w:t>
      </w:r>
    </w:p>
    <w:p>
      <w:pPr>
        <w:spacing w:after="0" w:line="25" w:lineRule="exact"/>
        <w:rPr>
          <w:rFonts w:ascii="Arial" w:cs="Arial" w:eastAsia="Arial" w:hAnsi="Arial"/>
          <w:sz w:val="12"/>
          <w:szCs w:val="12"/>
          <w:color w:val="auto"/>
        </w:rPr>
      </w:pPr>
    </w:p>
    <w:p>
      <w:pPr>
        <w:ind w:left="220"/>
        <w:spacing w:after="0"/>
        <w:rPr>
          <w:rFonts w:ascii="Arial" w:cs="Arial" w:eastAsia="Arial" w:hAnsi="Arial"/>
          <w:sz w:val="12"/>
          <w:szCs w:val="12"/>
          <w:color w:val="auto"/>
        </w:rPr>
      </w:pPr>
      <w:r>
        <w:rPr>
          <w:rFonts w:ascii="Arial" w:cs="Arial" w:eastAsia="Arial" w:hAnsi="Arial"/>
          <w:sz w:val="13"/>
          <w:szCs w:val="13"/>
          <w:color w:val="auto"/>
        </w:rPr>
        <w:t>therefor, (x) the Agent</w:t>
      </w:r>
    </w:p>
    <w:p>
      <w:pPr>
        <w:spacing w:after="0" w:line="285"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83" w:name="page84"/>
    <w:bookmarkEnd w:id="83"/>
    <w:p>
      <w:pPr>
        <w:jc w:val="both"/>
        <w:ind w:left="220"/>
        <w:spacing w:after="0" w:line="250" w:lineRule="auto"/>
        <w:rPr>
          <w:sz w:val="20"/>
          <w:szCs w:val="20"/>
          <w:color w:val="auto"/>
        </w:rPr>
      </w:pPr>
      <w:r>
        <w:rPr>
          <w:rFonts w:ascii="Arial" w:cs="Arial" w:eastAsia="Arial" w:hAnsi="Arial"/>
          <w:sz w:val="13"/>
          <w:szCs w:val="13"/>
          <w:color w:val="auto"/>
        </w:rPr>
        <w:t xml:space="preserve">against any Indemnified Taxes attributable to such Lender or the L/C Issuer (but only to the extent that any Loan Party has not already indemnified the Agent for such Indemnified Taxes and without limiting the obligation of the Loan Parties to do so), (y) the Agent and the Loan Parties, as applicable, against any Taxes attributable to such Lender’s failure to comply with the provisions of </w:t>
      </w:r>
      <w:r>
        <w:rPr>
          <w:rFonts w:ascii="Arial" w:cs="Arial" w:eastAsia="Arial" w:hAnsi="Arial"/>
          <w:sz w:val="13"/>
          <w:szCs w:val="13"/>
          <w:u w:val="single" w:color="auto"/>
          <w:color w:val="auto"/>
        </w:rPr>
        <w:t>Section 10.06(d)</w:t>
      </w:r>
      <w:r>
        <w:rPr>
          <w:rFonts w:ascii="Arial" w:cs="Arial" w:eastAsia="Arial" w:hAnsi="Arial"/>
          <w:sz w:val="13"/>
          <w:szCs w:val="13"/>
          <w:color w:val="auto"/>
        </w:rPr>
        <w:t xml:space="preserve"> relating to the maintenance of a Participant Register and (z) the Agent and the Loan Parties, as applicable, against any Excluded Taxes attributable to such Lender or the L/C Issuer, in each case, that are payable or paid by the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Agent shall be conclusive absent manifest error. Each Lender and the L/C Issuer hereby authorizes the Agent to set off and apply any and all amounts at any time owing to such Lender or the L/C Issuer, as the case may be, under this Agreement or any other Loan Document against any amount due to the Agent under this clause (ii).</w:t>
      </w:r>
    </w:p>
    <w:p>
      <w:pPr>
        <w:spacing w:after="0" w:line="127" w:lineRule="exact"/>
        <w:rPr>
          <w:sz w:val="20"/>
          <w:szCs w:val="20"/>
          <w:color w:val="auto"/>
        </w:rPr>
      </w:pPr>
    </w:p>
    <w:p>
      <w:pPr>
        <w:jc w:val="both"/>
        <w:ind w:left="220" w:firstLine="1620"/>
        <w:spacing w:after="0" w:line="254" w:lineRule="auto"/>
        <w:tabs>
          <w:tab w:leader="none" w:pos="2420" w:val="left"/>
        </w:tabs>
        <w:numPr>
          <w:ilvl w:val="0"/>
          <w:numId w:val="97"/>
        </w:numPr>
        <w:rPr>
          <w:rFonts w:ascii="Arial" w:cs="Arial" w:eastAsia="Arial" w:hAnsi="Arial"/>
          <w:sz w:val="13"/>
          <w:szCs w:val="13"/>
          <w:color w:val="auto"/>
        </w:rPr>
      </w:pPr>
      <w:r>
        <w:rPr>
          <w:rFonts w:ascii="Arial" w:cs="Arial" w:eastAsia="Arial" w:hAnsi="Arial"/>
          <w:sz w:val="13"/>
          <w:szCs w:val="13"/>
          <w:u w:val="single" w:color="auto"/>
          <w:color w:val="auto"/>
        </w:rPr>
        <w:t>Evidence of Payments</w:t>
      </w:r>
      <w:r>
        <w:rPr>
          <w:rFonts w:ascii="Arial" w:cs="Arial" w:eastAsia="Arial" w:hAnsi="Arial"/>
          <w:sz w:val="13"/>
          <w:szCs w:val="13"/>
          <w:color w:val="auto"/>
        </w:rPr>
        <w:t xml:space="preserve">. Upon request by the Lead Borrower or the Agent, as the case may be, after any payment of Taxes by the Lead Borrower or by the Agent to a Governmental Authority as provided in this </w:t>
      </w:r>
      <w:r>
        <w:rPr>
          <w:rFonts w:ascii="Arial" w:cs="Arial" w:eastAsia="Arial" w:hAnsi="Arial"/>
          <w:sz w:val="13"/>
          <w:szCs w:val="13"/>
          <w:u w:val="single" w:color="auto"/>
          <w:color w:val="auto"/>
        </w:rPr>
        <w:t>Section 3.01</w:t>
      </w:r>
      <w:r>
        <w:rPr>
          <w:rFonts w:ascii="Arial" w:cs="Arial" w:eastAsia="Arial" w:hAnsi="Arial"/>
          <w:sz w:val="13"/>
          <w:szCs w:val="13"/>
          <w:color w:val="auto"/>
        </w:rPr>
        <w:t>, the Lead Borrower shall deliver to the Agent or the Agent shall deliver to the Lead Borrower, as the case may be, the original or a certified copy of a receipt issued by such Governmental Authority evidencing such payment, a copy of any return required by Laws to report such payment or other evidence of such payment reasonably satisfactory to the Lead Borrower or the Agent, as the case may be.</w:t>
      </w:r>
    </w:p>
    <w:p>
      <w:pPr>
        <w:spacing w:after="0" w:line="123" w:lineRule="exact"/>
        <w:rPr>
          <w:rFonts w:ascii="Arial" w:cs="Arial" w:eastAsia="Arial" w:hAnsi="Arial"/>
          <w:sz w:val="13"/>
          <w:szCs w:val="13"/>
          <w:color w:val="auto"/>
        </w:rPr>
      </w:pPr>
    </w:p>
    <w:p>
      <w:pPr>
        <w:ind w:left="2420" w:hanging="580"/>
        <w:spacing w:after="0"/>
        <w:tabs>
          <w:tab w:leader="none" w:pos="2420" w:val="left"/>
        </w:tabs>
        <w:numPr>
          <w:ilvl w:val="0"/>
          <w:numId w:val="97"/>
        </w:numPr>
        <w:rPr>
          <w:rFonts w:ascii="Arial" w:cs="Arial" w:eastAsia="Arial" w:hAnsi="Arial"/>
          <w:sz w:val="13"/>
          <w:szCs w:val="13"/>
          <w:color w:val="auto"/>
        </w:rPr>
      </w:pPr>
      <w:r>
        <w:rPr>
          <w:rFonts w:ascii="Arial" w:cs="Arial" w:eastAsia="Arial" w:hAnsi="Arial"/>
          <w:sz w:val="13"/>
          <w:szCs w:val="13"/>
          <w:u w:val="single" w:color="auto"/>
          <w:color w:val="auto"/>
        </w:rPr>
        <w:t>Status of Lenders; Tax Documentation</w:t>
      </w:r>
      <w:r>
        <w:rPr>
          <w:rFonts w:ascii="Arial" w:cs="Arial" w:eastAsia="Arial" w:hAnsi="Arial"/>
          <w:sz w:val="13"/>
          <w:szCs w:val="13"/>
          <w:color w:val="auto"/>
        </w:rPr>
        <w:t>.</w:t>
      </w:r>
    </w:p>
    <w:p>
      <w:pPr>
        <w:spacing w:after="0" w:line="147" w:lineRule="exact"/>
        <w:rPr>
          <w:rFonts w:ascii="Arial" w:cs="Arial" w:eastAsia="Arial" w:hAnsi="Arial"/>
          <w:sz w:val="13"/>
          <w:szCs w:val="13"/>
          <w:color w:val="auto"/>
        </w:rPr>
      </w:pPr>
    </w:p>
    <w:p>
      <w:pPr>
        <w:jc w:val="both"/>
        <w:ind w:left="220" w:firstLine="2432"/>
        <w:spacing w:after="0" w:line="274" w:lineRule="auto"/>
        <w:tabs>
          <w:tab w:leader="none" w:pos="3201" w:val="left"/>
        </w:tabs>
        <w:numPr>
          <w:ilvl w:val="1"/>
          <w:numId w:val="97"/>
        </w:numPr>
        <w:rPr>
          <w:rFonts w:ascii="Arial" w:cs="Arial" w:eastAsia="Arial" w:hAnsi="Arial"/>
          <w:sz w:val="12"/>
          <w:szCs w:val="12"/>
          <w:color w:val="auto"/>
        </w:rPr>
      </w:pPr>
      <w:r>
        <w:rPr>
          <w:rFonts w:ascii="Arial" w:cs="Arial" w:eastAsia="Arial" w:hAnsi="Arial"/>
          <w:sz w:val="12"/>
          <w:szCs w:val="12"/>
          <w:color w:val="auto"/>
        </w:rPr>
        <w:t xml:space="preserve">Any Lender that is entitled to an exemption from or reduction of withholding Tax with respect to payments made under any Loan Document shall deliver to the Lead Borrower and the Agent, at the time or times reasonably requested by the Lead Borrower or the Agent, such properly completed and executed documentation reasonably requested by the Lead Borrower or the Agent as will permit such payments to be made without withholding or at a reduced rate of withholding. In addition, any Lender, if reasonably requested by the Lead Borrower or the Agent, shall deliver such other documentation prescribed by applicable Law or reasonably requested by the Lead Borrower or the Agent as will enable the Lead Borrower or the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2"/>
          <w:szCs w:val="12"/>
          <w:u w:val="single" w:color="auto"/>
          <w:color w:val="auto"/>
        </w:rPr>
        <w:t>Section 3.01(e)(ii)(A)</w:t>
      </w:r>
      <w:r>
        <w:rPr>
          <w:rFonts w:ascii="Arial" w:cs="Arial" w:eastAsia="Arial" w:hAnsi="Arial"/>
          <w:sz w:val="12"/>
          <w:szCs w:val="12"/>
          <w:color w:val="auto"/>
        </w:rPr>
        <w:t>, (ii)</w:t>
      </w:r>
      <w:r>
        <w:rPr>
          <w:rFonts w:ascii="Arial" w:cs="Arial" w:eastAsia="Arial" w:hAnsi="Arial"/>
          <w:sz w:val="12"/>
          <w:szCs w:val="12"/>
          <w:u w:val="single" w:color="auto"/>
          <w:color w:val="auto"/>
        </w:rPr>
        <w:t>(B)</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(ii)(D)</w:t>
      </w:r>
      <w:r>
        <w:rPr>
          <w:rFonts w:ascii="Arial" w:cs="Arial" w:eastAsia="Arial" w:hAnsi="Arial"/>
          <w:sz w:val="12"/>
          <w:szCs w:val="12"/>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13" w:lineRule="exact"/>
        <w:rPr>
          <w:rFonts w:ascii="Arial" w:cs="Arial" w:eastAsia="Arial" w:hAnsi="Arial"/>
          <w:sz w:val="12"/>
          <w:szCs w:val="12"/>
          <w:color w:val="auto"/>
        </w:rPr>
      </w:pPr>
    </w:p>
    <w:p>
      <w:pPr>
        <w:ind w:left="3240" w:hanging="588"/>
        <w:spacing w:after="0"/>
        <w:tabs>
          <w:tab w:leader="none" w:pos="3240" w:val="left"/>
        </w:tabs>
        <w:numPr>
          <w:ilvl w:val="1"/>
          <w:numId w:val="97"/>
        </w:numPr>
        <w:rPr>
          <w:rFonts w:ascii="Arial" w:cs="Arial" w:eastAsia="Arial" w:hAnsi="Arial"/>
          <w:sz w:val="13"/>
          <w:szCs w:val="13"/>
          <w:color w:val="auto"/>
        </w:rPr>
      </w:pPr>
      <w:r>
        <w:rPr>
          <w:rFonts w:ascii="Arial" w:cs="Arial" w:eastAsia="Arial" w:hAnsi="Arial"/>
          <w:sz w:val="13"/>
          <w:szCs w:val="13"/>
          <w:color w:val="auto"/>
        </w:rPr>
        <w:t>Without limiting the generality of the foregoing, in the event that the Lead Borrower is a U.S. Person,</w:t>
      </w:r>
    </w:p>
    <w:p>
      <w:pPr>
        <w:spacing w:after="0" w:line="147" w:lineRule="exact"/>
        <w:rPr>
          <w:rFonts w:ascii="Arial" w:cs="Arial" w:eastAsia="Arial" w:hAnsi="Arial"/>
          <w:sz w:val="13"/>
          <w:szCs w:val="13"/>
          <w:color w:val="auto"/>
        </w:rPr>
      </w:pPr>
    </w:p>
    <w:p>
      <w:pPr>
        <w:jc w:val="both"/>
        <w:ind w:left="1080" w:firstLine="2230"/>
        <w:spacing w:after="0" w:line="258" w:lineRule="auto"/>
        <w:tabs>
          <w:tab w:leader="none" w:pos="3932" w:val="left"/>
        </w:tabs>
        <w:numPr>
          <w:ilvl w:val="2"/>
          <w:numId w:val="97"/>
        </w:numPr>
        <w:rPr>
          <w:rFonts w:ascii="Arial" w:cs="Arial" w:eastAsia="Arial" w:hAnsi="Arial"/>
          <w:sz w:val="13"/>
          <w:szCs w:val="13"/>
          <w:color w:val="auto"/>
        </w:rPr>
      </w:pPr>
      <w:r>
        <w:rPr>
          <w:rFonts w:ascii="Arial" w:cs="Arial" w:eastAsia="Arial" w:hAnsi="Arial"/>
          <w:sz w:val="13"/>
          <w:szCs w:val="13"/>
          <w:color w:val="auto"/>
        </w:rPr>
        <w:t>any Lender that is a U.S. Person shall deliver to the Lead Borrower and the Agent on or prior to the date on which such Lender becomes a Lender under this Agreement (and from time to time thereafter upon the reasonable request of the Lead Borrower or the Agent), executed originals of IRS Form W-9 certifying that such Lender is exempt from U.S. federal backup withholding tax;</w:t>
      </w:r>
    </w:p>
    <w:p>
      <w:pPr>
        <w:spacing w:after="0" w:line="121" w:lineRule="exact"/>
        <w:rPr>
          <w:rFonts w:ascii="Arial" w:cs="Arial" w:eastAsia="Arial" w:hAnsi="Arial"/>
          <w:sz w:val="13"/>
          <w:szCs w:val="13"/>
          <w:color w:val="auto"/>
        </w:rPr>
      </w:pPr>
    </w:p>
    <w:p>
      <w:pPr>
        <w:ind w:left="1080" w:firstLine="2229"/>
        <w:spacing w:after="0" w:line="271" w:lineRule="auto"/>
        <w:tabs>
          <w:tab w:leader="none" w:pos="3923" w:val="left"/>
        </w:tabs>
        <w:numPr>
          <w:ilvl w:val="2"/>
          <w:numId w:val="97"/>
        </w:numPr>
        <w:rPr>
          <w:rFonts w:ascii="Arial" w:cs="Arial" w:eastAsia="Arial" w:hAnsi="Arial"/>
          <w:sz w:val="13"/>
          <w:szCs w:val="13"/>
          <w:color w:val="auto"/>
        </w:rPr>
      </w:pPr>
      <w:r>
        <w:rPr>
          <w:rFonts w:ascii="Arial" w:cs="Arial" w:eastAsia="Arial" w:hAnsi="Arial"/>
          <w:sz w:val="13"/>
          <w:szCs w:val="13"/>
          <w:color w:val="auto"/>
        </w:rPr>
        <w:t>any Foreign Lender shall, to the extent it is legally entitled to do so, deliver to the Lead Borrower and the Agent (in such number of copies as shall be requested by the recipient) on or prior to the date on which such Foreign Lender becomes a Lender under this</w:t>
      </w:r>
    </w:p>
    <w:p>
      <w:pPr>
        <w:spacing w:after="0" w:line="260"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84" w:name="page85"/>
    <w:bookmarkEnd w:id="84"/>
    <w:p>
      <w:pPr>
        <w:ind w:left="1080"/>
        <w:spacing w:after="0"/>
        <w:rPr>
          <w:sz w:val="20"/>
          <w:szCs w:val="20"/>
          <w:color w:val="auto"/>
        </w:rPr>
      </w:pPr>
      <w:r>
        <w:rPr>
          <w:rFonts w:ascii="Arial" w:cs="Arial" w:eastAsia="Arial" w:hAnsi="Arial"/>
          <w:sz w:val="13"/>
          <w:szCs w:val="13"/>
          <w:color w:val="auto"/>
        </w:rPr>
        <w:t>Agreement (and from time to time thereafter upon the reasonable request of the Lead Borrower or the Agent), whichever of the following is applicable:</w:t>
      </w:r>
    </w:p>
    <w:p>
      <w:pPr>
        <w:spacing w:after="0" w:line="149" w:lineRule="exact"/>
        <w:rPr>
          <w:sz w:val="20"/>
          <w:szCs w:val="20"/>
          <w:color w:val="auto"/>
        </w:rPr>
      </w:pPr>
    </w:p>
    <w:p>
      <w:pPr>
        <w:jc w:val="both"/>
        <w:ind w:left="1920" w:firstLine="2044"/>
        <w:spacing w:after="0" w:line="252" w:lineRule="auto"/>
        <w:tabs>
          <w:tab w:leader="none" w:pos="4536" w:val="left"/>
        </w:tabs>
        <w:numPr>
          <w:ilvl w:val="0"/>
          <w:numId w:val="98"/>
        </w:numPr>
        <w:rPr>
          <w:rFonts w:ascii="Arial" w:cs="Arial" w:eastAsia="Arial" w:hAnsi="Arial"/>
          <w:sz w:val="13"/>
          <w:szCs w:val="13"/>
          <w:color w:val="auto"/>
        </w:rPr>
      </w:pPr>
      <w:r>
        <w:rPr>
          <w:rFonts w:ascii="Arial" w:cs="Arial" w:eastAsia="Arial" w:hAnsi="Arial"/>
          <w:sz w:val="13"/>
          <w:szCs w:val="13"/>
          <w:color w:val="auto"/>
        </w:rPr>
        <w:t>in the case of a Foreign Lender claiming the benefits of an income tax treaty to which the United States is a party (x) with respect to payments of interest under any Loan Document, executed originals of IRS Form W-8BEN or W8BEN-E, as applicable, establishing an exemption from, or reduction of, U.S. federal withholding Tax pursuant to the “interest” article of such tax treaty and (y) with respect to any other applicable payments under any Loan Document, IRS Form W-8BEN or W8BEN-E, as applicable, establishing an exemption from, or reduction of, U.S. federal withholding Tax pursuant to the “business profits” or “other income” article of such tax treaty;</w:t>
      </w:r>
    </w:p>
    <w:p>
      <w:pPr>
        <w:spacing w:after="0" w:line="125" w:lineRule="exact"/>
        <w:rPr>
          <w:sz w:val="20"/>
          <w:szCs w:val="20"/>
          <w:color w:val="auto"/>
        </w:rPr>
      </w:pPr>
    </w:p>
    <w:p>
      <w:pPr>
        <w:ind w:left="4580" w:hanging="616"/>
        <w:spacing w:after="0"/>
        <w:tabs>
          <w:tab w:leader="none" w:pos="4580" w:val="left"/>
        </w:tabs>
        <w:numPr>
          <w:ilvl w:val="0"/>
          <w:numId w:val="99"/>
        </w:numPr>
        <w:rPr>
          <w:rFonts w:ascii="Arial" w:cs="Arial" w:eastAsia="Arial" w:hAnsi="Arial"/>
          <w:sz w:val="13"/>
          <w:szCs w:val="13"/>
          <w:color w:val="auto"/>
        </w:rPr>
      </w:pPr>
      <w:r>
        <w:rPr>
          <w:rFonts w:ascii="Arial" w:cs="Arial" w:eastAsia="Arial" w:hAnsi="Arial"/>
          <w:sz w:val="13"/>
          <w:szCs w:val="13"/>
          <w:color w:val="auto"/>
        </w:rPr>
        <w:t>executed originals of IRS Form W-8ECI;</w:t>
      </w:r>
    </w:p>
    <w:p>
      <w:pPr>
        <w:spacing w:after="0" w:line="147" w:lineRule="exact"/>
        <w:rPr>
          <w:rFonts w:ascii="Arial" w:cs="Arial" w:eastAsia="Arial" w:hAnsi="Arial"/>
          <w:sz w:val="13"/>
          <w:szCs w:val="13"/>
          <w:color w:val="auto"/>
        </w:rPr>
      </w:pPr>
    </w:p>
    <w:p>
      <w:pPr>
        <w:jc w:val="both"/>
        <w:ind w:left="1920" w:firstLine="2048"/>
        <w:spacing w:after="0" w:line="254" w:lineRule="auto"/>
        <w:tabs>
          <w:tab w:leader="none" w:pos="4624" w:val="left"/>
        </w:tabs>
        <w:numPr>
          <w:ilvl w:val="0"/>
          <w:numId w:val="100"/>
        </w:numPr>
        <w:rPr>
          <w:rFonts w:ascii="Arial" w:cs="Arial" w:eastAsia="Arial" w:hAnsi="Arial"/>
          <w:sz w:val="13"/>
          <w:szCs w:val="13"/>
          <w:color w:val="auto"/>
        </w:rPr>
      </w:pPr>
      <w:r>
        <w:rPr>
          <w:rFonts w:ascii="Arial" w:cs="Arial" w:eastAsia="Arial" w:hAnsi="Arial"/>
          <w:sz w:val="13"/>
          <w:szCs w:val="13"/>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13"/>
          <w:szCs w:val="13"/>
          <w:u w:val="single" w:color="auto"/>
          <w:color w:val="auto"/>
        </w:rPr>
        <w:t>Exhibit G-1</w:t>
      </w:r>
      <w:r>
        <w:rPr>
          <w:rFonts w:ascii="Arial" w:cs="Arial" w:eastAsia="Arial" w:hAnsi="Arial"/>
          <w:sz w:val="13"/>
          <w:szCs w:val="13"/>
          <w:color w:val="auto"/>
        </w:rPr>
        <w:t xml:space="preserve"> to the effect that such Foreign Lender is not a “bank” within the meaning of Section 881(c)(3)(A) of the Code, a “10 percent shareholder” of the Borrowers within the meaning of Section 881(c)(3)(B) of the Code, or a “controlled foreign corporation” described in Section 881(c)(3)(C) of the Code (a “U.S. Tax Compliance Certificate”) and (y) executed originals of IRS Form W-8BEN or W8BEN-E, as applicable; or</w:t>
      </w:r>
    </w:p>
    <w:p>
      <w:pPr>
        <w:spacing w:after="0" w:line="124" w:lineRule="exact"/>
        <w:rPr>
          <w:sz w:val="20"/>
          <w:szCs w:val="20"/>
          <w:color w:val="auto"/>
        </w:rPr>
      </w:pPr>
    </w:p>
    <w:p>
      <w:pPr>
        <w:jc w:val="both"/>
        <w:ind w:left="1920" w:firstLine="2051"/>
        <w:spacing w:after="0" w:line="252" w:lineRule="auto"/>
        <w:rPr>
          <w:sz w:val="20"/>
          <w:szCs w:val="20"/>
          <w:color w:val="auto"/>
        </w:rPr>
      </w:pPr>
      <w:r>
        <w:rPr>
          <w:rFonts w:ascii="Arial" w:cs="Arial" w:eastAsia="Arial" w:hAnsi="Arial"/>
          <w:sz w:val="13"/>
          <w:szCs w:val="13"/>
          <w:color w:val="auto"/>
        </w:rPr>
        <w:t xml:space="preserve">(IV) to the extent a Foreign Lender is not the beneficial owner, executed originals of IRS Form W-8IMY, accompanied by IRS Form W-8ECI, IRS Form W-8BEN or W8BEN-E, as applicable, a U.S. Tax Compliance Certificate substantially in the form of </w:t>
      </w:r>
      <w:r>
        <w:rPr>
          <w:rFonts w:ascii="Arial" w:cs="Arial" w:eastAsia="Arial" w:hAnsi="Arial"/>
          <w:sz w:val="13"/>
          <w:szCs w:val="13"/>
          <w:u w:val="single" w:color="auto"/>
          <w:color w:val="auto"/>
        </w:rPr>
        <w:t>Exhibit G-2</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Exhibit G-3</w:t>
      </w:r>
      <w:r>
        <w:rPr>
          <w:rFonts w:ascii="Arial" w:cs="Arial" w:eastAsia="Arial" w:hAnsi="Arial"/>
          <w:sz w:val="13"/>
          <w:szCs w:val="13"/>
          <w:color w:val="auto"/>
        </w:rPr>
        <w:t xml:space="preserve">, IRS Form W-9, and/or other certification documents from each beneficial owner, as applicable;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3"/>
          <w:szCs w:val="13"/>
          <w:u w:val="single" w:color="auto"/>
          <w:color w:val="auto"/>
        </w:rPr>
        <w:t>Exhibit</w:t>
      </w:r>
      <w:r>
        <w:rPr>
          <w:rFonts w:ascii="Arial" w:cs="Arial" w:eastAsia="Arial" w:hAnsi="Arial"/>
          <w:sz w:val="13"/>
          <w:szCs w:val="13"/>
          <w:color w:val="auto"/>
        </w:rPr>
        <w:t xml:space="preserve"> </w:t>
      </w:r>
      <w:r>
        <w:rPr>
          <w:rFonts w:ascii="Arial" w:cs="Arial" w:eastAsia="Arial" w:hAnsi="Arial"/>
          <w:sz w:val="13"/>
          <w:szCs w:val="13"/>
          <w:u w:val="single" w:color="auto"/>
          <w:color w:val="auto"/>
        </w:rPr>
        <w:t>G-4</w:t>
      </w:r>
      <w:r>
        <w:rPr>
          <w:rFonts w:ascii="Arial" w:cs="Arial" w:eastAsia="Arial" w:hAnsi="Arial"/>
          <w:sz w:val="13"/>
          <w:szCs w:val="13"/>
          <w:color w:val="auto"/>
        </w:rPr>
        <w:t xml:space="preserve"> on behalf of each such direct and indirect partner;</w:t>
      </w:r>
    </w:p>
    <w:p>
      <w:pPr>
        <w:spacing w:after="0" w:line="125" w:lineRule="exact"/>
        <w:rPr>
          <w:sz w:val="20"/>
          <w:szCs w:val="20"/>
          <w:color w:val="auto"/>
        </w:rPr>
      </w:pPr>
    </w:p>
    <w:p>
      <w:pPr>
        <w:jc w:val="both"/>
        <w:ind w:left="1080" w:firstLine="2230"/>
        <w:spacing w:after="0" w:line="252" w:lineRule="auto"/>
        <w:tabs>
          <w:tab w:leader="none" w:pos="3924" w:val="left"/>
        </w:tabs>
        <w:numPr>
          <w:ilvl w:val="0"/>
          <w:numId w:val="101"/>
        </w:numPr>
        <w:rPr>
          <w:rFonts w:ascii="Arial" w:cs="Arial" w:eastAsia="Arial" w:hAnsi="Arial"/>
          <w:sz w:val="13"/>
          <w:szCs w:val="13"/>
          <w:color w:val="auto"/>
        </w:rPr>
      </w:pPr>
      <w:r>
        <w:rPr>
          <w:rFonts w:ascii="Arial" w:cs="Arial" w:eastAsia="Arial" w:hAnsi="Arial"/>
          <w:sz w:val="13"/>
          <w:szCs w:val="13"/>
          <w:color w:val="auto"/>
        </w:rPr>
        <w:t>any Foreign Lender shall, to the extent it is legally entitled to do so, deliver to the Lead Borrower and the Agent (in such number of copies as shall be requested by the recipient) on or prior to the date on which such Foreign Lender becomes a Lender under this Agreement (and from time to time thereafter upon the reasonable request of the Lead Borrower or the Agent), executed originals of any other form prescribed by applicable Law as a basis for claiming exemption from or a reduction in U.S. federal withholding Tax, duly completed, together with such supplementary documentation as may be prescribed by applicable Law to permit the Lead Borrower or the Agent to determine the withholding or deduction required to be made; and</w:t>
      </w:r>
    </w:p>
    <w:p>
      <w:pPr>
        <w:spacing w:after="0" w:line="124" w:lineRule="exact"/>
        <w:rPr>
          <w:rFonts w:ascii="Arial" w:cs="Arial" w:eastAsia="Arial" w:hAnsi="Arial"/>
          <w:sz w:val="13"/>
          <w:szCs w:val="13"/>
          <w:color w:val="auto"/>
        </w:rPr>
      </w:pPr>
    </w:p>
    <w:p>
      <w:pPr>
        <w:jc w:val="both"/>
        <w:ind w:left="1080" w:firstLine="2230"/>
        <w:spacing w:after="0" w:line="254" w:lineRule="auto"/>
        <w:tabs>
          <w:tab w:leader="none" w:pos="3932" w:val="left"/>
        </w:tabs>
        <w:numPr>
          <w:ilvl w:val="0"/>
          <w:numId w:val="101"/>
        </w:numPr>
        <w:rPr>
          <w:rFonts w:ascii="Arial" w:cs="Arial" w:eastAsia="Arial" w:hAnsi="Arial"/>
          <w:sz w:val="13"/>
          <w:szCs w:val="13"/>
          <w:color w:val="auto"/>
        </w:rPr>
      </w:pPr>
      <w:r>
        <w:rPr>
          <w:rFonts w:ascii="Arial" w:cs="Arial" w:eastAsia="Arial" w:hAnsi="Arial"/>
          <w:sz w:val="13"/>
          <w:szCs w:val="13"/>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Lead Borrower and the Agent at the time or times prescribed by law and at such time or times reasonably requested by the Lead Borrower or the Agent such documentation prescribed by applicable Law (including as prescribed by Section 1471(b)(3)(C)(i) of the Code) and such</w:t>
      </w:r>
    </w:p>
    <w:p>
      <w:pPr>
        <w:spacing w:after="0" w:line="271"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85" w:name="page86"/>
    <w:bookmarkEnd w:id="85"/>
    <w:p>
      <w:pPr>
        <w:jc w:val="both"/>
        <w:ind w:left="1080"/>
        <w:spacing w:after="0" w:line="259" w:lineRule="auto"/>
        <w:rPr>
          <w:sz w:val="20"/>
          <w:szCs w:val="20"/>
          <w:color w:val="auto"/>
        </w:rPr>
      </w:pPr>
      <w:r>
        <w:rPr>
          <w:rFonts w:ascii="Arial" w:cs="Arial" w:eastAsia="Arial" w:hAnsi="Arial"/>
          <w:sz w:val="13"/>
          <w:szCs w:val="13"/>
          <w:color w:val="auto"/>
        </w:rPr>
        <w:t>additional documentation reasonably requested by the Lead Borrower or the Agent as may be necessary for the Lead Borrower and the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21" w:lineRule="exact"/>
        <w:rPr>
          <w:sz w:val="20"/>
          <w:szCs w:val="20"/>
          <w:color w:val="auto"/>
        </w:rPr>
      </w:pPr>
    </w:p>
    <w:p>
      <w:pPr>
        <w:ind w:left="220" w:firstLine="2432"/>
        <w:spacing w:after="0" w:line="271" w:lineRule="auto"/>
        <w:tabs>
          <w:tab w:leader="none" w:pos="3274" w:val="left"/>
        </w:tabs>
        <w:numPr>
          <w:ilvl w:val="1"/>
          <w:numId w:val="102"/>
        </w:numPr>
        <w:rPr>
          <w:rFonts w:ascii="Arial" w:cs="Arial" w:eastAsia="Arial" w:hAnsi="Arial"/>
          <w:sz w:val="13"/>
          <w:szCs w:val="13"/>
          <w:color w:val="auto"/>
        </w:rPr>
      </w:pPr>
      <w:r>
        <w:rPr>
          <w:rFonts w:ascii="Arial" w:cs="Arial" w:eastAsia="Arial" w:hAnsi="Arial"/>
          <w:sz w:val="13"/>
          <w:szCs w:val="13"/>
          <w:color w:val="auto"/>
        </w:rPr>
        <w:t xml:space="preserve">Each Lender agrees that if any form or certification it previously delivered pursuant to this </w:t>
      </w:r>
      <w:r>
        <w:rPr>
          <w:rFonts w:ascii="Arial" w:cs="Arial" w:eastAsia="Arial" w:hAnsi="Arial"/>
          <w:sz w:val="13"/>
          <w:szCs w:val="13"/>
          <w:u w:val="single" w:color="auto"/>
          <w:color w:val="auto"/>
        </w:rPr>
        <w:t>Section 3.01</w:t>
      </w:r>
      <w:r>
        <w:rPr>
          <w:rFonts w:ascii="Arial" w:cs="Arial" w:eastAsia="Arial" w:hAnsi="Arial"/>
          <w:sz w:val="13"/>
          <w:szCs w:val="13"/>
          <w:color w:val="auto"/>
        </w:rPr>
        <w:t xml:space="preserve"> expires or becomes obsolete or inaccurate in any respect, it shall update such form or certification or promptly notify the Lead Borrower and the Agent in writing of its legal inability to do so.</w:t>
      </w:r>
    </w:p>
    <w:p>
      <w:pPr>
        <w:spacing w:after="0" w:line="112" w:lineRule="exact"/>
        <w:rPr>
          <w:rFonts w:ascii="Arial" w:cs="Arial" w:eastAsia="Arial" w:hAnsi="Arial"/>
          <w:sz w:val="13"/>
          <w:szCs w:val="13"/>
          <w:color w:val="auto"/>
        </w:rPr>
      </w:pPr>
    </w:p>
    <w:p>
      <w:pPr>
        <w:jc w:val="both"/>
        <w:ind w:left="220" w:firstLine="1624"/>
        <w:spacing w:after="0" w:line="271" w:lineRule="auto"/>
        <w:tabs>
          <w:tab w:leader="none" w:pos="2398" w:val="left"/>
        </w:tabs>
        <w:numPr>
          <w:ilvl w:val="0"/>
          <w:numId w:val="103"/>
        </w:numPr>
        <w:rPr>
          <w:rFonts w:ascii="Arial" w:cs="Arial" w:eastAsia="Arial" w:hAnsi="Arial"/>
          <w:sz w:val="12"/>
          <w:szCs w:val="12"/>
          <w:color w:val="auto"/>
        </w:rPr>
      </w:pPr>
      <w:r>
        <w:rPr>
          <w:rFonts w:ascii="Arial" w:cs="Arial" w:eastAsia="Arial" w:hAnsi="Arial"/>
          <w:sz w:val="12"/>
          <w:szCs w:val="12"/>
          <w:u w:val="single" w:color="auto"/>
          <w:color w:val="auto"/>
        </w:rPr>
        <w:t>Treatment of Certain Refunds</w:t>
      </w:r>
      <w:r>
        <w:rPr>
          <w:rFonts w:ascii="Arial" w:cs="Arial" w:eastAsia="Arial" w:hAnsi="Arial"/>
          <w:sz w:val="12"/>
          <w:szCs w:val="12"/>
          <w:color w:val="auto"/>
        </w:rPr>
        <w:t xml:space="preserve">. Unless required by applicable Laws, at no time shall the Agent have any obligation to file for or otherwise pursue on behalf of a Lender or the L/C Issuer, or have any obligation to pay to any Lender or the L/C Issuer, any refund of Taxes withheld or deducted from funds paid for the account of such Lender or the L/C Issuer, as the case may be. If any Recipient determines, in its sole discretion exercised in good faith, that it has received a refund of any Taxes as to which it has been indemnified by any Loan Party or with respect to which any Loan Party has paid additional amounts pursuant to this </w:t>
      </w:r>
      <w:r>
        <w:rPr>
          <w:rFonts w:ascii="Arial" w:cs="Arial" w:eastAsia="Arial" w:hAnsi="Arial"/>
          <w:sz w:val="12"/>
          <w:szCs w:val="12"/>
          <w:u w:val="single" w:color="auto"/>
          <w:color w:val="auto"/>
        </w:rPr>
        <w:t>Section 3.01</w:t>
      </w:r>
      <w:r>
        <w:rPr>
          <w:rFonts w:ascii="Arial" w:cs="Arial" w:eastAsia="Arial" w:hAnsi="Arial"/>
          <w:sz w:val="12"/>
          <w:szCs w:val="12"/>
          <w:color w:val="auto"/>
        </w:rPr>
        <w:t xml:space="preserve">, it shall pay to the Loan Party an amount equal to such refund (but only to the extent of indemnity payments made, or additional amounts paid, by a Loan Party under this </w:t>
      </w:r>
      <w:r>
        <w:rPr>
          <w:rFonts w:ascii="Arial" w:cs="Arial" w:eastAsia="Arial" w:hAnsi="Arial"/>
          <w:sz w:val="12"/>
          <w:szCs w:val="12"/>
          <w:u w:val="single" w:color="auto"/>
          <w:color w:val="auto"/>
        </w:rPr>
        <w:t>Section 3.01</w:t>
      </w:r>
      <w:r>
        <w:rPr>
          <w:rFonts w:ascii="Arial" w:cs="Arial" w:eastAsia="Arial" w:hAnsi="Arial"/>
          <w:sz w:val="12"/>
          <w:szCs w:val="12"/>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provided that the Loan Party, upon the request of the Recipient, agrees to repay the amount paid over to the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the Loan Party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Loan Party or any other Person.</w:t>
      </w:r>
    </w:p>
    <w:p>
      <w:pPr>
        <w:spacing w:after="0" w:line="114" w:lineRule="exact"/>
        <w:rPr>
          <w:rFonts w:ascii="Arial" w:cs="Arial" w:eastAsia="Arial" w:hAnsi="Arial"/>
          <w:sz w:val="12"/>
          <w:szCs w:val="12"/>
          <w:color w:val="auto"/>
        </w:rPr>
      </w:pPr>
    </w:p>
    <w:p>
      <w:pPr>
        <w:ind w:left="220" w:firstLine="1623"/>
        <w:spacing w:after="0" w:line="314" w:lineRule="auto"/>
        <w:tabs>
          <w:tab w:leader="none" w:pos="2419" w:val="left"/>
        </w:tabs>
        <w:numPr>
          <w:ilvl w:val="0"/>
          <w:numId w:val="103"/>
        </w:numPr>
        <w:rPr>
          <w:rFonts w:ascii="Arial" w:cs="Arial" w:eastAsia="Arial" w:hAnsi="Arial"/>
          <w:sz w:val="12"/>
          <w:szCs w:val="12"/>
          <w:color w:val="auto"/>
        </w:rPr>
      </w:pPr>
      <w:r>
        <w:rPr>
          <w:rFonts w:ascii="Arial" w:cs="Arial" w:eastAsia="Arial" w:hAnsi="Arial"/>
          <w:sz w:val="12"/>
          <w:szCs w:val="12"/>
          <w:color w:val="auto"/>
        </w:rPr>
        <w:t>For purposes of determining withholding Taxes imposed under FATCA, from and after the effective date of this Agreement, the Borrowers and the Agent shall treat (and the Lenders hereby authorize the Agent to treat) this Agreement as not qualifying as a “grandfathered obligation” within the meaning of Treasury Regulation Section 1.1471-2(b)(2)(i).</w:t>
      </w:r>
    </w:p>
    <w:p>
      <w:pPr>
        <w:spacing w:after="0" w:line="89" w:lineRule="exact"/>
        <w:rPr>
          <w:rFonts w:ascii="Arial" w:cs="Arial" w:eastAsia="Arial" w:hAnsi="Arial"/>
          <w:sz w:val="12"/>
          <w:szCs w:val="12"/>
          <w:color w:val="auto"/>
        </w:rPr>
      </w:pPr>
    </w:p>
    <w:p>
      <w:pPr>
        <w:ind w:left="220" w:firstLine="1623"/>
        <w:spacing w:after="0" w:line="271" w:lineRule="auto"/>
        <w:tabs>
          <w:tab w:leader="none" w:pos="2418" w:val="left"/>
        </w:tabs>
        <w:numPr>
          <w:ilvl w:val="0"/>
          <w:numId w:val="103"/>
        </w:numPr>
        <w:rPr>
          <w:rFonts w:ascii="Arial" w:cs="Arial" w:eastAsia="Arial" w:hAnsi="Arial"/>
          <w:sz w:val="13"/>
          <w:szCs w:val="13"/>
          <w:color w:val="auto"/>
        </w:rPr>
      </w:pPr>
      <w:r>
        <w:rPr>
          <w:rFonts w:ascii="Arial" w:cs="Arial" w:eastAsia="Arial" w:hAnsi="Arial"/>
          <w:sz w:val="13"/>
          <w:szCs w:val="13"/>
          <w:u w:val="single" w:color="auto"/>
          <w:color w:val="auto"/>
        </w:rPr>
        <w:t>Survival</w:t>
      </w:r>
      <w:r>
        <w:rPr>
          <w:rFonts w:ascii="Arial" w:cs="Arial" w:eastAsia="Arial" w:hAnsi="Arial"/>
          <w:sz w:val="13"/>
          <w:szCs w:val="13"/>
          <w:color w:val="auto"/>
        </w:rPr>
        <w:t xml:space="preserve">. Each party’s obligations under this </w:t>
      </w:r>
      <w:r>
        <w:rPr>
          <w:rFonts w:ascii="Arial" w:cs="Arial" w:eastAsia="Arial" w:hAnsi="Arial"/>
          <w:sz w:val="13"/>
          <w:szCs w:val="13"/>
          <w:u w:val="single" w:color="auto"/>
          <w:color w:val="auto"/>
        </w:rPr>
        <w:t>Section 3.01</w:t>
      </w:r>
      <w:r>
        <w:rPr>
          <w:rFonts w:ascii="Arial" w:cs="Arial" w:eastAsia="Arial" w:hAnsi="Arial"/>
          <w:sz w:val="13"/>
          <w:szCs w:val="13"/>
          <w:color w:val="auto"/>
        </w:rPr>
        <w:t xml:space="preserve"> shall survive the resignation or replacement of the Agent or any assignment of rights by, or the replacement of, a Lender or the L/C Issuer, the termination of the Commitments and the repayment, satisfaction or discharge of all other Obligations.</w:t>
      </w:r>
    </w:p>
    <w:p>
      <w:pPr>
        <w:spacing w:after="0" w:line="109" w:lineRule="exact"/>
        <w:rPr>
          <w:sz w:val="20"/>
          <w:szCs w:val="20"/>
          <w:color w:val="auto"/>
        </w:rPr>
      </w:pPr>
    </w:p>
    <w:p>
      <w:pPr>
        <w:jc w:val="both"/>
        <w:ind w:left="220" w:firstLine="808"/>
        <w:spacing w:after="0" w:line="256" w:lineRule="auto"/>
        <w:rPr>
          <w:sz w:val="20"/>
          <w:szCs w:val="20"/>
          <w:color w:val="auto"/>
        </w:rPr>
      </w:pPr>
      <w:r>
        <w:rPr>
          <w:rFonts w:ascii="Arial" w:cs="Arial" w:eastAsia="Arial" w:hAnsi="Arial"/>
          <w:sz w:val="13"/>
          <w:szCs w:val="13"/>
          <w:b w:val="1"/>
          <w:bCs w:val="1"/>
          <w:color w:val="auto"/>
        </w:rPr>
        <w:t>3.02 Illegality</w:t>
      </w:r>
      <w:r>
        <w:rPr>
          <w:rFonts w:ascii="Arial" w:cs="Arial" w:eastAsia="Arial" w:hAnsi="Arial"/>
          <w:sz w:val="13"/>
          <w:szCs w:val="13"/>
          <w:color w:val="auto"/>
        </w:rPr>
        <w:t>. If any Lender determines that any Law has made it unlawful, or that any Governmental Authority has asserted that it is unlawful, for any Lender or its applicable</w:t>
      </w:r>
      <w:r>
        <w:rPr>
          <w:rFonts w:ascii="Arial" w:cs="Arial" w:eastAsia="Arial" w:hAnsi="Arial"/>
          <w:sz w:val="13"/>
          <w:szCs w:val="13"/>
          <w:b w:val="1"/>
          <w:bCs w:val="1"/>
          <w:color w:val="auto"/>
        </w:rPr>
        <w:t xml:space="preserve"> </w:t>
      </w:r>
      <w:r>
        <w:rPr>
          <w:rFonts w:ascii="Arial" w:cs="Arial" w:eastAsia="Arial" w:hAnsi="Arial"/>
          <w:sz w:val="13"/>
          <w:szCs w:val="13"/>
          <w:color w:val="auto"/>
        </w:rPr>
        <w:t>Lending Office to make, maintain or fund LIBOR Rate Loans, or to determine or charge interest rates based upon the LIBOR Rate, or any Governmental Authority has imposed material restrictions on the authority of such Lender to purchase or sell, or to take deposits of, Dollars in the London interbank market, then, on notice thereof by such Lender to the Lead Borrower through the Agent, (i) any obligation of such Lender to make or continue LIBOR Rate Loans or to Convert Base Rate Loans to LIBOR Rate Loans shall be</w:t>
      </w:r>
    </w:p>
    <w:p>
      <w:pPr>
        <w:spacing w:after="0" w:line="270"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86" w:name="page87"/>
    <w:bookmarkEnd w:id="86"/>
    <w:p>
      <w:pPr>
        <w:jc w:val="both"/>
        <w:ind w:left="220"/>
        <w:spacing w:after="0" w:line="272" w:lineRule="auto"/>
        <w:rPr>
          <w:sz w:val="20"/>
          <w:szCs w:val="20"/>
          <w:color w:val="auto"/>
        </w:rPr>
      </w:pPr>
      <w:r>
        <w:rPr>
          <w:rFonts w:ascii="Arial" w:cs="Arial" w:eastAsia="Arial" w:hAnsi="Arial"/>
          <w:sz w:val="12"/>
          <w:szCs w:val="12"/>
          <w:color w:val="auto"/>
        </w:rPr>
        <w:t>suspended, and (ii) if such notice asserts the illegality of such Lender making or maintaining Base Rate Loans the interest rate on which is determined by reference to the LIBOR Rate component of the Base Rate, the interest rate on which Base Rate Loans of such Lender shall, if necessary to avoid such illegality, be determined by the Agent without reference to the LIBOR Rate component of the Base Rate, in each case, until such Lender notifies the Agent and the Lead Borrower that the circumstances giving rise to such determination no longer exist. Upon receipt of such notice, (x) the Borrowers shall, upon demand from such Lender (with a copy to the Agent), prepay or, if applicable, Convert all LIBOR Rate Loans of such Lender to Base Rate Loans (the interest rate on which Base Rate Loans of such Lender shall, if necessary to avoid such illegality, be determined by the Agent without reference to the LIBOR Rate component of the Base Rate), either on the last day of the Interest Period therefor, if such Lender may lawfully continue to maintain such LIBOR Rate Loans to such day, or immediately, if such Lender may not lawfully continue to maintain such LIBOR Rate Loans and (y) if such notice asserts the illegality of such Lender determining or charging interest rates based upon the LIBOR Rate, the Agent shall during the period of such suspension compute the Base Rate applicable to such Lender without reference to the LIBOR Rate component thereof until the Agent is advised in writing by such Lender that it is no longer illegal for such Lender to determine or charge interest rates based upon the LIBOR Rate. Upon any such prepayment or Conversion, the Borrowers shall also pay accrued interest on the amount so prepaid or Converted.</w:t>
      </w:r>
    </w:p>
    <w:p>
      <w:pPr>
        <w:spacing w:after="0" w:line="112" w:lineRule="exact"/>
        <w:rPr>
          <w:sz w:val="20"/>
          <w:szCs w:val="20"/>
          <w:color w:val="auto"/>
        </w:rPr>
      </w:pPr>
    </w:p>
    <w:p>
      <w:pPr>
        <w:jc w:val="both"/>
        <w:ind w:left="220" w:firstLine="808"/>
        <w:spacing w:after="0" w:line="274" w:lineRule="auto"/>
        <w:rPr>
          <w:sz w:val="20"/>
          <w:szCs w:val="20"/>
          <w:color w:val="auto"/>
        </w:rPr>
      </w:pPr>
      <w:r>
        <w:rPr>
          <w:rFonts w:ascii="Arial" w:cs="Arial" w:eastAsia="Arial" w:hAnsi="Arial"/>
          <w:sz w:val="12"/>
          <w:szCs w:val="12"/>
          <w:b w:val="1"/>
          <w:bCs w:val="1"/>
          <w:color w:val="auto"/>
        </w:rPr>
        <w:t>3.03 Inability to Determine Rates</w:t>
      </w:r>
      <w:r>
        <w:rPr>
          <w:rFonts w:ascii="Arial" w:cs="Arial" w:eastAsia="Arial" w:hAnsi="Arial"/>
          <w:sz w:val="12"/>
          <w:szCs w:val="12"/>
          <w:color w:val="auto"/>
        </w:rPr>
        <w:t>. If the Required Lenders determine that for any reason in connection with any request for a LIBOR Rate Loan or a Conversion to or</w:t>
      </w:r>
      <w:r>
        <w:rPr>
          <w:rFonts w:ascii="Arial" w:cs="Arial" w:eastAsia="Arial" w:hAnsi="Arial"/>
          <w:sz w:val="12"/>
          <w:szCs w:val="12"/>
          <w:b w:val="1"/>
          <w:bCs w:val="1"/>
          <w:color w:val="auto"/>
        </w:rPr>
        <w:t xml:space="preserve"> </w:t>
      </w:r>
      <w:r>
        <w:rPr>
          <w:rFonts w:ascii="Arial" w:cs="Arial" w:eastAsia="Arial" w:hAnsi="Arial"/>
          <w:sz w:val="12"/>
          <w:szCs w:val="12"/>
          <w:color w:val="auto"/>
        </w:rPr>
        <w:t>continuation thereof that (a) Dollar deposits are not being offered to banks in the London interbank market for the applicable amount and Interest Period of such LIBOR Rate Loan, (b) adequate and reasonable means do not exist for determining the LIBOR Rate for any requested Interest Period with respect to a proposed LIBOR Rate Loan , or (c) the LIBOR Rate for any requested Interest Period with respect to a proposed LIBOR Rate Loan does not adequately and fairly reflect the cost to such Lenders of funding such Loan, the Agent will promptly so notify the Lead Borrower and each Lender. Thereafter, (x) the obligation of the Lenders to make or maintain LIBOR Rate Loans shall be suspended, and (y) in the event of a determination described in the preceding sentence with respect to the LIBOR Rate component of the Base Rate, the utilization of the LIBOR Rate component in determining the Base Rate shall be suspended, in each case until the until the Agent (upon the instruction of the Required Lenders) revokes such notice. Upon receipt of such notice, the Lead Borrower may revoke any pending request for a Borrowing of, Conversion to or continuation of LIBOR Rate Loans or, failing that, will be deemed to have Converted such request into a request for a Committed Borrowing of Base Rate Loans in the amount specified therein.</w:t>
      </w:r>
    </w:p>
    <w:p>
      <w:pPr>
        <w:spacing w:after="0" w:line="109"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3"/>
          <w:szCs w:val="13"/>
          <w:b w:val="1"/>
          <w:bCs w:val="1"/>
          <w:color w:val="auto"/>
        </w:rPr>
        <w:t>3.04</w:t>
      </w:r>
      <w:r>
        <w:rPr>
          <w:sz w:val="20"/>
          <w:szCs w:val="20"/>
          <w:color w:val="auto"/>
        </w:rPr>
        <w:tab/>
      </w:r>
      <w:r>
        <w:rPr>
          <w:rFonts w:ascii="Arial" w:cs="Arial" w:eastAsia="Arial" w:hAnsi="Arial"/>
          <w:sz w:val="11"/>
          <w:szCs w:val="11"/>
          <w:b w:val="1"/>
          <w:bCs w:val="1"/>
          <w:color w:val="auto"/>
        </w:rPr>
        <w:t>Increased Costs; Reserves on LIBOR Rate Loans</w:t>
      </w:r>
      <w:r>
        <w:rPr>
          <w:rFonts w:ascii="Arial" w:cs="Arial" w:eastAsia="Arial" w:hAnsi="Arial"/>
          <w:sz w:val="11"/>
          <w:szCs w:val="11"/>
          <w:color w:val="auto"/>
        </w:rPr>
        <w:t>.</w:t>
      </w:r>
    </w:p>
    <w:p>
      <w:pPr>
        <w:spacing w:after="0" w:line="152" w:lineRule="exact"/>
        <w:rPr>
          <w:sz w:val="20"/>
          <w:szCs w:val="20"/>
          <w:color w:val="auto"/>
        </w:rPr>
      </w:pPr>
    </w:p>
    <w:p>
      <w:pPr>
        <w:ind w:left="2460" w:hanging="582"/>
        <w:spacing w:after="0"/>
        <w:tabs>
          <w:tab w:leader="none" w:pos="2460" w:val="left"/>
        </w:tabs>
        <w:numPr>
          <w:ilvl w:val="0"/>
          <w:numId w:val="104"/>
        </w:numPr>
        <w:rPr>
          <w:rFonts w:ascii="Arial" w:cs="Arial" w:eastAsia="Arial" w:hAnsi="Arial"/>
          <w:sz w:val="13"/>
          <w:szCs w:val="13"/>
          <w:color w:val="auto"/>
        </w:rPr>
      </w:pPr>
      <w:r>
        <w:rPr>
          <w:rFonts w:ascii="Arial" w:cs="Arial" w:eastAsia="Arial" w:hAnsi="Arial"/>
          <w:sz w:val="13"/>
          <w:szCs w:val="13"/>
          <w:u w:val="single" w:color="auto"/>
          <w:color w:val="auto"/>
        </w:rPr>
        <w:t>Increased Costs Generally</w:t>
      </w:r>
      <w:r>
        <w:rPr>
          <w:rFonts w:ascii="Arial" w:cs="Arial" w:eastAsia="Arial" w:hAnsi="Arial"/>
          <w:sz w:val="13"/>
          <w:szCs w:val="13"/>
          <w:color w:val="auto"/>
        </w:rPr>
        <w:t>. If any Change in Law shall:</w:t>
      </w:r>
    </w:p>
    <w:p>
      <w:pPr>
        <w:spacing w:after="0" w:line="147" w:lineRule="exact"/>
        <w:rPr>
          <w:rFonts w:ascii="Arial" w:cs="Arial" w:eastAsia="Arial" w:hAnsi="Arial"/>
          <w:sz w:val="13"/>
          <w:szCs w:val="13"/>
          <w:color w:val="auto"/>
        </w:rPr>
      </w:pPr>
    </w:p>
    <w:p>
      <w:pPr>
        <w:ind w:left="1060" w:firstLine="1500"/>
        <w:spacing w:after="0" w:line="271" w:lineRule="auto"/>
        <w:tabs>
          <w:tab w:leader="none" w:pos="3108" w:val="left"/>
        </w:tabs>
        <w:numPr>
          <w:ilvl w:val="1"/>
          <w:numId w:val="104"/>
        </w:numPr>
        <w:rPr>
          <w:rFonts w:ascii="Arial" w:cs="Arial" w:eastAsia="Arial" w:hAnsi="Arial"/>
          <w:sz w:val="13"/>
          <w:szCs w:val="13"/>
          <w:color w:val="auto"/>
        </w:rPr>
      </w:pPr>
      <w:r>
        <w:rPr>
          <w:rFonts w:ascii="Arial" w:cs="Arial" w:eastAsia="Arial" w:hAnsi="Arial"/>
          <w:sz w:val="13"/>
          <w:szCs w:val="13"/>
          <w:color w:val="auto"/>
        </w:rPr>
        <w:t>impose, modify or deem applicable any reserve, special deposit, compulsory loan, insurance charge or similar requirement against assets of, deposits with or for the account of, or credit extended or participated in by, any Lender (except any reserve requirement reflected in the LIBOR Rate) or the L/C Issuer;</w:t>
      </w:r>
    </w:p>
    <w:p>
      <w:pPr>
        <w:spacing w:after="0" w:line="112" w:lineRule="exact"/>
        <w:rPr>
          <w:rFonts w:ascii="Arial" w:cs="Arial" w:eastAsia="Arial" w:hAnsi="Arial"/>
          <w:sz w:val="13"/>
          <w:szCs w:val="13"/>
          <w:color w:val="auto"/>
        </w:rPr>
      </w:pPr>
    </w:p>
    <w:p>
      <w:pPr>
        <w:jc w:val="both"/>
        <w:ind w:left="1060" w:firstLine="1500"/>
        <w:spacing w:after="0" w:line="258" w:lineRule="auto"/>
        <w:tabs>
          <w:tab w:leader="none" w:pos="3145" w:val="left"/>
        </w:tabs>
        <w:numPr>
          <w:ilvl w:val="1"/>
          <w:numId w:val="104"/>
        </w:numPr>
        <w:rPr>
          <w:rFonts w:ascii="Arial" w:cs="Arial" w:eastAsia="Arial" w:hAnsi="Arial"/>
          <w:sz w:val="13"/>
          <w:szCs w:val="13"/>
          <w:color w:val="auto"/>
        </w:rPr>
      </w:pPr>
      <w:r>
        <w:rPr>
          <w:rFonts w:ascii="Arial" w:cs="Arial" w:eastAsia="Arial" w:hAnsi="Arial"/>
          <w:sz w:val="13"/>
          <w:szCs w:val="13"/>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269"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87" w:name="page88"/>
    <w:bookmarkEnd w:id="87"/>
    <w:p>
      <w:pPr>
        <w:ind w:left="1080" w:firstLine="1484"/>
        <w:spacing w:after="0" w:line="273" w:lineRule="auto"/>
        <w:tabs>
          <w:tab w:leader="none" w:pos="3202" w:val="left"/>
        </w:tabs>
        <w:numPr>
          <w:ilvl w:val="0"/>
          <w:numId w:val="105"/>
        </w:numPr>
        <w:rPr>
          <w:rFonts w:ascii="Arial" w:cs="Arial" w:eastAsia="Arial" w:hAnsi="Arial"/>
          <w:sz w:val="13"/>
          <w:szCs w:val="13"/>
          <w:color w:val="auto"/>
        </w:rPr>
      </w:pPr>
      <w:r>
        <w:rPr>
          <w:rFonts w:ascii="Arial" w:cs="Arial" w:eastAsia="Arial" w:hAnsi="Arial"/>
          <w:sz w:val="13"/>
          <w:szCs w:val="13"/>
          <w:color w:val="auto"/>
        </w:rPr>
        <w:t>impose on any Lender or the L/C Issuer or the London interbank market any other condition, cost or expense affecting this Agreement or LIBOR Rate Loans made by such Lender or any Letter of Credit or participation therein;</w:t>
      </w:r>
    </w:p>
    <w:p>
      <w:pPr>
        <w:spacing w:after="0" w:line="112" w:lineRule="exact"/>
        <w:rPr>
          <w:sz w:val="20"/>
          <w:szCs w:val="20"/>
          <w:color w:val="auto"/>
        </w:rPr>
      </w:pPr>
    </w:p>
    <w:p>
      <w:pPr>
        <w:jc w:val="both"/>
        <w:ind w:left="220"/>
        <w:spacing w:after="0" w:line="252" w:lineRule="auto"/>
        <w:rPr>
          <w:sz w:val="20"/>
          <w:szCs w:val="20"/>
          <w:color w:val="auto"/>
        </w:rPr>
      </w:pPr>
      <w:r>
        <w:rPr>
          <w:rFonts w:ascii="Arial" w:cs="Arial" w:eastAsia="Arial" w:hAnsi="Arial"/>
          <w:sz w:val="13"/>
          <w:szCs w:val="13"/>
          <w:color w:val="auto"/>
        </w:rPr>
        <w:t>and the result of any of the foregoing shall be to increase the cost to such Lender of making, converting to, continuing or maintaining any LIBOR Rate Loan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upon request of such Lender or the L/C Issuer, the Loan Parties will pay to such Lender or the L/C Issuer, as the case may be, such additional amount or amounts as will compensate such Lender or the L/C Issuer, as the case may be, for such additional costs incurred or reduction suffered.</w:t>
      </w:r>
    </w:p>
    <w:p>
      <w:pPr>
        <w:spacing w:after="0" w:line="125" w:lineRule="exact"/>
        <w:rPr>
          <w:sz w:val="20"/>
          <w:szCs w:val="20"/>
          <w:color w:val="auto"/>
        </w:rPr>
      </w:pPr>
    </w:p>
    <w:p>
      <w:pPr>
        <w:jc w:val="both"/>
        <w:ind w:left="220" w:firstLine="1623"/>
        <w:spacing w:after="0" w:line="250" w:lineRule="auto"/>
        <w:tabs>
          <w:tab w:leader="none" w:pos="2418" w:val="left"/>
        </w:tabs>
        <w:numPr>
          <w:ilvl w:val="0"/>
          <w:numId w:val="106"/>
        </w:numPr>
        <w:rPr>
          <w:rFonts w:ascii="Arial" w:cs="Arial" w:eastAsia="Arial" w:hAnsi="Arial"/>
          <w:sz w:val="13"/>
          <w:szCs w:val="13"/>
          <w:color w:val="auto"/>
        </w:rPr>
      </w:pPr>
      <w:r>
        <w:rPr>
          <w:rFonts w:ascii="Arial" w:cs="Arial" w:eastAsia="Arial" w:hAnsi="Arial"/>
          <w:sz w:val="13"/>
          <w:szCs w:val="13"/>
          <w:u w:val="single" w:color="auto"/>
          <w:color w:val="auto"/>
        </w:rPr>
        <w:t>Capital Requirements</w:t>
      </w:r>
      <w:r>
        <w:rPr>
          <w:rFonts w:ascii="Arial" w:cs="Arial" w:eastAsia="Arial" w:hAnsi="Arial"/>
          <w:sz w:val="13"/>
          <w:szCs w:val="13"/>
          <w:color w:val="auto"/>
        </w:rPr>
        <w:t>. If any Lender or the L/C Issuer determines that any Change in Law affecting such Lender or the L/C Issuer or any Lending Office of such Lender or such Lender’s or the L/C Issuer’s holding company, if any, regarding capital requirements has or would have the effect of reducing the rate of return on such Lender’s or the L/C Issuer’s capital or on the capital or liquidity of such Lender’s or the L/C Issuer’s holding company, if any, as a consequence of this Agreement, the Commitments of such Lender or the Loans made by, or participations in Letters of Credit or swing Line Loans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then from time to time the Loan Parties will pay to such Lender or the L/C Issuer, as the case may be, such additional amount or amounts as will compensate such Lender or the L/C Issuer or such Lender’s or the L/C Issuer’s holding company for any such reduction suffered.</w:t>
      </w:r>
    </w:p>
    <w:p>
      <w:pPr>
        <w:spacing w:after="0" w:line="125" w:lineRule="exact"/>
        <w:rPr>
          <w:rFonts w:ascii="Arial" w:cs="Arial" w:eastAsia="Arial" w:hAnsi="Arial"/>
          <w:sz w:val="13"/>
          <w:szCs w:val="13"/>
          <w:color w:val="auto"/>
        </w:rPr>
      </w:pPr>
    </w:p>
    <w:p>
      <w:pPr>
        <w:jc w:val="both"/>
        <w:ind w:left="220" w:firstLine="1624"/>
        <w:spacing w:after="0" w:line="258" w:lineRule="auto"/>
        <w:tabs>
          <w:tab w:leader="none" w:pos="2412" w:val="left"/>
        </w:tabs>
        <w:numPr>
          <w:ilvl w:val="0"/>
          <w:numId w:val="106"/>
        </w:numPr>
        <w:rPr>
          <w:rFonts w:ascii="Arial" w:cs="Arial" w:eastAsia="Arial" w:hAnsi="Arial"/>
          <w:sz w:val="13"/>
          <w:szCs w:val="13"/>
          <w:color w:val="auto"/>
        </w:rPr>
      </w:pPr>
      <w:r>
        <w:rPr>
          <w:rFonts w:ascii="Arial" w:cs="Arial" w:eastAsia="Arial" w:hAnsi="Arial"/>
          <w:sz w:val="13"/>
          <w:szCs w:val="13"/>
          <w:u w:val="single" w:color="auto"/>
          <w:color w:val="auto"/>
        </w:rPr>
        <w:t>Certificates for Reimbursement</w:t>
      </w:r>
      <w:r>
        <w:rPr>
          <w:rFonts w:ascii="Arial" w:cs="Arial" w:eastAsia="Arial" w:hAnsi="Arial"/>
          <w:sz w:val="13"/>
          <w:szCs w:val="13"/>
          <w:color w:val="auto"/>
        </w:rPr>
        <w:t>. A certificate of a Lender or the L/C Issuer setting forth the amount or amounts necessary to compensate such Lender or the L/C Issuer or its holding company, as the case may be, as specified in subsection (a) or (b) of this Section and delivered to the Lead Borrower shall be conclusive absent manifest error. The Loan Parties shall pay such Lender or the L/C Issuer, as the case may be, the amount shown as due on any such certificate within 10 days after receipt thereof.</w:t>
      </w:r>
    </w:p>
    <w:p>
      <w:pPr>
        <w:spacing w:after="0" w:line="121" w:lineRule="exact"/>
        <w:rPr>
          <w:rFonts w:ascii="Arial" w:cs="Arial" w:eastAsia="Arial" w:hAnsi="Arial"/>
          <w:sz w:val="13"/>
          <w:szCs w:val="13"/>
          <w:color w:val="auto"/>
        </w:rPr>
      </w:pPr>
    </w:p>
    <w:p>
      <w:pPr>
        <w:jc w:val="both"/>
        <w:ind w:left="220" w:firstLine="1624"/>
        <w:spacing w:after="0" w:line="278" w:lineRule="auto"/>
        <w:tabs>
          <w:tab w:leader="none" w:pos="2419" w:val="left"/>
        </w:tabs>
        <w:numPr>
          <w:ilvl w:val="0"/>
          <w:numId w:val="106"/>
        </w:numPr>
        <w:rPr>
          <w:rFonts w:ascii="Arial" w:cs="Arial" w:eastAsia="Arial" w:hAnsi="Arial"/>
          <w:sz w:val="12"/>
          <w:szCs w:val="12"/>
          <w:color w:val="auto"/>
        </w:rPr>
      </w:pPr>
      <w:r>
        <w:rPr>
          <w:rFonts w:ascii="Arial" w:cs="Arial" w:eastAsia="Arial" w:hAnsi="Arial"/>
          <w:sz w:val="12"/>
          <w:szCs w:val="12"/>
          <w:u w:val="single" w:color="auto"/>
          <w:color w:val="auto"/>
        </w:rPr>
        <w:t>Delay in Requests</w:t>
      </w:r>
      <w:r>
        <w:rPr>
          <w:rFonts w:ascii="Arial" w:cs="Arial" w:eastAsia="Arial" w:hAnsi="Arial"/>
          <w:sz w:val="12"/>
          <w:szCs w:val="12"/>
          <w:color w:val="auto"/>
        </w:rPr>
        <w:t xml:space="preserve">. Failure or delay on the part of any Lender or the L/C Issuer to demand compensation pursuant to the foregoing provisions of this Section shall not constitute a waiver of such Lender’s or the L/C Issuer’s right to demand such compensation,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Loan Parties shall not be required to compensate a Lender or the L/C Issuer pursuant to the foregoing provisions of this Section for any increased costs incurred or reductions suffered more than nine months prior to the date that such Lender or the L/C Issuer, as the case may be, notifies the Lead Borrower of the Change in Law giving rise to such increased costs or reductions and of such Lender’s or the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10" w:lineRule="exact"/>
        <w:rPr>
          <w:rFonts w:ascii="Arial" w:cs="Arial" w:eastAsia="Arial" w:hAnsi="Arial"/>
          <w:sz w:val="12"/>
          <w:szCs w:val="12"/>
          <w:color w:val="auto"/>
        </w:rPr>
      </w:pPr>
    </w:p>
    <w:p>
      <w:pPr>
        <w:jc w:val="both"/>
        <w:ind w:left="220" w:firstLine="1624"/>
        <w:spacing w:after="0" w:line="258" w:lineRule="auto"/>
        <w:tabs>
          <w:tab w:leader="none" w:pos="2412" w:val="left"/>
        </w:tabs>
        <w:numPr>
          <w:ilvl w:val="0"/>
          <w:numId w:val="106"/>
        </w:numPr>
        <w:rPr>
          <w:rFonts w:ascii="Arial" w:cs="Arial" w:eastAsia="Arial" w:hAnsi="Arial"/>
          <w:sz w:val="13"/>
          <w:szCs w:val="13"/>
          <w:color w:val="auto"/>
        </w:rPr>
      </w:pPr>
      <w:r>
        <w:rPr>
          <w:rFonts w:ascii="Arial" w:cs="Arial" w:eastAsia="Arial" w:hAnsi="Arial"/>
          <w:sz w:val="13"/>
          <w:szCs w:val="13"/>
          <w:u w:val="single" w:color="auto"/>
          <w:color w:val="auto"/>
        </w:rPr>
        <w:t>Reserves on LIBOR Rate Loans</w:t>
      </w:r>
      <w:r>
        <w:rPr>
          <w:rFonts w:ascii="Arial" w:cs="Arial" w:eastAsia="Arial" w:hAnsi="Arial"/>
          <w:sz w:val="13"/>
          <w:szCs w:val="13"/>
          <w:color w:val="auto"/>
        </w:rPr>
        <w:t>. The Borrowers shall pay to each Lender, as long as such Lender shall be required to maintain reserves with respect to liabilities or assets consisting of or including Eurocurrency funds or deposits (currently known as “Eurocurrency liabilities”), additional interest on the unpaid principal amount of each LIBOR Rate Loan equal to the actual costs of such reserves allocated to such Loan by such Lender (as determined by such Lender in good faith, which</w:t>
      </w:r>
    </w:p>
    <w:p>
      <w:pPr>
        <w:spacing w:after="0" w:line="269"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88" w:name="page89"/>
    <w:bookmarkEnd w:id="88"/>
    <w:p>
      <w:pPr>
        <w:jc w:val="both"/>
        <w:ind w:left="220"/>
        <w:spacing w:after="0" w:line="259" w:lineRule="auto"/>
        <w:rPr>
          <w:sz w:val="20"/>
          <w:szCs w:val="20"/>
          <w:color w:val="auto"/>
        </w:rPr>
      </w:pPr>
      <w:r>
        <w:rPr>
          <w:rFonts w:ascii="Arial" w:cs="Arial" w:eastAsia="Arial" w:hAnsi="Arial"/>
          <w:sz w:val="13"/>
          <w:szCs w:val="13"/>
          <w:color w:val="auto"/>
        </w:rPr>
        <w:t xml:space="preserve">determination shall be conclusive), which shall be due and payable on each date on which interest is payable on such Loan,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the Lead Borrower shall have received at least 10 days’ prior notice (with a copy to the Agent) of such additional interest from such Lender. If a Lender fails to give notice 10 days prior to the relevant Interest Payment Date, such additional interest shall be due and payable 10 days from receipt of such notice.</w:t>
      </w:r>
    </w:p>
    <w:p>
      <w:pPr>
        <w:spacing w:after="0" w:line="117"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3"/>
          <w:szCs w:val="13"/>
          <w:b w:val="1"/>
          <w:bCs w:val="1"/>
          <w:color w:val="auto"/>
        </w:rPr>
        <w:t>3.05</w:t>
      </w:r>
      <w:r>
        <w:rPr>
          <w:sz w:val="20"/>
          <w:szCs w:val="20"/>
          <w:color w:val="auto"/>
        </w:rPr>
        <w:tab/>
      </w:r>
      <w:r>
        <w:rPr>
          <w:rFonts w:ascii="Arial" w:cs="Arial" w:eastAsia="Arial" w:hAnsi="Arial"/>
          <w:sz w:val="12"/>
          <w:szCs w:val="12"/>
          <w:b w:val="1"/>
          <w:bCs w:val="1"/>
          <w:color w:val="auto"/>
        </w:rPr>
        <w:t>Compensation for Losses</w:t>
      </w:r>
      <w:r>
        <w:rPr>
          <w:rFonts w:ascii="Arial" w:cs="Arial" w:eastAsia="Arial" w:hAnsi="Arial"/>
          <w:sz w:val="12"/>
          <w:szCs w:val="12"/>
          <w:color w:val="auto"/>
        </w:rPr>
        <w:t>. Upon demand of any Lender (with a copy to the Agent) from time to time, the Borrowers shall promptly compensate such Lender for and hold such</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3"/>
          <w:szCs w:val="13"/>
          <w:color w:val="auto"/>
        </w:rPr>
        <w:t>Lender harmless from any loss, cost or expense incurred by it as a result of:</w:t>
      </w:r>
    </w:p>
    <w:p>
      <w:pPr>
        <w:spacing w:after="0" w:line="138" w:lineRule="exact"/>
        <w:rPr>
          <w:sz w:val="20"/>
          <w:szCs w:val="20"/>
          <w:color w:val="auto"/>
        </w:rPr>
      </w:pPr>
    </w:p>
    <w:p>
      <w:pPr>
        <w:ind w:left="1080" w:firstLine="738"/>
        <w:spacing w:after="0" w:line="271" w:lineRule="auto"/>
        <w:tabs>
          <w:tab w:leader="none" w:pos="2403" w:val="left"/>
        </w:tabs>
        <w:numPr>
          <w:ilvl w:val="0"/>
          <w:numId w:val="107"/>
        </w:numPr>
        <w:rPr>
          <w:rFonts w:ascii="Arial" w:cs="Arial" w:eastAsia="Arial" w:hAnsi="Arial"/>
          <w:sz w:val="13"/>
          <w:szCs w:val="13"/>
          <w:color w:val="auto"/>
        </w:rPr>
      </w:pPr>
      <w:r>
        <w:rPr>
          <w:rFonts w:ascii="Arial" w:cs="Arial" w:eastAsia="Arial" w:hAnsi="Arial"/>
          <w:sz w:val="13"/>
          <w:szCs w:val="13"/>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12" w:lineRule="exact"/>
        <w:rPr>
          <w:rFonts w:ascii="Arial" w:cs="Arial" w:eastAsia="Arial" w:hAnsi="Arial"/>
          <w:sz w:val="13"/>
          <w:szCs w:val="13"/>
          <w:color w:val="auto"/>
        </w:rPr>
      </w:pPr>
    </w:p>
    <w:p>
      <w:pPr>
        <w:ind w:left="1080" w:firstLine="738"/>
        <w:spacing w:after="0" w:line="271" w:lineRule="auto"/>
        <w:tabs>
          <w:tab w:leader="none" w:pos="241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any failure by the Borrowers (for a reason other than the failure of such Lender to make a Loan) to prepay, borrow, continue or Convert any Loan other than a Base Rate Loan on the date or in the amount notified by the Lead Borrower; or</w:t>
      </w:r>
    </w:p>
    <w:p>
      <w:pPr>
        <w:spacing w:after="0" w:line="112" w:lineRule="exact"/>
        <w:rPr>
          <w:rFonts w:ascii="Arial" w:cs="Arial" w:eastAsia="Arial" w:hAnsi="Arial"/>
          <w:sz w:val="13"/>
          <w:szCs w:val="13"/>
          <w:color w:val="auto"/>
        </w:rPr>
      </w:pPr>
    </w:p>
    <w:p>
      <w:pPr>
        <w:ind w:left="2400" w:hanging="582"/>
        <w:spacing w:after="0"/>
        <w:tabs>
          <w:tab w:leader="none" w:pos="2400" w:val="left"/>
        </w:tabs>
        <w:numPr>
          <w:ilvl w:val="0"/>
          <w:numId w:val="107"/>
        </w:numPr>
        <w:rPr>
          <w:rFonts w:ascii="Arial" w:cs="Arial" w:eastAsia="Arial" w:hAnsi="Arial"/>
          <w:sz w:val="11"/>
          <w:szCs w:val="11"/>
          <w:color w:val="auto"/>
        </w:rPr>
      </w:pPr>
      <w:r>
        <w:rPr>
          <w:rFonts w:ascii="Arial" w:cs="Arial" w:eastAsia="Arial" w:hAnsi="Arial"/>
          <w:sz w:val="11"/>
          <w:szCs w:val="11"/>
          <w:color w:val="auto"/>
        </w:rPr>
        <w:t xml:space="preserve">any assignment of a LIBOR Rate Loan on a day other than the last day of the Interest Period therefor as a result of a request by the Lead Borrower pursuant to </w:t>
      </w:r>
      <w:r>
        <w:rPr>
          <w:rFonts w:ascii="Arial" w:cs="Arial" w:eastAsia="Arial" w:hAnsi="Arial"/>
          <w:sz w:val="11"/>
          <w:szCs w:val="11"/>
          <w:u w:val="single" w:color="auto"/>
          <w:color w:val="auto"/>
        </w:rPr>
        <w:t>Section</w:t>
      </w:r>
    </w:p>
    <w:p>
      <w:pPr>
        <w:spacing w:after="0" w:line="36" w:lineRule="exact"/>
        <w:rPr>
          <w:rFonts w:ascii="Arial" w:cs="Arial" w:eastAsia="Arial" w:hAnsi="Arial"/>
          <w:sz w:val="11"/>
          <w:szCs w:val="11"/>
          <w:color w:val="auto"/>
        </w:rPr>
      </w:pPr>
    </w:p>
    <w:p>
      <w:pPr>
        <w:ind w:left="1080"/>
        <w:spacing w:after="0"/>
        <w:rPr>
          <w:rFonts w:ascii="Arial" w:cs="Arial" w:eastAsia="Arial" w:hAnsi="Arial"/>
          <w:sz w:val="11"/>
          <w:szCs w:val="11"/>
          <w:color w:val="auto"/>
        </w:rPr>
      </w:pPr>
      <w:r>
        <w:rPr>
          <w:rFonts w:ascii="Arial" w:cs="Arial" w:eastAsia="Arial" w:hAnsi="Arial"/>
          <w:sz w:val="13"/>
          <w:szCs w:val="13"/>
          <w:u w:val="single" w:color="auto"/>
          <w:color w:val="auto"/>
        </w:rPr>
        <w:t>10.13</w:t>
      </w:r>
      <w:r>
        <w:rPr>
          <w:rFonts w:ascii="Arial" w:cs="Arial" w:eastAsia="Arial" w:hAnsi="Arial"/>
          <w:sz w:val="13"/>
          <w:szCs w:val="13"/>
          <w:color w:val="auto"/>
        </w:rPr>
        <w:t>;</w:t>
      </w:r>
    </w:p>
    <w:p>
      <w:pPr>
        <w:spacing w:after="0" w:line="111" w:lineRule="exact"/>
        <w:rPr>
          <w:sz w:val="20"/>
          <w:szCs w:val="20"/>
          <w:color w:val="auto"/>
        </w:rPr>
      </w:pPr>
    </w:p>
    <w:p>
      <w:pPr>
        <w:jc w:val="both"/>
        <w:ind w:left="220"/>
        <w:spacing w:after="0" w:line="271" w:lineRule="auto"/>
        <w:rPr>
          <w:sz w:val="20"/>
          <w:szCs w:val="20"/>
          <w:color w:val="auto"/>
        </w:rPr>
      </w:pPr>
      <w:r>
        <w:rPr>
          <w:rFonts w:ascii="Arial" w:cs="Arial" w:eastAsia="Arial" w:hAnsi="Arial"/>
          <w:sz w:val="13"/>
          <w:szCs w:val="13"/>
          <w:color w:val="auto"/>
        </w:rPr>
        <w:t>including any loss of anticipated profits and any loss or expense arising from the liquidation or reemployment of funds obtained by it to maintain such Loan or from fees payable to terminate the deposits from which such funds were obtained. The Borrowers shall also pay any customary administrative fees charged by such Lender in connection with the foregoing.</w:t>
      </w:r>
    </w:p>
    <w:p>
      <w:pPr>
        <w:spacing w:after="0" w:line="113" w:lineRule="exact"/>
        <w:rPr>
          <w:sz w:val="20"/>
          <w:szCs w:val="20"/>
          <w:color w:val="auto"/>
        </w:rPr>
      </w:pPr>
    </w:p>
    <w:p>
      <w:pPr>
        <w:jc w:val="both"/>
        <w:ind w:left="220" w:firstLine="808"/>
        <w:spacing w:after="0" w:line="258" w:lineRule="auto"/>
        <w:rPr>
          <w:sz w:val="20"/>
          <w:szCs w:val="20"/>
          <w:color w:val="auto"/>
        </w:rPr>
      </w:pPr>
      <w:r>
        <w:rPr>
          <w:rFonts w:ascii="Arial" w:cs="Arial" w:eastAsia="Arial" w:hAnsi="Arial"/>
          <w:sz w:val="13"/>
          <w:szCs w:val="13"/>
          <w:color w:val="auto"/>
        </w:rPr>
        <w:t xml:space="preserve">For purposes of calculating amounts payable by the Borrowers to the Lenders under this </w:t>
      </w:r>
      <w:r>
        <w:rPr>
          <w:rFonts w:ascii="Arial" w:cs="Arial" w:eastAsia="Arial" w:hAnsi="Arial"/>
          <w:sz w:val="13"/>
          <w:szCs w:val="13"/>
          <w:u w:val="single" w:color="auto"/>
          <w:color w:val="auto"/>
        </w:rPr>
        <w:t>Section 3.05</w:t>
      </w:r>
      <w:r>
        <w:rPr>
          <w:rFonts w:ascii="Arial" w:cs="Arial" w:eastAsia="Arial" w:hAnsi="Arial"/>
          <w:sz w:val="13"/>
          <w:szCs w:val="13"/>
          <w:color w:val="auto"/>
        </w:rPr>
        <w:t>, each Lender shall be deemed to have funded each LIBOR Rate Loan made by it at the LIBOR Rate for such Loan by a matching deposit or other borrowing in the London interbank market for a comparable amount and for a comparable period, whether or not such LIBOR Rate Loan was in fact so funded.</w:t>
      </w:r>
    </w:p>
    <w:p>
      <w:pPr>
        <w:spacing w:after="0" w:line="117" w:lineRule="exact"/>
        <w:rPr>
          <w:sz w:val="20"/>
          <w:szCs w:val="20"/>
          <w:color w:val="auto"/>
        </w:rPr>
      </w:pPr>
    </w:p>
    <w:p>
      <w:pPr>
        <w:ind w:left="1060"/>
        <w:spacing w:after="0"/>
        <w:tabs>
          <w:tab w:leader="none" w:pos="1700" w:val="left"/>
        </w:tabs>
        <w:rPr>
          <w:sz w:val="20"/>
          <w:szCs w:val="20"/>
          <w:color w:val="auto"/>
        </w:rPr>
      </w:pPr>
      <w:r>
        <w:rPr>
          <w:rFonts w:ascii="Arial" w:cs="Arial" w:eastAsia="Arial" w:hAnsi="Arial"/>
          <w:sz w:val="13"/>
          <w:szCs w:val="13"/>
          <w:b w:val="1"/>
          <w:bCs w:val="1"/>
          <w:color w:val="auto"/>
        </w:rPr>
        <w:t>3.06</w:t>
      </w:r>
      <w:r>
        <w:rPr>
          <w:sz w:val="20"/>
          <w:szCs w:val="20"/>
          <w:color w:val="auto"/>
        </w:rPr>
        <w:tab/>
      </w:r>
      <w:r>
        <w:rPr>
          <w:rFonts w:ascii="Arial" w:cs="Arial" w:eastAsia="Arial" w:hAnsi="Arial"/>
          <w:sz w:val="11"/>
          <w:szCs w:val="11"/>
          <w:b w:val="1"/>
          <w:bCs w:val="1"/>
          <w:color w:val="auto"/>
        </w:rPr>
        <w:t>Mitigation Obligations; Replacement of Lenders</w:t>
      </w:r>
      <w:r>
        <w:rPr>
          <w:rFonts w:ascii="Arial" w:cs="Arial" w:eastAsia="Arial" w:hAnsi="Arial"/>
          <w:sz w:val="11"/>
          <w:szCs w:val="11"/>
          <w:color w:val="auto"/>
        </w:rPr>
        <w:t>.</w:t>
      </w:r>
    </w:p>
    <w:p>
      <w:pPr>
        <w:spacing w:after="0" w:line="152" w:lineRule="exact"/>
        <w:rPr>
          <w:sz w:val="20"/>
          <w:szCs w:val="20"/>
          <w:color w:val="auto"/>
        </w:rPr>
      </w:pPr>
    </w:p>
    <w:p>
      <w:pPr>
        <w:jc w:val="both"/>
        <w:ind w:left="220" w:firstLine="1624"/>
        <w:spacing w:after="0" w:line="251" w:lineRule="auto"/>
        <w:tabs>
          <w:tab w:leader="none" w:pos="2412" w:val="left"/>
        </w:tabs>
        <w:numPr>
          <w:ilvl w:val="0"/>
          <w:numId w:val="108"/>
        </w:numPr>
        <w:rPr>
          <w:rFonts w:ascii="Arial" w:cs="Arial" w:eastAsia="Arial" w:hAnsi="Arial"/>
          <w:sz w:val="13"/>
          <w:szCs w:val="13"/>
          <w:color w:val="auto"/>
        </w:rPr>
      </w:pPr>
      <w:r>
        <w:rPr>
          <w:rFonts w:ascii="Arial" w:cs="Arial" w:eastAsia="Arial" w:hAnsi="Arial"/>
          <w:sz w:val="13"/>
          <w:szCs w:val="13"/>
          <w:u w:val="single" w:color="auto"/>
          <w:color w:val="auto"/>
        </w:rPr>
        <w:t>Designation of a Different Lending Office</w:t>
      </w:r>
      <w:r>
        <w:rPr>
          <w:rFonts w:ascii="Arial" w:cs="Arial" w:eastAsia="Arial" w:hAnsi="Arial"/>
          <w:sz w:val="13"/>
          <w:szCs w:val="13"/>
          <w:color w:val="auto"/>
        </w:rPr>
        <w:t xml:space="preserve">. If any Lender requests compensation under </w:t>
      </w:r>
      <w:r>
        <w:rPr>
          <w:rFonts w:ascii="Arial" w:cs="Arial" w:eastAsia="Arial" w:hAnsi="Arial"/>
          <w:sz w:val="13"/>
          <w:szCs w:val="13"/>
          <w:u w:val="single" w:color="auto"/>
          <w:color w:val="auto"/>
        </w:rPr>
        <w:t>Section 3.04</w:t>
      </w:r>
      <w:r>
        <w:rPr>
          <w:rFonts w:ascii="Arial" w:cs="Arial" w:eastAsia="Arial" w:hAnsi="Arial"/>
          <w:sz w:val="13"/>
          <w:szCs w:val="13"/>
          <w:color w:val="auto"/>
        </w:rPr>
        <w:t xml:space="preserve">, or the Borrowers are required to pay any additional amount to any Lender or any Governmental Authority for the account of any Lender pursuant to </w:t>
      </w:r>
      <w:r>
        <w:rPr>
          <w:rFonts w:ascii="Arial" w:cs="Arial" w:eastAsia="Arial" w:hAnsi="Arial"/>
          <w:sz w:val="13"/>
          <w:szCs w:val="13"/>
          <w:u w:val="single" w:color="auto"/>
          <w:color w:val="auto"/>
        </w:rPr>
        <w:t>Section 3.01</w:t>
      </w:r>
      <w:r>
        <w:rPr>
          <w:rFonts w:ascii="Arial" w:cs="Arial" w:eastAsia="Arial" w:hAnsi="Arial"/>
          <w:sz w:val="13"/>
          <w:szCs w:val="13"/>
          <w:color w:val="auto"/>
        </w:rPr>
        <w:t xml:space="preserve">, or if any Lender gives a notice pursuant to </w:t>
      </w:r>
      <w:r>
        <w:rPr>
          <w:rFonts w:ascii="Arial" w:cs="Arial" w:eastAsia="Arial" w:hAnsi="Arial"/>
          <w:sz w:val="13"/>
          <w:szCs w:val="13"/>
          <w:u w:val="single" w:color="auto"/>
          <w:color w:val="auto"/>
        </w:rPr>
        <w:t>Section 3.02</w:t>
      </w:r>
      <w:r>
        <w:rPr>
          <w:rFonts w:ascii="Arial" w:cs="Arial" w:eastAsia="Arial" w:hAnsi="Arial"/>
          <w:sz w:val="13"/>
          <w:szCs w:val="13"/>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3"/>
          <w:szCs w:val="13"/>
          <w:u w:val="single" w:color="auto"/>
          <w:color w:val="auto"/>
        </w:rPr>
        <w:t>Section 3.01</w:t>
      </w:r>
      <w:r>
        <w:rPr>
          <w:rFonts w:ascii="Arial" w:cs="Arial" w:eastAsia="Arial" w:hAnsi="Arial"/>
          <w:sz w:val="13"/>
          <w:szCs w:val="13"/>
          <w:color w:val="auto"/>
        </w:rPr>
        <w:t xml:space="preserve"> or 3.04, as the case may be, in the future, or eliminate the need for the notice pursuant to </w:t>
      </w:r>
      <w:r>
        <w:rPr>
          <w:rFonts w:ascii="Arial" w:cs="Arial" w:eastAsia="Arial" w:hAnsi="Arial"/>
          <w:sz w:val="13"/>
          <w:szCs w:val="13"/>
          <w:u w:val="single" w:color="auto"/>
          <w:color w:val="auto"/>
        </w:rPr>
        <w:t>Section 3.02</w:t>
      </w:r>
      <w:r>
        <w:rPr>
          <w:rFonts w:ascii="Arial" w:cs="Arial" w:eastAsia="Arial" w:hAnsi="Arial"/>
          <w:sz w:val="13"/>
          <w:szCs w:val="13"/>
          <w:color w:val="auto"/>
        </w:rPr>
        <w:t>, as applicable, and (ii) in each case, would not subject such Lender to any unreimbursed cost or expense and would not otherwise be disadvantageous to such Lender. The Borrowers hereby agree to pay all reasonable costs and expenses incurred by any Lender in connection with any such designation or assignment.</w:t>
      </w:r>
    </w:p>
    <w:p>
      <w:pPr>
        <w:spacing w:after="0" w:line="124" w:lineRule="exact"/>
        <w:rPr>
          <w:rFonts w:ascii="Arial" w:cs="Arial" w:eastAsia="Arial" w:hAnsi="Arial"/>
          <w:sz w:val="13"/>
          <w:szCs w:val="13"/>
          <w:color w:val="auto"/>
        </w:rPr>
      </w:pPr>
    </w:p>
    <w:p>
      <w:pPr>
        <w:jc w:val="both"/>
        <w:ind w:left="220" w:firstLine="1624"/>
        <w:spacing w:after="0" w:line="258" w:lineRule="auto"/>
        <w:tabs>
          <w:tab w:leader="none" w:pos="2419" w:val="left"/>
        </w:tabs>
        <w:numPr>
          <w:ilvl w:val="0"/>
          <w:numId w:val="108"/>
        </w:numPr>
        <w:rPr>
          <w:rFonts w:ascii="Arial" w:cs="Arial" w:eastAsia="Arial" w:hAnsi="Arial"/>
          <w:sz w:val="13"/>
          <w:szCs w:val="13"/>
          <w:color w:val="auto"/>
        </w:rPr>
      </w:pPr>
      <w:r>
        <w:rPr>
          <w:rFonts w:ascii="Arial" w:cs="Arial" w:eastAsia="Arial" w:hAnsi="Arial"/>
          <w:sz w:val="13"/>
          <w:szCs w:val="13"/>
          <w:u w:val="single" w:color="auto"/>
          <w:color w:val="auto"/>
        </w:rPr>
        <w:t>Replacement of Lenders</w:t>
      </w:r>
      <w:r>
        <w:rPr>
          <w:rFonts w:ascii="Arial" w:cs="Arial" w:eastAsia="Arial" w:hAnsi="Arial"/>
          <w:sz w:val="13"/>
          <w:szCs w:val="13"/>
          <w:color w:val="auto"/>
        </w:rPr>
        <w:t xml:space="preserve">. If any Lender requests compensation under </w:t>
      </w:r>
      <w:r>
        <w:rPr>
          <w:rFonts w:ascii="Arial" w:cs="Arial" w:eastAsia="Arial" w:hAnsi="Arial"/>
          <w:sz w:val="13"/>
          <w:szCs w:val="13"/>
          <w:u w:val="single" w:color="auto"/>
          <w:color w:val="auto"/>
        </w:rPr>
        <w:t>Section 3.04</w:t>
      </w:r>
      <w:r>
        <w:rPr>
          <w:rFonts w:ascii="Arial" w:cs="Arial" w:eastAsia="Arial" w:hAnsi="Arial"/>
          <w:sz w:val="13"/>
          <w:szCs w:val="13"/>
          <w:color w:val="auto"/>
        </w:rPr>
        <w:t xml:space="preserve">, or if the Borrowers are required to pay any additional amount to any Lender or any Governmental Authority for the account of any Lender pursuant to </w:t>
      </w:r>
      <w:r>
        <w:rPr>
          <w:rFonts w:ascii="Arial" w:cs="Arial" w:eastAsia="Arial" w:hAnsi="Arial"/>
          <w:sz w:val="13"/>
          <w:szCs w:val="13"/>
          <w:u w:val="single" w:color="auto"/>
          <w:color w:val="auto"/>
        </w:rPr>
        <w:t>Section 3.01</w:t>
      </w:r>
      <w:r>
        <w:rPr>
          <w:rFonts w:ascii="Arial" w:cs="Arial" w:eastAsia="Arial" w:hAnsi="Arial"/>
          <w:sz w:val="13"/>
          <w:szCs w:val="13"/>
          <w:color w:val="auto"/>
        </w:rPr>
        <w:t xml:space="preserve"> and, in each case, such Lender has declined or is unable to designate a different Lending Office in accordance with </w:t>
      </w:r>
      <w:r>
        <w:rPr>
          <w:rFonts w:ascii="Arial" w:cs="Arial" w:eastAsia="Arial" w:hAnsi="Arial"/>
          <w:sz w:val="13"/>
          <w:szCs w:val="13"/>
          <w:u w:val="single" w:color="auto"/>
          <w:color w:val="auto"/>
        </w:rPr>
        <w:t>Section</w:t>
      </w:r>
      <w:r>
        <w:rPr>
          <w:rFonts w:ascii="Arial" w:cs="Arial" w:eastAsia="Arial" w:hAnsi="Arial"/>
          <w:sz w:val="13"/>
          <w:szCs w:val="13"/>
          <w:color w:val="auto"/>
        </w:rPr>
        <w:t xml:space="preserve"> </w:t>
      </w:r>
      <w:r>
        <w:rPr>
          <w:rFonts w:ascii="Arial" w:cs="Arial" w:eastAsia="Arial" w:hAnsi="Arial"/>
          <w:sz w:val="13"/>
          <w:szCs w:val="13"/>
          <w:u w:val="single" w:color="auto"/>
          <w:color w:val="auto"/>
        </w:rPr>
        <w:t>3.06(a)</w:t>
      </w:r>
      <w:r>
        <w:rPr>
          <w:rFonts w:ascii="Arial" w:cs="Arial" w:eastAsia="Arial" w:hAnsi="Arial"/>
          <w:sz w:val="13"/>
          <w:szCs w:val="13"/>
          <w:color w:val="auto"/>
        </w:rPr>
        <w:t xml:space="preserve">, the Borrowers may replace such Lender in accordance with </w:t>
      </w:r>
      <w:r>
        <w:rPr>
          <w:rFonts w:ascii="Arial" w:cs="Arial" w:eastAsia="Arial" w:hAnsi="Arial"/>
          <w:sz w:val="13"/>
          <w:szCs w:val="13"/>
          <w:u w:val="single" w:color="auto"/>
          <w:color w:val="auto"/>
        </w:rPr>
        <w:t>Section 10.13</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-601980</wp:posOffset>
            </wp:positionV>
            <wp:extent cx="17145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1450" cy="571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89" w:name="page90"/>
    <w:bookmarkEnd w:id="89"/>
    <w:p>
      <w:pPr>
        <w:ind w:left="220" w:firstLine="808"/>
        <w:spacing w:after="0" w:line="280" w:lineRule="auto"/>
        <w:rPr>
          <w:sz w:val="20"/>
          <w:szCs w:val="20"/>
          <w:color w:val="auto"/>
        </w:rPr>
      </w:pPr>
      <w:r>
        <w:rPr>
          <w:rFonts w:ascii="Arial" w:cs="Arial" w:eastAsia="Arial" w:hAnsi="Arial"/>
          <w:sz w:val="13"/>
          <w:szCs w:val="13"/>
          <w:b w:val="1"/>
          <w:bCs w:val="1"/>
          <w:color w:val="auto"/>
        </w:rPr>
        <w:t>3.07 Survival</w:t>
      </w:r>
      <w:r>
        <w:rPr>
          <w:rFonts w:ascii="Arial" w:cs="Arial" w:eastAsia="Arial" w:hAnsi="Arial"/>
          <w:sz w:val="13"/>
          <w:szCs w:val="13"/>
          <w:color w:val="auto"/>
        </w:rPr>
        <w:t>. All of the Borrowers’ obligations under this</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Article III</w:t>
      </w:r>
      <w:r>
        <w:rPr>
          <w:rFonts w:ascii="Arial" w:cs="Arial" w:eastAsia="Arial" w:hAnsi="Arial"/>
          <w:sz w:val="13"/>
          <w:szCs w:val="13"/>
          <w:b w:val="1"/>
          <w:bCs w:val="1"/>
          <w:color w:val="auto"/>
        </w:rPr>
        <w:t xml:space="preserve"> </w:t>
      </w:r>
      <w:r>
        <w:rPr>
          <w:rFonts w:ascii="Arial" w:cs="Arial" w:eastAsia="Arial" w:hAnsi="Arial"/>
          <w:sz w:val="13"/>
          <w:szCs w:val="13"/>
          <w:color w:val="auto"/>
        </w:rPr>
        <w:t>shall survive termination of the Aggregate Commitments, repayment of all other Obligations hereunder, and</w:t>
      </w:r>
      <w:r>
        <w:rPr>
          <w:rFonts w:ascii="Arial" w:cs="Arial" w:eastAsia="Arial" w:hAnsi="Arial"/>
          <w:sz w:val="13"/>
          <w:szCs w:val="13"/>
          <w:b w:val="1"/>
          <w:bCs w:val="1"/>
          <w:color w:val="auto"/>
        </w:rPr>
        <w:t xml:space="preserve"> </w:t>
      </w:r>
      <w:r>
        <w:rPr>
          <w:rFonts w:ascii="Arial" w:cs="Arial" w:eastAsia="Arial" w:hAnsi="Arial"/>
          <w:sz w:val="13"/>
          <w:szCs w:val="13"/>
          <w:color w:val="auto"/>
        </w:rPr>
        <w:t>resignation of the Agent.</w:t>
      </w:r>
    </w:p>
    <w:p>
      <w:pPr>
        <w:spacing w:after="0" w:line="103" w:lineRule="exact"/>
        <w:rPr>
          <w:sz w:val="20"/>
          <w:szCs w:val="20"/>
          <w:color w:val="auto"/>
        </w:rPr>
      </w:pPr>
    </w:p>
    <w:p>
      <w:pPr>
        <w:ind w:left="1060"/>
        <w:spacing w:after="0"/>
        <w:tabs>
          <w:tab w:leader="none" w:pos="1700" w:val="left"/>
        </w:tabs>
        <w:rPr>
          <w:sz w:val="20"/>
          <w:szCs w:val="20"/>
          <w:color w:val="auto"/>
        </w:rPr>
      </w:pPr>
      <w:r>
        <w:rPr>
          <w:rFonts w:ascii="Arial" w:cs="Arial" w:eastAsia="Arial" w:hAnsi="Arial"/>
          <w:sz w:val="13"/>
          <w:szCs w:val="13"/>
          <w:b w:val="1"/>
          <w:bCs w:val="1"/>
          <w:color w:val="auto"/>
        </w:rPr>
        <w:t>3.08</w:t>
      </w:r>
      <w:r>
        <w:rPr>
          <w:sz w:val="20"/>
          <w:szCs w:val="20"/>
          <w:color w:val="auto"/>
        </w:rPr>
        <w:tab/>
      </w:r>
      <w:r>
        <w:rPr>
          <w:rFonts w:ascii="Arial" w:cs="Arial" w:eastAsia="Arial" w:hAnsi="Arial"/>
          <w:sz w:val="11"/>
          <w:szCs w:val="11"/>
          <w:b w:val="1"/>
          <w:bCs w:val="1"/>
          <w:color w:val="auto"/>
        </w:rPr>
        <w:t>Designation of Lead Borrower as Borrowers’ Agent.</w:t>
      </w:r>
    </w:p>
    <w:p>
      <w:pPr>
        <w:spacing w:after="0" w:line="152" w:lineRule="exact"/>
        <w:rPr>
          <w:sz w:val="20"/>
          <w:szCs w:val="20"/>
          <w:color w:val="auto"/>
        </w:rPr>
      </w:pPr>
    </w:p>
    <w:p>
      <w:pPr>
        <w:jc w:val="both"/>
        <w:ind w:left="220" w:firstLine="1624"/>
        <w:spacing w:after="0" w:line="252" w:lineRule="auto"/>
        <w:tabs>
          <w:tab w:leader="none" w:pos="2412" w:val="left"/>
        </w:tabs>
        <w:numPr>
          <w:ilvl w:val="0"/>
          <w:numId w:val="109"/>
        </w:numPr>
        <w:rPr>
          <w:rFonts w:ascii="Arial" w:cs="Arial" w:eastAsia="Arial" w:hAnsi="Arial"/>
          <w:sz w:val="13"/>
          <w:szCs w:val="13"/>
          <w:color w:val="auto"/>
        </w:rPr>
      </w:pPr>
      <w:r>
        <w:rPr>
          <w:rFonts w:ascii="Arial" w:cs="Arial" w:eastAsia="Arial" w:hAnsi="Arial"/>
          <w:sz w:val="13"/>
          <w:szCs w:val="13"/>
          <w:color w:val="auto"/>
        </w:rPr>
        <w:t>Each Borrower hereby irrevocably designates and appoints the Lead Borrower as such Borrower’s agent to obtain Credit Extensions, the proceeds of which shall be available to each Borrower for such uses as are permitted under this Agreement. As the disclosed principal for its agent, each Borrower shall be obligated to each Credit Party on account of Credit Extensions so made as if made directly by the applicable Credit Party to such Borrower, notwithstanding the manner by which such Credit Extensions are recorded on the books and records of the Lead Borrower and of any other Borrower. In addition, each Loan Party other than the Borrowers hereby irrevocably designates and appoints the Lead Borrower as such Loan Party’s agent to represent such Loan Party in all respects under this Agreement and the other Loan Documents.</w:t>
      </w:r>
    </w:p>
    <w:p>
      <w:pPr>
        <w:spacing w:after="0" w:line="124" w:lineRule="exact"/>
        <w:rPr>
          <w:rFonts w:ascii="Arial" w:cs="Arial" w:eastAsia="Arial" w:hAnsi="Arial"/>
          <w:sz w:val="13"/>
          <w:szCs w:val="13"/>
          <w:color w:val="auto"/>
        </w:rPr>
      </w:pPr>
    </w:p>
    <w:p>
      <w:pPr>
        <w:jc w:val="both"/>
        <w:ind w:left="220" w:firstLine="1624"/>
        <w:spacing w:after="0" w:line="258" w:lineRule="auto"/>
        <w:tabs>
          <w:tab w:leader="none" w:pos="2419" w:val="left"/>
        </w:tabs>
        <w:numPr>
          <w:ilvl w:val="0"/>
          <w:numId w:val="109"/>
        </w:numPr>
        <w:rPr>
          <w:rFonts w:ascii="Arial" w:cs="Arial" w:eastAsia="Arial" w:hAnsi="Arial"/>
          <w:sz w:val="13"/>
          <w:szCs w:val="13"/>
          <w:color w:val="auto"/>
        </w:rPr>
      </w:pPr>
      <w:r>
        <w:rPr>
          <w:rFonts w:ascii="Arial" w:cs="Arial" w:eastAsia="Arial" w:hAnsi="Arial"/>
          <w:sz w:val="13"/>
          <w:szCs w:val="13"/>
          <w:color w:val="auto"/>
        </w:rPr>
        <w:t>Each Borrower recognizes that credit available to it hereunder is in excess of and on better terms than it otherwise could obtain on and for its own account and that one of the reasons therefor is its joining in the credit facility contemplated herein with all other Borrowers. Consequently, each Borrower hereby assumes and agrees to discharge all Obligations of each of the other Borrowers.</w:t>
      </w:r>
    </w:p>
    <w:p>
      <w:pPr>
        <w:spacing w:after="0" w:line="121" w:lineRule="exact"/>
        <w:rPr>
          <w:rFonts w:ascii="Arial" w:cs="Arial" w:eastAsia="Arial" w:hAnsi="Arial"/>
          <w:sz w:val="13"/>
          <w:szCs w:val="13"/>
          <w:color w:val="auto"/>
        </w:rPr>
      </w:pPr>
    </w:p>
    <w:p>
      <w:pPr>
        <w:ind w:left="220" w:firstLine="1624"/>
        <w:spacing w:after="0" w:line="271" w:lineRule="auto"/>
        <w:tabs>
          <w:tab w:leader="none" w:pos="2412" w:val="left"/>
        </w:tabs>
        <w:numPr>
          <w:ilvl w:val="0"/>
          <w:numId w:val="109"/>
        </w:numPr>
        <w:rPr>
          <w:rFonts w:ascii="Arial" w:cs="Arial" w:eastAsia="Arial" w:hAnsi="Arial"/>
          <w:sz w:val="13"/>
          <w:szCs w:val="13"/>
          <w:color w:val="auto"/>
        </w:rPr>
      </w:pPr>
      <w:r>
        <w:rPr>
          <w:rFonts w:ascii="Arial" w:cs="Arial" w:eastAsia="Arial" w:hAnsi="Arial"/>
          <w:sz w:val="13"/>
          <w:szCs w:val="13"/>
          <w:color w:val="auto"/>
        </w:rPr>
        <w:t>The Lead Borrower shall act as a conduit for each Borrower (including itself, as a “Borrower”) on whose behalf the Lead Borrower has requested a Credit Extension. Neither the Agent nor any other Credit Party shall have any obligation to see to the application of such proceeds therefrom.</w:t>
      </w:r>
    </w:p>
    <w:p>
      <w:pPr>
        <w:spacing w:after="0" w:line="109" w:lineRule="exact"/>
        <w:rPr>
          <w:sz w:val="20"/>
          <w:szCs w:val="20"/>
          <w:color w:val="auto"/>
        </w:rPr>
      </w:pPr>
    </w:p>
    <w:p>
      <w:pPr>
        <w:jc w:val="center"/>
        <w:ind w:right="-199"/>
        <w:spacing w:after="0"/>
        <w:rPr>
          <w:sz w:val="20"/>
          <w:szCs w:val="20"/>
          <w:color w:val="auto"/>
        </w:rPr>
      </w:pPr>
      <w:r>
        <w:rPr>
          <w:rFonts w:ascii="Arial" w:cs="Arial" w:eastAsia="Arial" w:hAnsi="Arial"/>
          <w:sz w:val="13"/>
          <w:szCs w:val="13"/>
          <w:b w:val="1"/>
          <w:bCs w:val="1"/>
          <w:color w:val="auto"/>
        </w:rPr>
        <w:t>ARTICLE IV</w:t>
      </w:r>
    </w:p>
    <w:p>
      <w:pPr>
        <w:spacing w:after="0" w:line="18" w:lineRule="exact"/>
        <w:rPr>
          <w:sz w:val="20"/>
          <w:szCs w:val="20"/>
          <w:color w:val="auto"/>
        </w:rPr>
      </w:pPr>
    </w:p>
    <w:p>
      <w:pPr>
        <w:jc w:val="center"/>
        <w:ind w:right="-199"/>
        <w:spacing w:after="0"/>
        <w:rPr>
          <w:sz w:val="20"/>
          <w:szCs w:val="20"/>
          <w:color w:val="auto"/>
        </w:rPr>
      </w:pPr>
      <w:r>
        <w:rPr>
          <w:rFonts w:ascii="Arial" w:cs="Arial" w:eastAsia="Arial" w:hAnsi="Arial"/>
          <w:sz w:val="13"/>
          <w:szCs w:val="13"/>
          <w:b w:val="1"/>
          <w:bCs w:val="1"/>
          <w:color w:val="auto"/>
        </w:rPr>
        <w:t>CONDITIONS PRECEDENT TO CREDIT EXTENSIONS</w:t>
      </w:r>
    </w:p>
    <w:p>
      <w:pPr>
        <w:spacing w:after="0" w:line="134"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3"/>
          <w:szCs w:val="13"/>
          <w:b w:val="1"/>
          <w:bCs w:val="1"/>
          <w:color w:val="auto"/>
        </w:rPr>
        <w:t>4.01</w:t>
      </w:r>
      <w:r>
        <w:rPr>
          <w:sz w:val="20"/>
          <w:szCs w:val="20"/>
          <w:color w:val="auto"/>
        </w:rPr>
        <w:tab/>
      </w:r>
      <w:r>
        <w:rPr>
          <w:rFonts w:ascii="Arial" w:cs="Arial" w:eastAsia="Arial" w:hAnsi="Arial"/>
          <w:sz w:val="12"/>
          <w:szCs w:val="12"/>
          <w:b w:val="1"/>
          <w:bCs w:val="1"/>
          <w:color w:val="auto"/>
        </w:rPr>
        <w:t>Conditions of Effectiveness of this Agreement and Credit Extension</w:t>
      </w:r>
      <w:r>
        <w:rPr>
          <w:rFonts w:ascii="Arial" w:cs="Arial" w:eastAsia="Arial" w:hAnsi="Arial"/>
          <w:sz w:val="12"/>
          <w:szCs w:val="12"/>
          <w:color w:val="auto"/>
        </w:rPr>
        <w:t>. The effectiveness of this Agreement and the obligation of the L/C Issuer and each Lender to make any</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3"/>
          <w:szCs w:val="13"/>
          <w:color w:val="auto"/>
        </w:rPr>
        <w:t>Credit Extension hereunder on the Closing Date are subject to satisfaction of the following conditions precedent:</w:t>
      </w:r>
    </w:p>
    <w:p>
      <w:pPr>
        <w:spacing w:after="0" w:line="138" w:lineRule="exact"/>
        <w:rPr>
          <w:sz w:val="20"/>
          <w:szCs w:val="20"/>
          <w:color w:val="auto"/>
        </w:rPr>
      </w:pPr>
    </w:p>
    <w:p>
      <w:pPr>
        <w:jc w:val="both"/>
        <w:ind w:left="1080" w:firstLine="739"/>
        <w:spacing w:after="0" w:line="258" w:lineRule="auto"/>
        <w:tabs>
          <w:tab w:leader="none" w:pos="2403" w:val="left"/>
        </w:tabs>
        <w:numPr>
          <w:ilvl w:val="0"/>
          <w:numId w:val="110"/>
        </w:numPr>
        <w:rPr>
          <w:rFonts w:ascii="Arial" w:cs="Arial" w:eastAsia="Arial" w:hAnsi="Arial"/>
          <w:sz w:val="13"/>
          <w:szCs w:val="13"/>
          <w:color w:val="auto"/>
        </w:rPr>
      </w:pPr>
      <w:r>
        <w:rPr>
          <w:rFonts w:ascii="Arial" w:cs="Arial" w:eastAsia="Arial" w:hAnsi="Arial"/>
          <w:sz w:val="13"/>
          <w:szCs w:val="13"/>
          <w:color w:val="auto"/>
        </w:rPr>
        <w:t>The Agent’s receipt of the following, each of which shall be originals, telecopies or other electronic image scan transmission (e.g., “pdf” or “tif” “via e-mail”) (followed promptly by originals) unless otherwise specified, each dated the Closing Date (or, in the case of certificates of governmental officials, a recent date before the Closing Date) and each in form and substance satisfactory to the Agent:</w:t>
      </w:r>
    </w:p>
    <w:p>
      <w:pPr>
        <w:spacing w:after="0" w:line="121" w:lineRule="exact"/>
        <w:rPr>
          <w:rFonts w:ascii="Arial" w:cs="Arial" w:eastAsia="Arial" w:hAnsi="Arial"/>
          <w:sz w:val="13"/>
          <w:szCs w:val="13"/>
          <w:color w:val="auto"/>
        </w:rPr>
      </w:pPr>
    </w:p>
    <w:p>
      <w:pPr>
        <w:ind w:left="1920" w:firstLine="681"/>
        <w:spacing w:after="0" w:line="271" w:lineRule="auto"/>
        <w:tabs>
          <w:tab w:leader="none" w:pos="3161" w:val="left"/>
        </w:tabs>
        <w:numPr>
          <w:ilvl w:val="1"/>
          <w:numId w:val="110"/>
        </w:numPr>
        <w:rPr>
          <w:rFonts w:ascii="Arial" w:cs="Arial" w:eastAsia="Arial" w:hAnsi="Arial"/>
          <w:sz w:val="13"/>
          <w:szCs w:val="13"/>
          <w:color w:val="auto"/>
        </w:rPr>
      </w:pPr>
      <w:r>
        <w:rPr>
          <w:rFonts w:ascii="Arial" w:cs="Arial" w:eastAsia="Arial" w:hAnsi="Arial"/>
          <w:sz w:val="13"/>
          <w:szCs w:val="13"/>
          <w:color w:val="auto"/>
        </w:rPr>
        <w:t>counterparts of this Agreement each properly executed by a Responsible Officer of the signing Loan Party and the Lenders sufficient in number for distribution to the Agent, each Lender and the Lead Borrower;</w:t>
      </w:r>
    </w:p>
    <w:p>
      <w:pPr>
        <w:spacing w:after="0" w:line="112" w:lineRule="exact"/>
        <w:rPr>
          <w:rFonts w:ascii="Arial" w:cs="Arial" w:eastAsia="Arial" w:hAnsi="Arial"/>
          <w:sz w:val="13"/>
          <w:szCs w:val="13"/>
          <w:color w:val="auto"/>
        </w:rPr>
      </w:pPr>
    </w:p>
    <w:p>
      <w:pPr>
        <w:ind w:left="3200" w:hanging="599"/>
        <w:spacing w:after="0"/>
        <w:tabs>
          <w:tab w:leader="none" w:pos="3200" w:val="left"/>
        </w:tabs>
        <w:numPr>
          <w:ilvl w:val="1"/>
          <w:numId w:val="110"/>
        </w:numPr>
        <w:rPr>
          <w:rFonts w:ascii="Arial" w:cs="Arial" w:eastAsia="Arial" w:hAnsi="Arial"/>
          <w:sz w:val="13"/>
          <w:szCs w:val="13"/>
          <w:color w:val="auto"/>
        </w:rPr>
      </w:pPr>
      <w:r>
        <w:rPr>
          <w:rFonts w:ascii="Arial" w:cs="Arial" w:eastAsia="Arial" w:hAnsi="Arial"/>
          <w:sz w:val="13"/>
          <w:szCs w:val="13"/>
          <w:color w:val="auto"/>
        </w:rPr>
        <w:t>a Note executed by the Borrowers in favor of each Lender requesting a</w:t>
      </w:r>
    </w:p>
    <w:p>
      <w:pPr>
        <w:spacing w:after="0" w:line="14" w:lineRule="exact"/>
        <w:rPr>
          <w:sz w:val="20"/>
          <w:szCs w:val="20"/>
          <w:color w:val="auto"/>
        </w:rPr>
      </w:pPr>
    </w:p>
    <w:p>
      <w:pPr>
        <w:ind w:left="1920"/>
        <w:spacing w:after="0"/>
        <w:rPr>
          <w:sz w:val="20"/>
          <w:szCs w:val="20"/>
          <w:color w:val="auto"/>
        </w:rPr>
      </w:pPr>
      <w:r>
        <w:rPr>
          <w:rFonts w:ascii="Arial" w:cs="Arial" w:eastAsia="Arial" w:hAnsi="Arial"/>
          <w:sz w:val="13"/>
          <w:szCs w:val="13"/>
          <w:color w:val="auto"/>
        </w:rPr>
        <w:t>Note;</w:t>
      </w:r>
    </w:p>
    <w:p>
      <w:pPr>
        <w:spacing w:after="0" w:line="138" w:lineRule="exact"/>
        <w:rPr>
          <w:sz w:val="20"/>
          <w:szCs w:val="20"/>
          <w:color w:val="auto"/>
        </w:rPr>
      </w:pPr>
    </w:p>
    <w:p>
      <w:pPr>
        <w:jc w:val="both"/>
        <w:ind w:left="1920" w:firstLine="681"/>
        <w:spacing w:after="0" w:line="258" w:lineRule="auto"/>
        <w:tabs>
          <w:tab w:leader="none" w:pos="3234" w:val="left"/>
        </w:tabs>
        <w:numPr>
          <w:ilvl w:val="0"/>
          <w:numId w:val="111"/>
        </w:numPr>
        <w:rPr>
          <w:rFonts w:ascii="Arial" w:cs="Arial" w:eastAsia="Arial" w:hAnsi="Arial"/>
          <w:sz w:val="13"/>
          <w:szCs w:val="13"/>
          <w:color w:val="auto"/>
        </w:rPr>
      </w:pPr>
      <w:r>
        <w:rPr>
          <w:rFonts w:ascii="Arial" w:cs="Arial" w:eastAsia="Arial" w:hAnsi="Arial"/>
          <w:sz w:val="13"/>
          <w:szCs w:val="13"/>
          <w:color w:val="auto"/>
        </w:rPr>
        <w:t>such certificates of resolutions or other action, incumbency certificates and/or other certificates of Responsible Officers of each Loan Party as the Agent may require evidencing (A) the authority of each Loan Party to enter into this Agreement and the other Loan Documents to which such Loan Party is a party or is to become a party and (B) the identity, authority and capacity of each Responsible Officer thereof</w:t>
      </w:r>
    </w:p>
    <w:p>
      <w:pPr>
        <w:spacing w:after="0" w:line="269"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4" w:right="439" w:bottom="1440" w:gutter="0" w:footer="0" w:header="0"/>
        </w:sectPr>
      </w:pPr>
    </w:p>
    <w:bookmarkStart w:id="90" w:name="page91"/>
    <w:bookmarkEnd w:id="90"/>
    <w:p>
      <w:pPr>
        <w:ind w:left="1920"/>
        <w:spacing w:after="0"/>
        <w:rPr>
          <w:sz w:val="20"/>
          <w:szCs w:val="20"/>
          <w:color w:val="auto"/>
        </w:rPr>
      </w:pPr>
      <w:r>
        <w:rPr>
          <w:rFonts w:ascii="Arial" w:cs="Arial" w:eastAsia="Arial" w:hAnsi="Arial"/>
          <w:sz w:val="12"/>
          <w:szCs w:val="12"/>
          <w:color w:val="auto"/>
        </w:rPr>
        <w:t>authorized to act as a Responsible Officer in connection with this Agreement and the other Loan Documents to which such Loan Party is a party or is to become a party;</w:t>
      </w:r>
    </w:p>
    <w:p>
      <w:pPr>
        <w:spacing w:after="0" w:line="161" w:lineRule="exact"/>
        <w:rPr>
          <w:sz w:val="20"/>
          <w:szCs w:val="20"/>
          <w:color w:val="auto"/>
        </w:rPr>
      </w:pPr>
    </w:p>
    <w:p>
      <w:pPr>
        <w:jc w:val="both"/>
        <w:ind w:left="1920" w:firstLine="681"/>
        <w:spacing w:after="0" w:line="254" w:lineRule="auto"/>
        <w:tabs>
          <w:tab w:leader="none" w:pos="3227" w:val="left"/>
        </w:tabs>
        <w:numPr>
          <w:ilvl w:val="1"/>
          <w:numId w:val="112"/>
        </w:numPr>
        <w:rPr>
          <w:rFonts w:ascii="Arial" w:cs="Arial" w:eastAsia="Arial" w:hAnsi="Arial"/>
          <w:sz w:val="13"/>
          <w:szCs w:val="13"/>
          <w:color w:val="auto"/>
        </w:rPr>
      </w:pPr>
      <w:r>
        <w:rPr>
          <w:rFonts w:ascii="Arial" w:cs="Arial" w:eastAsia="Arial" w:hAnsi="Arial"/>
          <w:sz w:val="13"/>
          <w:szCs w:val="13"/>
          <w:color w:val="auto"/>
        </w:rPr>
        <w:t>copies of each Loan Party’s Organization Documents and such other documents and certifications as the Agent may reasonably require to evidence that each Loan Party is duly organized or formed, and that each Loan Party is validly existing, in good standing, and qualified to engage in business in each jurisdiction where its ownership, lease or operation of properties or the conduct of its business requires such qualification, except to the extent that failure to so qualify in such jurisdiction could not reasonably be expected to have a Material Adverse Effect;</w:t>
      </w:r>
    </w:p>
    <w:p>
      <w:pPr>
        <w:spacing w:after="0" w:line="123" w:lineRule="exact"/>
        <w:rPr>
          <w:rFonts w:ascii="Arial" w:cs="Arial" w:eastAsia="Arial" w:hAnsi="Arial"/>
          <w:sz w:val="13"/>
          <w:szCs w:val="13"/>
          <w:color w:val="auto"/>
        </w:rPr>
      </w:pPr>
    </w:p>
    <w:p>
      <w:pPr>
        <w:ind w:left="1920" w:firstLine="680"/>
        <w:spacing w:after="0" w:line="271" w:lineRule="auto"/>
        <w:tabs>
          <w:tab w:leader="none" w:pos="3190" w:val="left"/>
        </w:tabs>
        <w:numPr>
          <w:ilvl w:val="1"/>
          <w:numId w:val="112"/>
        </w:numPr>
        <w:rPr>
          <w:rFonts w:ascii="Arial" w:cs="Arial" w:eastAsia="Arial" w:hAnsi="Arial"/>
          <w:sz w:val="13"/>
          <w:szCs w:val="13"/>
          <w:color w:val="auto"/>
        </w:rPr>
      </w:pPr>
      <w:r>
        <w:rPr>
          <w:rFonts w:ascii="Arial" w:cs="Arial" w:eastAsia="Arial" w:hAnsi="Arial"/>
          <w:sz w:val="13"/>
          <w:szCs w:val="13"/>
          <w:color w:val="auto"/>
        </w:rPr>
        <w:t>a favorable opinion of Greenberg Traurig, LLP, counsel to the Loan Parties, addressed to the Agent and each Lender, as to such matters concerning the Loan Parties and the Loan Documents as the Agent may reasonably request;</w:t>
      </w:r>
    </w:p>
    <w:p>
      <w:pPr>
        <w:spacing w:after="0" w:line="112" w:lineRule="exact"/>
        <w:rPr>
          <w:rFonts w:ascii="Arial" w:cs="Arial" w:eastAsia="Arial" w:hAnsi="Arial"/>
          <w:sz w:val="13"/>
          <w:szCs w:val="13"/>
          <w:color w:val="auto"/>
        </w:rPr>
      </w:pPr>
    </w:p>
    <w:p>
      <w:pPr>
        <w:ind w:left="3220" w:hanging="619"/>
        <w:spacing w:after="0"/>
        <w:tabs>
          <w:tab w:leader="none" w:pos="3220" w:val="left"/>
        </w:tabs>
        <w:numPr>
          <w:ilvl w:val="1"/>
          <w:numId w:val="112"/>
        </w:numPr>
        <w:rPr>
          <w:rFonts w:ascii="Arial" w:cs="Arial" w:eastAsia="Arial" w:hAnsi="Arial"/>
          <w:sz w:val="12"/>
          <w:szCs w:val="12"/>
          <w:color w:val="auto"/>
        </w:rPr>
      </w:pPr>
      <w:r>
        <w:rPr>
          <w:rFonts w:ascii="Arial" w:cs="Arial" w:eastAsia="Arial" w:hAnsi="Arial"/>
          <w:sz w:val="12"/>
          <w:szCs w:val="12"/>
          <w:color w:val="auto"/>
        </w:rPr>
        <w:t xml:space="preserve">a certificate of a Responsible Officer of the Lead Borrower certifying (A) that the conditions specified in </w:t>
      </w:r>
      <w:r>
        <w:rPr>
          <w:rFonts w:ascii="Arial" w:cs="Arial" w:eastAsia="Arial" w:hAnsi="Arial"/>
          <w:sz w:val="12"/>
          <w:szCs w:val="12"/>
          <w:u w:val="single" w:color="auto"/>
          <w:color w:val="auto"/>
        </w:rPr>
        <w:t>Sections 4.01</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4.02</w:t>
      </w:r>
      <w:r>
        <w:rPr>
          <w:rFonts w:ascii="Arial" w:cs="Arial" w:eastAsia="Arial" w:hAnsi="Arial"/>
          <w:sz w:val="12"/>
          <w:szCs w:val="12"/>
          <w:color w:val="auto"/>
        </w:rPr>
        <w:t xml:space="preserve"> have been satisfied,</w:t>
      </w:r>
    </w:p>
    <w:p>
      <w:pPr>
        <w:spacing w:after="0" w:line="25" w:lineRule="exact"/>
        <w:rPr>
          <w:rFonts w:ascii="Arial" w:cs="Arial" w:eastAsia="Arial" w:hAnsi="Arial"/>
          <w:sz w:val="12"/>
          <w:szCs w:val="12"/>
          <w:color w:val="auto"/>
        </w:rPr>
      </w:pPr>
    </w:p>
    <w:p>
      <w:pPr>
        <w:jc w:val="both"/>
        <w:ind w:left="1920" w:hanging="3"/>
        <w:spacing w:after="0" w:line="276" w:lineRule="auto"/>
        <w:tabs>
          <w:tab w:leader="none" w:pos="2131" w:val="left"/>
        </w:tabs>
        <w:numPr>
          <w:ilvl w:val="0"/>
          <w:numId w:val="113"/>
        </w:numPr>
        <w:rPr>
          <w:rFonts w:ascii="Arial" w:cs="Arial" w:eastAsia="Arial" w:hAnsi="Arial"/>
          <w:sz w:val="12"/>
          <w:szCs w:val="12"/>
          <w:color w:val="auto"/>
        </w:rPr>
      </w:pPr>
      <w:r>
        <w:rPr>
          <w:rFonts w:ascii="Arial" w:cs="Arial" w:eastAsia="Arial" w:hAnsi="Arial"/>
          <w:sz w:val="12"/>
          <w:szCs w:val="12"/>
          <w:color w:val="auto"/>
        </w:rPr>
        <w:t>that there has been no event or circumstance since the date of the Audited Financial Statements that has had or could be reasonably expected to have, either individually or in the aggregate, a Material Adverse Effect, (C) to the Solvency of the Loan Parties as of the Closing Date after giving effect to the transactions contemplated hereby, and (D) either that (1) no consents, licenses or approvals are required in connection with the execution, delivery and performance by such Loan Party and the validity against such Loan Party of the Loan Documents to which it is a party, or (2) that all such consents, licenses and approvals have been obtained and are in full force and effect;</w:t>
      </w:r>
    </w:p>
    <w:p>
      <w:pPr>
        <w:spacing w:after="0" w:line="111" w:lineRule="exact"/>
        <w:rPr>
          <w:rFonts w:ascii="Arial" w:cs="Arial" w:eastAsia="Arial" w:hAnsi="Arial"/>
          <w:sz w:val="12"/>
          <w:szCs w:val="12"/>
          <w:color w:val="auto"/>
        </w:rPr>
      </w:pPr>
    </w:p>
    <w:p>
      <w:pPr>
        <w:ind w:left="1920" w:firstLine="681"/>
        <w:spacing w:after="0" w:line="271" w:lineRule="auto"/>
        <w:tabs>
          <w:tab w:leader="none" w:pos="3263" w:val="left"/>
        </w:tabs>
        <w:numPr>
          <w:ilvl w:val="1"/>
          <w:numId w:val="113"/>
        </w:numPr>
        <w:rPr>
          <w:rFonts w:ascii="Arial" w:cs="Arial" w:eastAsia="Arial" w:hAnsi="Arial"/>
          <w:sz w:val="13"/>
          <w:szCs w:val="13"/>
          <w:color w:val="auto"/>
        </w:rPr>
      </w:pPr>
      <w:r>
        <w:rPr>
          <w:rFonts w:ascii="Arial" w:cs="Arial" w:eastAsia="Arial" w:hAnsi="Arial"/>
          <w:sz w:val="13"/>
          <w:szCs w:val="13"/>
          <w:color w:val="auto"/>
        </w:rPr>
        <w:t>evidence that all insurance required to be maintained pursuant to the Loan Documents and all endorsements in favor of the Agent required under the Loan Documents have been obtained and are in effect;</w:t>
      </w:r>
    </w:p>
    <w:p>
      <w:pPr>
        <w:spacing w:after="0" w:line="112" w:lineRule="exact"/>
        <w:rPr>
          <w:rFonts w:ascii="Arial" w:cs="Arial" w:eastAsia="Arial" w:hAnsi="Arial"/>
          <w:sz w:val="13"/>
          <w:szCs w:val="13"/>
          <w:color w:val="auto"/>
        </w:rPr>
      </w:pPr>
    </w:p>
    <w:p>
      <w:pPr>
        <w:jc w:val="both"/>
        <w:ind w:left="1920" w:firstLine="681"/>
        <w:spacing w:after="0" w:line="254" w:lineRule="auto"/>
        <w:tabs>
          <w:tab w:leader="none" w:pos="3300" w:val="left"/>
        </w:tabs>
        <w:numPr>
          <w:ilvl w:val="1"/>
          <w:numId w:val="113"/>
        </w:numPr>
        <w:rPr>
          <w:rFonts w:ascii="Arial" w:cs="Arial" w:eastAsia="Arial" w:hAnsi="Arial"/>
          <w:sz w:val="13"/>
          <w:szCs w:val="13"/>
          <w:color w:val="auto"/>
        </w:rPr>
      </w:pPr>
      <w:r>
        <w:rPr>
          <w:rFonts w:ascii="Arial" w:cs="Arial" w:eastAsia="Arial" w:hAnsi="Arial"/>
          <w:sz w:val="13"/>
          <w:szCs w:val="13"/>
          <w:color w:val="auto"/>
        </w:rPr>
        <w:t>a payoff letter from the Term Loan Agent for the lenders under Existing Term Loan Agreement, satisfactory in form and substance to the Agent, evidencing that the Existing Term Loan Agreement has been or concurrently with the Closing Date is being terminated, all obligations thereunder have been or concurrently with the Closing Date are being paid in full, and all Liens securing obligations under the Existing Term Loan Agreement have been or concurrently with the Closing Date are being released;</w:t>
      </w:r>
    </w:p>
    <w:p>
      <w:pPr>
        <w:spacing w:after="0" w:line="123" w:lineRule="exact"/>
        <w:rPr>
          <w:rFonts w:ascii="Arial" w:cs="Arial" w:eastAsia="Arial" w:hAnsi="Arial"/>
          <w:sz w:val="13"/>
          <w:szCs w:val="13"/>
          <w:color w:val="auto"/>
        </w:rPr>
      </w:pPr>
    </w:p>
    <w:p>
      <w:pPr>
        <w:ind w:left="1920" w:firstLine="681"/>
        <w:spacing w:after="0" w:line="271" w:lineRule="auto"/>
        <w:tabs>
          <w:tab w:leader="none" w:pos="3227" w:val="left"/>
        </w:tabs>
        <w:numPr>
          <w:ilvl w:val="1"/>
          <w:numId w:val="113"/>
        </w:numPr>
        <w:rPr>
          <w:rFonts w:ascii="Arial" w:cs="Arial" w:eastAsia="Arial" w:hAnsi="Arial"/>
          <w:sz w:val="13"/>
          <w:szCs w:val="13"/>
          <w:color w:val="auto"/>
        </w:rPr>
      </w:pPr>
      <w:r>
        <w:rPr>
          <w:rFonts w:ascii="Arial" w:cs="Arial" w:eastAsia="Arial" w:hAnsi="Arial"/>
          <w:sz w:val="13"/>
          <w:szCs w:val="13"/>
          <w:color w:val="auto"/>
        </w:rPr>
        <w:t>the Security Documents and certificates evidencing any stock being pledged thereunder, together with undated stock powers executed in blank, each duly executed by the applicable Loan Parties;</w:t>
      </w:r>
    </w:p>
    <w:p>
      <w:pPr>
        <w:spacing w:after="0" w:line="112" w:lineRule="exact"/>
        <w:rPr>
          <w:rFonts w:ascii="Arial" w:cs="Arial" w:eastAsia="Arial" w:hAnsi="Arial"/>
          <w:sz w:val="13"/>
          <w:szCs w:val="13"/>
          <w:color w:val="auto"/>
        </w:rPr>
      </w:pPr>
    </w:p>
    <w:p>
      <w:pPr>
        <w:ind w:left="3180" w:hanging="579"/>
        <w:spacing w:after="0"/>
        <w:tabs>
          <w:tab w:leader="none" w:pos="3180" w:val="left"/>
        </w:tabs>
        <w:numPr>
          <w:ilvl w:val="1"/>
          <w:numId w:val="113"/>
        </w:numPr>
        <w:rPr>
          <w:rFonts w:ascii="Arial" w:cs="Arial" w:eastAsia="Arial" w:hAnsi="Arial"/>
          <w:sz w:val="13"/>
          <w:szCs w:val="13"/>
          <w:color w:val="auto"/>
        </w:rPr>
      </w:pPr>
      <w:r>
        <w:rPr>
          <w:rFonts w:ascii="Arial" w:cs="Arial" w:eastAsia="Arial" w:hAnsi="Arial"/>
          <w:sz w:val="13"/>
          <w:szCs w:val="13"/>
          <w:color w:val="auto"/>
        </w:rPr>
        <w:t>all other Loan Documents, each duly executed by the applicable Loan Parties;</w:t>
      </w:r>
    </w:p>
    <w:p>
      <w:pPr>
        <w:spacing w:after="0" w:line="147" w:lineRule="exact"/>
        <w:rPr>
          <w:rFonts w:ascii="Arial" w:cs="Arial" w:eastAsia="Arial" w:hAnsi="Arial"/>
          <w:sz w:val="13"/>
          <w:szCs w:val="13"/>
          <w:color w:val="auto"/>
        </w:rPr>
      </w:pPr>
    </w:p>
    <w:p>
      <w:pPr>
        <w:ind w:left="3220" w:hanging="619"/>
        <w:spacing w:after="0"/>
        <w:tabs>
          <w:tab w:leader="none" w:pos="3220" w:val="left"/>
        </w:tabs>
        <w:numPr>
          <w:ilvl w:val="1"/>
          <w:numId w:val="113"/>
        </w:numPr>
        <w:rPr>
          <w:rFonts w:ascii="Arial" w:cs="Arial" w:eastAsia="Arial" w:hAnsi="Arial"/>
          <w:sz w:val="13"/>
          <w:szCs w:val="13"/>
          <w:color w:val="auto"/>
        </w:rPr>
      </w:pPr>
      <w:r>
        <w:rPr>
          <w:rFonts w:ascii="Arial" w:cs="Arial" w:eastAsia="Arial" w:hAnsi="Arial"/>
          <w:sz w:val="13"/>
          <w:szCs w:val="13"/>
          <w:color w:val="auto"/>
        </w:rPr>
        <w:t>appraisal based on forced liquidation value by a third party appraiser acceptable to the Agent of all Eligible Trade Names of the Borrowers;</w:t>
      </w:r>
    </w:p>
    <w:p>
      <w:pPr>
        <w:spacing w:after="0" w:line="147" w:lineRule="exact"/>
        <w:rPr>
          <w:rFonts w:ascii="Arial" w:cs="Arial" w:eastAsia="Arial" w:hAnsi="Arial"/>
          <w:sz w:val="13"/>
          <w:szCs w:val="13"/>
          <w:color w:val="auto"/>
        </w:rPr>
      </w:pPr>
    </w:p>
    <w:p>
      <w:pPr>
        <w:jc w:val="both"/>
        <w:ind w:left="1920" w:firstLine="681"/>
        <w:spacing w:after="0" w:line="258" w:lineRule="auto"/>
        <w:tabs>
          <w:tab w:leader="none" w:pos="3263" w:val="left"/>
        </w:tabs>
        <w:numPr>
          <w:ilvl w:val="1"/>
          <w:numId w:val="113"/>
        </w:numPr>
        <w:rPr>
          <w:rFonts w:ascii="Arial" w:cs="Arial" w:eastAsia="Arial" w:hAnsi="Arial"/>
          <w:sz w:val="13"/>
          <w:szCs w:val="13"/>
          <w:color w:val="auto"/>
        </w:rPr>
      </w:pPr>
      <w:r>
        <w:rPr>
          <w:rFonts w:ascii="Arial" w:cs="Arial" w:eastAsia="Arial" w:hAnsi="Arial"/>
          <w:sz w:val="13"/>
          <w:szCs w:val="13"/>
          <w:color w:val="auto"/>
        </w:rPr>
        <w:t>results of searches or other evidence reasonably satisfactory to the Agent (in each case dated as of a date reasonably satisfactory to the Agent) indicating the absence of Liens on the assets of the Loan Parties, except for Permitted Encumbrances and Liens for which termination statements satisfactory to the Agent are being tendered</w:t>
      </w:r>
    </w:p>
    <w:p>
      <w:pPr>
        <w:spacing w:after="0" w:line="269"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91" w:name="page92"/>
    <w:bookmarkEnd w:id="91"/>
    <w:p>
      <w:pPr>
        <w:ind w:left="1920"/>
        <w:spacing w:after="0"/>
        <w:rPr>
          <w:sz w:val="20"/>
          <w:szCs w:val="20"/>
          <w:color w:val="auto"/>
        </w:rPr>
      </w:pPr>
      <w:r>
        <w:rPr>
          <w:rFonts w:ascii="Arial" w:cs="Arial" w:eastAsia="Arial" w:hAnsi="Arial"/>
          <w:sz w:val="13"/>
          <w:szCs w:val="13"/>
          <w:color w:val="auto"/>
        </w:rPr>
        <w:t>concurrently with such extension of credit or other arrangements satisfactory to the Agent for the delivery of such termination statements have been made;</w:t>
      </w:r>
    </w:p>
    <w:p>
      <w:pPr>
        <w:spacing w:after="0" w:line="149" w:lineRule="exact"/>
        <w:rPr>
          <w:sz w:val="20"/>
          <w:szCs w:val="20"/>
          <w:color w:val="auto"/>
        </w:rPr>
      </w:pPr>
    </w:p>
    <w:p>
      <w:pPr>
        <w:jc w:val="both"/>
        <w:ind w:left="1920" w:firstLine="681"/>
        <w:spacing w:after="0" w:line="282" w:lineRule="auto"/>
        <w:tabs>
          <w:tab w:leader="none" w:pos="3300" w:val="left"/>
        </w:tabs>
        <w:numPr>
          <w:ilvl w:val="2"/>
          <w:numId w:val="114"/>
        </w:numPr>
        <w:rPr>
          <w:rFonts w:ascii="Arial" w:cs="Arial" w:eastAsia="Arial" w:hAnsi="Arial"/>
          <w:sz w:val="12"/>
          <w:szCs w:val="12"/>
          <w:color w:val="auto"/>
        </w:rPr>
      </w:pPr>
      <w:r>
        <w:rPr>
          <w:rFonts w:ascii="Arial" w:cs="Arial" w:eastAsia="Arial" w:hAnsi="Arial"/>
          <w:sz w:val="12"/>
          <w:szCs w:val="12"/>
          <w:color w:val="auto"/>
        </w:rPr>
        <w:t xml:space="preserve">(A) all documents and instruments, including Uniform Commercial Code financing statements, required by law or reasonably requested by the Agent to be filed, registered or recorded to create or perfect the first priority Liens intended to be created under the Loan Documents and all such documents and instruments shall have been so filed, registered or recorded to the satisfaction of the Agent, (B) the Credit Card Notifications, and Account Control Agreements required pursuant to </w:t>
      </w:r>
      <w:r>
        <w:rPr>
          <w:rFonts w:ascii="Arial" w:cs="Arial" w:eastAsia="Arial" w:hAnsi="Arial"/>
          <w:sz w:val="12"/>
          <w:szCs w:val="12"/>
          <w:u w:val="single" w:color="auto"/>
          <w:color w:val="auto"/>
        </w:rPr>
        <w:t>Section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6.12</w:t>
      </w:r>
      <w:r>
        <w:rPr>
          <w:rFonts w:ascii="Arial" w:cs="Arial" w:eastAsia="Arial" w:hAnsi="Arial"/>
          <w:sz w:val="12"/>
          <w:szCs w:val="12"/>
          <w:color w:val="auto"/>
        </w:rPr>
        <w:t xml:space="preserve"> hereof shall have been obtained, and (C) control agreements with respect to the Loan Parties’ securities and investment accounts have been obtained; and</w:t>
      </w:r>
    </w:p>
    <w:p>
      <w:pPr>
        <w:spacing w:after="0" w:line="108" w:lineRule="exact"/>
        <w:rPr>
          <w:rFonts w:ascii="Arial" w:cs="Arial" w:eastAsia="Arial" w:hAnsi="Arial"/>
          <w:sz w:val="12"/>
          <w:szCs w:val="12"/>
          <w:color w:val="auto"/>
        </w:rPr>
      </w:pPr>
    </w:p>
    <w:p>
      <w:pPr>
        <w:ind w:left="3300" w:hanging="699"/>
        <w:spacing w:after="0"/>
        <w:tabs>
          <w:tab w:leader="none" w:pos="3300" w:val="left"/>
        </w:tabs>
        <w:numPr>
          <w:ilvl w:val="2"/>
          <w:numId w:val="114"/>
        </w:numPr>
        <w:rPr>
          <w:rFonts w:ascii="Arial" w:cs="Arial" w:eastAsia="Arial" w:hAnsi="Arial"/>
          <w:sz w:val="13"/>
          <w:szCs w:val="13"/>
          <w:color w:val="auto"/>
        </w:rPr>
      </w:pPr>
      <w:r>
        <w:rPr>
          <w:rFonts w:ascii="Arial" w:cs="Arial" w:eastAsia="Arial" w:hAnsi="Arial"/>
          <w:sz w:val="13"/>
          <w:szCs w:val="13"/>
          <w:color w:val="auto"/>
        </w:rPr>
        <w:t>such other assurances, certificates, documents, consents or opinions as the Agent reasonably may require.</w:t>
      </w:r>
    </w:p>
    <w:p>
      <w:pPr>
        <w:spacing w:after="0" w:line="147" w:lineRule="exact"/>
        <w:rPr>
          <w:rFonts w:ascii="Arial" w:cs="Arial" w:eastAsia="Arial" w:hAnsi="Arial"/>
          <w:sz w:val="13"/>
          <w:szCs w:val="13"/>
          <w:color w:val="auto"/>
        </w:rPr>
      </w:pPr>
    </w:p>
    <w:p>
      <w:pPr>
        <w:ind w:left="1080" w:firstLine="739"/>
        <w:spacing w:after="0" w:line="314" w:lineRule="auto"/>
        <w:tabs>
          <w:tab w:leader="none" w:pos="2411" w:val="left"/>
        </w:tabs>
        <w:numPr>
          <w:ilvl w:val="1"/>
          <w:numId w:val="115"/>
        </w:numPr>
        <w:rPr>
          <w:rFonts w:ascii="Arial" w:cs="Arial" w:eastAsia="Arial" w:hAnsi="Arial"/>
          <w:sz w:val="12"/>
          <w:szCs w:val="12"/>
          <w:color w:val="auto"/>
        </w:rPr>
      </w:pPr>
      <w:r>
        <w:rPr>
          <w:rFonts w:ascii="Arial" w:cs="Arial" w:eastAsia="Arial" w:hAnsi="Arial"/>
          <w:sz w:val="12"/>
          <w:szCs w:val="12"/>
          <w:color w:val="auto"/>
        </w:rPr>
        <w:t>After giving effect to (i) the funding under the Loans, (ii) any charges to the Loan Account made in connection with the credit facility contemplated hereby and (iii) all Letters of Credit to be issued at, or immediately subsequent to, the Closing Date, Availability shall be not less than twenty-five percent (25%) of the Revolving Loan Cap.</w:t>
      </w:r>
    </w:p>
    <w:p>
      <w:pPr>
        <w:spacing w:after="0" w:line="89" w:lineRule="exact"/>
        <w:rPr>
          <w:rFonts w:ascii="Arial" w:cs="Arial" w:eastAsia="Arial" w:hAnsi="Arial"/>
          <w:sz w:val="12"/>
          <w:szCs w:val="12"/>
          <w:color w:val="auto"/>
        </w:rPr>
      </w:pPr>
    </w:p>
    <w:p>
      <w:pPr>
        <w:ind w:left="2400" w:hanging="582"/>
        <w:spacing w:after="0"/>
        <w:tabs>
          <w:tab w:leader="none" w:pos="2400" w:val="left"/>
        </w:tabs>
        <w:numPr>
          <w:ilvl w:val="1"/>
          <w:numId w:val="115"/>
        </w:numPr>
        <w:rPr>
          <w:rFonts w:ascii="Arial" w:cs="Arial" w:eastAsia="Arial" w:hAnsi="Arial"/>
          <w:sz w:val="11"/>
          <w:szCs w:val="11"/>
          <w:color w:val="auto"/>
        </w:rPr>
      </w:pPr>
      <w:r>
        <w:rPr>
          <w:rFonts w:ascii="Arial" w:cs="Arial" w:eastAsia="Arial" w:hAnsi="Arial"/>
          <w:sz w:val="11"/>
          <w:szCs w:val="11"/>
          <w:color w:val="auto"/>
        </w:rPr>
        <w:t>The Agent shall have received a Borrowing Base Certificate dated the Closing Date, relating to the month ended on May 5, 2018, and executed by a Responsible Officer</w:t>
      </w:r>
    </w:p>
    <w:p>
      <w:pPr>
        <w:spacing w:after="0" w:line="36" w:lineRule="exact"/>
        <w:rPr>
          <w:rFonts w:ascii="Arial" w:cs="Arial" w:eastAsia="Arial" w:hAnsi="Arial"/>
          <w:sz w:val="11"/>
          <w:szCs w:val="11"/>
          <w:color w:val="auto"/>
        </w:rPr>
      </w:pPr>
    </w:p>
    <w:p>
      <w:pPr>
        <w:ind w:left="1080"/>
        <w:spacing w:after="0"/>
        <w:rPr>
          <w:rFonts w:ascii="Arial" w:cs="Arial" w:eastAsia="Arial" w:hAnsi="Arial"/>
          <w:sz w:val="11"/>
          <w:szCs w:val="11"/>
          <w:color w:val="auto"/>
        </w:rPr>
      </w:pPr>
      <w:r>
        <w:rPr>
          <w:rFonts w:ascii="Arial" w:cs="Arial" w:eastAsia="Arial" w:hAnsi="Arial"/>
          <w:sz w:val="13"/>
          <w:szCs w:val="13"/>
          <w:color w:val="auto"/>
        </w:rPr>
        <w:t>of the Lead Borrower.</w:t>
      </w:r>
    </w:p>
    <w:p>
      <w:pPr>
        <w:spacing w:after="0" w:line="137" w:lineRule="exact"/>
        <w:rPr>
          <w:rFonts w:ascii="Arial" w:cs="Arial" w:eastAsia="Arial" w:hAnsi="Arial"/>
          <w:sz w:val="11"/>
          <w:szCs w:val="11"/>
          <w:color w:val="auto"/>
        </w:rPr>
      </w:pPr>
    </w:p>
    <w:p>
      <w:pPr>
        <w:ind w:left="1080" w:firstLine="738"/>
        <w:spacing w:after="0" w:line="271" w:lineRule="auto"/>
        <w:tabs>
          <w:tab w:leader="none" w:pos="2410" w:val="left"/>
        </w:tabs>
        <w:numPr>
          <w:ilvl w:val="1"/>
          <w:numId w:val="115"/>
        </w:numPr>
        <w:rPr>
          <w:rFonts w:ascii="Arial" w:cs="Arial" w:eastAsia="Arial" w:hAnsi="Arial"/>
          <w:sz w:val="13"/>
          <w:szCs w:val="13"/>
          <w:color w:val="auto"/>
        </w:rPr>
      </w:pPr>
      <w:r>
        <w:rPr>
          <w:rFonts w:ascii="Arial" w:cs="Arial" w:eastAsia="Arial" w:hAnsi="Arial"/>
          <w:sz w:val="13"/>
          <w:szCs w:val="13"/>
          <w:color w:val="auto"/>
        </w:rPr>
        <w:t>The Agent shall be reasonably satisfied that any financial statements delivered to it and the Lenders fairly present the business and financial condition of the Loan Parties and that there has been no Material Adverse Effect since the date of the Audited Financial Statements.</w:t>
      </w:r>
    </w:p>
    <w:p>
      <w:pPr>
        <w:spacing w:after="0" w:line="112" w:lineRule="exact"/>
        <w:rPr>
          <w:rFonts w:ascii="Arial" w:cs="Arial" w:eastAsia="Arial" w:hAnsi="Arial"/>
          <w:sz w:val="13"/>
          <w:szCs w:val="13"/>
          <w:color w:val="auto"/>
        </w:rPr>
      </w:pPr>
    </w:p>
    <w:p>
      <w:pPr>
        <w:jc w:val="both"/>
        <w:ind w:left="1080" w:firstLine="738"/>
        <w:spacing w:after="0" w:line="300" w:lineRule="auto"/>
        <w:tabs>
          <w:tab w:leader="none" w:pos="2403" w:val="left"/>
        </w:tabs>
        <w:numPr>
          <w:ilvl w:val="1"/>
          <w:numId w:val="115"/>
        </w:numPr>
        <w:rPr>
          <w:rFonts w:ascii="Arial" w:cs="Arial" w:eastAsia="Arial" w:hAnsi="Arial"/>
          <w:sz w:val="11"/>
          <w:szCs w:val="11"/>
          <w:color w:val="auto"/>
        </w:rPr>
      </w:pPr>
      <w:r>
        <w:rPr>
          <w:rFonts w:ascii="Arial" w:cs="Arial" w:eastAsia="Arial" w:hAnsi="Arial"/>
          <w:sz w:val="11"/>
          <w:szCs w:val="11"/>
          <w:color w:val="auto"/>
        </w:rPr>
        <w:t>The Agent and the Lenders shall have received and be satisfied with (i) (x) a detailed financial projections and business assumptions on a quarterly basis for the one year period following the Closing Date, which shall include an Availability model (prepared on a twelve month basis), Consolidated income statement, balance sheet, and statement of cash flow, and</w:t>
      </w:r>
    </w:p>
    <w:p>
      <w:pPr>
        <w:jc w:val="both"/>
        <w:ind w:left="1080" w:hanging="8"/>
        <w:spacing w:after="0" w:line="250" w:lineRule="auto"/>
        <w:tabs>
          <w:tab w:leader="none" w:pos="1268" w:val="left"/>
        </w:tabs>
        <w:numPr>
          <w:ilvl w:val="0"/>
          <w:numId w:val="116"/>
        </w:numPr>
        <w:rPr>
          <w:rFonts w:ascii="Arial" w:cs="Arial" w:eastAsia="Arial" w:hAnsi="Arial"/>
          <w:sz w:val="13"/>
          <w:szCs w:val="13"/>
          <w:color w:val="auto"/>
        </w:rPr>
      </w:pPr>
      <w:r>
        <w:rPr>
          <w:rFonts w:ascii="Arial" w:cs="Arial" w:eastAsia="Arial" w:hAnsi="Arial"/>
          <w:sz w:val="13"/>
          <w:szCs w:val="13"/>
          <w:color w:val="auto"/>
        </w:rPr>
        <w:t>a detailed forecast on an annual basis for each of the three Fiscal Years thereafter, which shall include an Availability model, Consolidated income statement, balance sheet, and statement of cash flow, in each case prepared in conformity with GAAP and consistent with the Loan Parties’ then current practices and (ii) such other information (financial or otherwise) reasonably requested by the Agent.</w:t>
      </w:r>
    </w:p>
    <w:p>
      <w:pPr>
        <w:spacing w:after="0" w:line="126" w:lineRule="exact"/>
        <w:rPr>
          <w:rFonts w:ascii="Arial" w:cs="Arial" w:eastAsia="Arial" w:hAnsi="Arial"/>
          <w:sz w:val="13"/>
          <w:szCs w:val="13"/>
          <w:color w:val="auto"/>
        </w:rPr>
      </w:pPr>
    </w:p>
    <w:p>
      <w:pPr>
        <w:ind w:left="2380" w:hanging="562"/>
        <w:spacing w:after="0"/>
        <w:tabs>
          <w:tab w:leader="none" w:pos="2380" w:val="left"/>
        </w:tabs>
        <w:numPr>
          <w:ilvl w:val="1"/>
          <w:numId w:val="116"/>
        </w:numPr>
        <w:rPr>
          <w:rFonts w:ascii="Arial" w:cs="Arial" w:eastAsia="Arial" w:hAnsi="Arial"/>
          <w:sz w:val="11"/>
          <w:szCs w:val="11"/>
          <w:color w:val="auto"/>
        </w:rPr>
      </w:pPr>
      <w:r>
        <w:rPr>
          <w:rFonts w:ascii="Arial" w:cs="Arial" w:eastAsia="Arial" w:hAnsi="Arial"/>
          <w:sz w:val="11"/>
          <w:szCs w:val="11"/>
          <w:color w:val="auto"/>
        </w:rPr>
        <w:t>There shall not be pending any litigation or other proceeding, the result of which, either individually or in the aggregate, could reasonably be expected to have a Material</w:t>
      </w:r>
    </w:p>
    <w:p>
      <w:pPr>
        <w:spacing w:after="0" w:line="36" w:lineRule="exact"/>
        <w:rPr>
          <w:rFonts w:ascii="Arial" w:cs="Arial" w:eastAsia="Arial" w:hAnsi="Arial"/>
          <w:sz w:val="11"/>
          <w:szCs w:val="11"/>
          <w:color w:val="auto"/>
        </w:rPr>
      </w:pPr>
    </w:p>
    <w:p>
      <w:pPr>
        <w:ind w:left="1080"/>
        <w:spacing w:after="0"/>
        <w:rPr>
          <w:rFonts w:ascii="Arial" w:cs="Arial" w:eastAsia="Arial" w:hAnsi="Arial"/>
          <w:sz w:val="11"/>
          <w:szCs w:val="11"/>
          <w:color w:val="auto"/>
        </w:rPr>
      </w:pPr>
      <w:r>
        <w:rPr>
          <w:rFonts w:ascii="Arial" w:cs="Arial" w:eastAsia="Arial" w:hAnsi="Arial"/>
          <w:sz w:val="13"/>
          <w:szCs w:val="13"/>
          <w:color w:val="auto"/>
        </w:rPr>
        <w:t>Adverse Effect.</w:t>
      </w:r>
    </w:p>
    <w:p>
      <w:pPr>
        <w:spacing w:after="0" w:line="137" w:lineRule="exact"/>
        <w:rPr>
          <w:rFonts w:ascii="Arial" w:cs="Arial" w:eastAsia="Arial" w:hAnsi="Arial"/>
          <w:sz w:val="11"/>
          <w:szCs w:val="11"/>
          <w:color w:val="auto"/>
        </w:rPr>
      </w:pPr>
    </w:p>
    <w:p>
      <w:pPr>
        <w:ind w:left="2400" w:hanging="582"/>
        <w:spacing w:after="0"/>
        <w:tabs>
          <w:tab w:leader="none" w:pos="2400" w:val="left"/>
        </w:tabs>
        <w:numPr>
          <w:ilvl w:val="1"/>
          <w:numId w:val="116"/>
        </w:numPr>
        <w:rPr>
          <w:rFonts w:ascii="Arial" w:cs="Arial" w:eastAsia="Arial" w:hAnsi="Arial"/>
          <w:sz w:val="13"/>
          <w:szCs w:val="13"/>
          <w:color w:val="auto"/>
        </w:rPr>
      </w:pPr>
      <w:r>
        <w:rPr>
          <w:rFonts w:ascii="Arial" w:cs="Arial" w:eastAsia="Arial" w:hAnsi="Arial"/>
          <w:sz w:val="13"/>
          <w:szCs w:val="13"/>
          <w:color w:val="auto"/>
        </w:rPr>
        <w:t>There shall not have occurred any default of any Material Contract of any Loan</w:t>
      </w:r>
    </w:p>
    <w:p>
      <w:pPr>
        <w:spacing w:after="0" w:line="1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Party.</w:t>
      </w:r>
    </w:p>
    <w:p>
      <w:pPr>
        <w:spacing w:after="0" w:line="138" w:lineRule="exact"/>
        <w:rPr>
          <w:sz w:val="20"/>
          <w:szCs w:val="20"/>
          <w:color w:val="auto"/>
        </w:rPr>
      </w:pPr>
    </w:p>
    <w:p>
      <w:pPr>
        <w:ind w:left="2400" w:hanging="582"/>
        <w:spacing w:after="0"/>
        <w:tabs>
          <w:tab w:leader="none" w:pos="240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The consummation of the transactions contemplated hereby shall not violate any Law or any Organization Document.</w:t>
      </w:r>
    </w:p>
    <w:p>
      <w:pPr>
        <w:spacing w:after="0" w:line="147" w:lineRule="exact"/>
        <w:rPr>
          <w:rFonts w:ascii="Arial" w:cs="Arial" w:eastAsia="Arial" w:hAnsi="Arial"/>
          <w:sz w:val="13"/>
          <w:szCs w:val="13"/>
          <w:color w:val="auto"/>
        </w:rPr>
      </w:pPr>
    </w:p>
    <w:p>
      <w:pPr>
        <w:ind w:left="1080" w:firstLine="738"/>
        <w:spacing w:after="0" w:line="271" w:lineRule="auto"/>
        <w:tabs>
          <w:tab w:leader="none" w:pos="2381" w:val="left"/>
        </w:tabs>
        <w:numPr>
          <w:ilvl w:val="0"/>
          <w:numId w:val="117"/>
        </w:numPr>
        <w:rPr>
          <w:rFonts w:ascii="Arial" w:cs="Arial" w:eastAsia="Arial" w:hAnsi="Arial"/>
          <w:sz w:val="13"/>
          <w:szCs w:val="13"/>
          <w:color w:val="auto"/>
        </w:rPr>
      </w:pPr>
      <w:r>
        <w:rPr>
          <w:rFonts w:ascii="Arial" w:cs="Arial" w:eastAsia="Arial" w:hAnsi="Arial"/>
          <w:sz w:val="13"/>
          <w:szCs w:val="13"/>
          <w:color w:val="auto"/>
        </w:rPr>
        <w:t>All fees required to be paid to the Agent or the Arranger on or before the Closing Date shall have been paid in full, and all fees required to be paid to the Lenders on or before the Closing Date shall have been paid in full.</w:t>
      </w:r>
    </w:p>
    <w:p>
      <w:pPr>
        <w:spacing w:after="0" w:line="260"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92" w:name="page93"/>
    <w:bookmarkEnd w:id="92"/>
    <w:p>
      <w:pPr>
        <w:jc w:val="both"/>
        <w:ind w:left="1080" w:firstLine="739"/>
        <w:spacing w:after="0" w:line="259" w:lineRule="auto"/>
        <w:tabs>
          <w:tab w:leader="none" w:pos="2381" w:val="left"/>
        </w:tabs>
        <w:numPr>
          <w:ilvl w:val="0"/>
          <w:numId w:val="118"/>
        </w:numPr>
        <w:rPr>
          <w:rFonts w:ascii="Arial" w:cs="Arial" w:eastAsia="Arial" w:hAnsi="Arial"/>
          <w:sz w:val="13"/>
          <w:szCs w:val="13"/>
          <w:color w:val="auto"/>
        </w:rPr>
      </w:pPr>
      <w:r>
        <w:rPr>
          <w:rFonts w:ascii="Arial" w:cs="Arial" w:eastAsia="Arial" w:hAnsi="Arial"/>
          <w:sz w:val="13"/>
          <w:szCs w:val="13"/>
          <w:color w:val="auto"/>
        </w:rPr>
        <w:t>The Borrowers shall have paid all fees, charges and disbursements of counsel to the Agent to the extent invoiced prior to or on the Closing Date, plus such additional amounts of such fees, charges and disbursements as shall constitute its reasonable estimate of such fees, charges and disbursements incurred or to be incurred by it through the Closing Date (provided that such estimate shall not thereafter preclude a final settling of accounts between the Borrowers and the Agent).</w:t>
      </w:r>
    </w:p>
    <w:p>
      <w:pPr>
        <w:spacing w:after="0" w:line="120" w:lineRule="exact"/>
        <w:rPr>
          <w:rFonts w:ascii="Arial" w:cs="Arial" w:eastAsia="Arial" w:hAnsi="Arial"/>
          <w:sz w:val="13"/>
          <w:szCs w:val="13"/>
          <w:color w:val="auto"/>
        </w:rPr>
      </w:pPr>
    </w:p>
    <w:p>
      <w:pPr>
        <w:jc w:val="both"/>
        <w:ind w:left="1080" w:firstLine="739"/>
        <w:spacing w:after="0" w:line="254" w:lineRule="auto"/>
        <w:tabs>
          <w:tab w:leader="none" w:pos="241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Upon the reasonable request of the Agent or any Lender made at least ten (10) days prior to the Closing Date, the Lead Borrower shall have provided to the Agent and such Lender the documentation and other information so requested in connection with applicable “know your customer”, Anti-Corruption Laws and Anti-Money Laundering, including the Act, in each case at least five (5) days prior to the Closing Date. At least five (5) days prior to the Closing Date, any Borrower that qualifies as a “legal entity customer” under the Beneficial Ownership Regulation shall deliver a Beneficial Ownership Certification in relation to such Borrower.</w:t>
      </w:r>
    </w:p>
    <w:p>
      <w:pPr>
        <w:spacing w:after="0" w:line="123" w:lineRule="exact"/>
        <w:rPr>
          <w:rFonts w:ascii="Arial" w:cs="Arial" w:eastAsia="Arial" w:hAnsi="Arial"/>
          <w:sz w:val="13"/>
          <w:szCs w:val="13"/>
          <w:color w:val="auto"/>
        </w:rPr>
      </w:pPr>
    </w:p>
    <w:p>
      <w:pPr>
        <w:ind w:left="2380" w:hanging="561"/>
        <w:spacing w:after="0"/>
        <w:tabs>
          <w:tab w:leader="none" w:pos="238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No material changes in governmental regulations or policies affecting any Loan Party or any Credit Party shall have occurred prior to the Closing Date.</w:t>
      </w:r>
    </w:p>
    <w:p>
      <w:pPr>
        <w:spacing w:after="0" w:line="147" w:lineRule="exact"/>
        <w:rPr>
          <w:rFonts w:ascii="Arial" w:cs="Arial" w:eastAsia="Arial" w:hAnsi="Arial"/>
          <w:sz w:val="13"/>
          <w:szCs w:val="13"/>
          <w:color w:val="auto"/>
        </w:rPr>
      </w:pPr>
    </w:p>
    <w:p>
      <w:pPr>
        <w:ind w:left="1080" w:firstLine="739"/>
        <w:spacing w:after="0" w:line="271" w:lineRule="auto"/>
        <w:tabs>
          <w:tab w:leader="none" w:pos="2447" w:val="left"/>
        </w:tabs>
        <w:numPr>
          <w:ilvl w:val="0"/>
          <w:numId w:val="118"/>
        </w:numPr>
        <w:rPr>
          <w:rFonts w:ascii="Arial" w:cs="Arial" w:eastAsia="Arial" w:hAnsi="Arial"/>
          <w:sz w:val="13"/>
          <w:szCs w:val="13"/>
          <w:color w:val="auto"/>
        </w:rPr>
      </w:pPr>
      <w:r>
        <w:rPr>
          <w:rFonts w:ascii="Arial" w:cs="Arial" w:eastAsia="Arial" w:hAnsi="Arial"/>
          <w:sz w:val="13"/>
          <w:szCs w:val="13"/>
          <w:color w:val="auto"/>
        </w:rPr>
        <w:t>There shall not have occurred any disruption or material adverse change in the United States financial or capital markets in general that has had, in the reasonable opinion of the Agent, a material adverse effect on the market for loan syndications or adversely affecting the syndication of the Loans.</w:t>
      </w:r>
    </w:p>
    <w:p>
      <w:pPr>
        <w:spacing w:after="0" w:line="113" w:lineRule="exact"/>
        <w:rPr>
          <w:sz w:val="20"/>
          <w:szCs w:val="20"/>
          <w:color w:val="auto"/>
        </w:rPr>
      </w:pPr>
    </w:p>
    <w:p>
      <w:pPr>
        <w:jc w:val="both"/>
        <w:ind w:left="220"/>
        <w:spacing w:after="0" w:line="258" w:lineRule="auto"/>
        <w:rPr>
          <w:sz w:val="20"/>
          <w:szCs w:val="20"/>
          <w:color w:val="auto"/>
        </w:rPr>
      </w:pPr>
      <w:r>
        <w:rPr>
          <w:rFonts w:ascii="Arial" w:cs="Arial" w:eastAsia="Arial" w:hAnsi="Arial"/>
          <w:sz w:val="13"/>
          <w:szCs w:val="13"/>
          <w:color w:val="auto"/>
        </w:rPr>
        <w:t xml:space="preserve">Without limiting the generality of the provisions of </w:t>
      </w:r>
      <w:r>
        <w:rPr>
          <w:rFonts w:ascii="Arial" w:cs="Arial" w:eastAsia="Arial" w:hAnsi="Arial"/>
          <w:sz w:val="13"/>
          <w:szCs w:val="13"/>
          <w:u w:val="single" w:color="auto"/>
          <w:color w:val="auto"/>
        </w:rPr>
        <w:t>Section 9.04</w:t>
      </w:r>
      <w:r>
        <w:rPr>
          <w:rFonts w:ascii="Arial" w:cs="Arial" w:eastAsia="Arial" w:hAnsi="Arial"/>
          <w:sz w:val="13"/>
          <w:szCs w:val="13"/>
          <w:color w:val="auto"/>
        </w:rPr>
        <w:t xml:space="preserve">, for purposes of determining compliance with the conditions specified in this </w:t>
      </w:r>
      <w:r>
        <w:rPr>
          <w:rFonts w:ascii="Arial" w:cs="Arial" w:eastAsia="Arial" w:hAnsi="Arial"/>
          <w:sz w:val="13"/>
          <w:szCs w:val="13"/>
          <w:u w:val="single" w:color="auto"/>
          <w:color w:val="auto"/>
        </w:rPr>
        <w:t>Section 4.01</w:t>
      </w:r>
      <w:r>
        <w:rPr>
          <w:rFonts w:ascii="Arial" w:cs="Arial" w:eastAsia="Arial" w:hAnsi="Arial"/>
          <w:sz w:val="13"/>
          <w:szCs w:val="13"/>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Agent shall have received notice from such Lender prior to the proposed Closing Date specifying its objection thereto.</w:t>
      </w:r>
    </w:p>
    <w:p>
      <w:pPr>
        <w:spacing w:after="0" w:line="117" w:lineRule="exact"/>
        <w:rPr>
          <w:sz w:val="20"/>
          <w:szCs w:val="20"/>
          <w:color w:val="auto"/>
        </w:rPr>
      </w:pPr>
    </w:p>
    <w:p>
      <w:pPr>
        <w:jc w:val="both"/>
        <w:ind w:left="220" w:firstLine="808"/>
        <w:spacing w:after="0" w:line="261" w:lineRule="auto"/>
        <w:rPr>
          <w:sz w:val="20"/>
          <w:szCs w:val="20"/>
          <w:color w:val="auto"/>
        </w:rPr>
      </w:pPr>
      <w:r>
        <w:rPr>
          <w:rFonts w:ascii="Arial" w:cs="Arial" w:eastAsia="Arial" w:hAnsi="Arial"/>
          <w:sz w:val="13"/>
          <w:szCs w:val="13"/>
          <w:b w:val="1"/>
          <w:bCs w:val="1"/>
          <w:color w:val="auto"/>
        </w:rPr>
        <w:t>4.02 Conditions to all Credit Extensions</w:t>
      </w:r>
      <w:r>
        <w:rPr>
          <w:rFonts w:ascii="Arial" w:cs="Arial" w:eastAsia="Arial" w:hAnsi="Arial"/>
          <w:sz w:val="13"/>
          <w:szCs w:val="13"/>
          <w:color w:val="auto"/>
        </w:rPr>
        <w:t>. The obligation of each Lender to honor any Request for Credit Extension (other than a Committed Loan Notice requesting only a Conversion</w:t>
      </w:r>
      <w:r>
        <w:rPr>
          <w:rFonts w:ascii="Arial" w:cs="Arial" w:eastAsia="Arial" w:hAnsi="Arial"/>
          <w:sz w:val="13"/>
          <w:szCs w:val="13"/>
          <w:b w:val="1"/>
          <w:bCs w:val="1"/>
          <w:color w:val="auto"/>
        </w:rPr>
        <w:t xml:space="preserve"> </w:t>
      </w:r>
      <w:r>
        <w:rPr>
          <w:rFonts w:ascii="Arial" w:cs="Arial" w:eastAsia="Arial" w:hAnsi="Arial"/>
          <w:sz w:val="13"/>
          <w:szCs w:val="13"/>
          <w:color w:val="auto"/>
        </w:rPr>
        <w:t>of Committed Loans or the outstanding portion of the FILO Loan to the other Type, or a continuation of LIBOR Rate Loans) and of each L/C Issuer to issue each Letter of Credit is subject to the following conditions precedent:</w:t>
      </w:r>
    </w:p>
    <w:p>
      <w:pPr>
        <w:spacing w:after="0" w:line="120" w:lineRule="exact"/>
        <w:rPr>
          <w:sz w:val="20"/>
          <w:szCs w:val="20"/>
          <w:color w:val="auto"/>
        </w:rPr>
      </w:pPr>
    </w:p>
    <w:p>
      <w:pPr>
        <w:jc w:val="both"/>
        <w:ind w:left="1080" w:firstLine="739"/>
        <w:spacing w:after="0" w:line="252" w:lineRule="auto"/>
        <w:tabs>
          <w:tab w:leader="none" w:pos="2403" w:val="left"/>
        </w:tabs>
        <w:numPr>
          <w:ilvl w:val="0"/>
          <w:numId w:val="119"/>
        </w:numPr>
        <w:rPr>
          <w:rFonts w:ascii="Arial" w:cs="Arial" w:eastAsia="Arial" w:hAnsi="Arial"/>
          <w:sz w:val="13"/>
          <w:szCs w:val="13"/>
          <w:color w:val="auto"/>
        </w:rPr>
      </w:pPr>
      <w:r>
        <w:rPr>
          <w:rFonts w:ascii="Arial" w:cs="Arial" w:eastAsia="Arial" w:hAnsi="Arial"/>
          <w:sz w:val="13"/>
          <w:szCs w:val="13"/>
          <w:color w:val="auto"/>
        </w:rPr>
        <w:t xml:space="preserve">The representations and warranties of each Loan Party contained in </w:t>
      </w:r>
      <w:r>
        <w:rPr>
          <w:rFonts w:ascii="Arial" w:cs="Arial" w:eastAsia="Arial" w:hAnsi="Arial"/>
          <w:sz w:val="13"/>
          <w:szCs w:val="13"/>
          <w:u w:val="single" w:color="auto"/>
          <w:color w:val="auto"/>
        </w:rPr>
        <w:t>Article V</w:t>
      </w:r>
      <w:r>
        <w:rPr>
          <w:rFonts w:ascii="Arial" w:cs="Arial" w:eastAsia="Arial" w:hAnsi="Arial"/>
          <w:sz w:val="13"/>
          <w:szCs w:val="13"/>
          <w:color w:val="auto"/>
        </w:rPr>
        <w:t xml:space="preserve"> or in any other Loan Document, or which are contained in any document furnished at any time under or in connection herewith or therewith, shall be true and correct on and as of the date of such Credit Extension, except (i) to the extent that such representations and warranties specifically refer to an earlier date, in which case they shall be true and correct as of such earlier date, (ii) in the case of any representation and warranty qualified by materiality, they shall be true and correct in all respects and (iii) for purposes of this </w:t>
      </w:r>
      <w:r>
        <w:rPr>
          <w:rFonts w:ascii="Arial" w:cs="Arial" w:eastAsia="Arial" w:hAnsi="Arial"/>
          <w:sz w:val="13"/>
          <w:szCs w:val="13"/>
          <w:u w:val="single" w:color="auto"/>
          <w:color w:val="auto"/>
        </w:rPr>
        <w:t>Section 4.02</w:t>
      </w:r>
      <w:r>
        <w:rPr>
          <w:rFonts w:ascii="Arial" w:cs="Arial" w:eastAsia="Arial" w:hAnsi="Arial"/>
          <w:sz w:val="13"/>
          <w:szCs w:val="13"/>
          <w:color w:val="auto"/>
        </w:rPr>
        <w:t xml:space="preserve">, the representations and warranties contained in subsections (a) and (b) of </w:t>
      </w:r>
      <w:r>
        <w:rPr>
          <w:rFonts w:ascii="Arial" w:cs="Arial" w:eastAsia="Arial" w:hAnsi="Arial"/>
          <w:sz w:val="13"/>
          <w:szCs w:val="13"/>
          <w:u w:val="single" w:color="auto"/>
          <w:color w:val="auto"/>
        </w:rPr>
        <w:t>Section 5.05</w:t>
      </w:r>
      <w:r>
        <w:rPr>
          <w:rFonts w:ascii="Arial" w:cs="Arial" w:eastAsia="Arial" w:hAnsi="Arial"/>
          <w:sz w:val="13"/>
          <w:szCs w:val="13"/>
          <w:color w:val="auto"/>
        </w:rPr>
        <w:t xml:space="preserve"> shall be deemed to refer to the most recent statements furnished pursuant to clauses (a) and (b), respectively, of </w:t>
      </w:r>
      <w:r>
        <w:rPr>
          <w:rFonts w:ascii="Arial" w:cs="Arial" w:eastAsia="Arial" w:hAnsi="Arial"/>
          <w:sz w:val="13"/>
          <w:szCs w:val="13"/>
          <w:u w:val="single" w:color="auto"/>
          <w:color w:val="auto"/>
        </w:rPr>
        <w:t>Section 6.01</w:t>
      </w:r>
      <w:r>
        <w:rPr>
          <w:rFonts w:ascii="Arial" w:cs="Arial" w:eastAsia="Arial" w:hAnsi="Arial"/>
          <w:sz w:val="13"/>
          <w:szCs w:val="13"/>
          <w:color w:val="auto"/>
        </w:rPr>
        <w:t>.</w:t>
      </w:r>
    </w:p>
    <w:p>
      <w:pPr>
        <w:spacing w:after="0" w:line="70" w:lineRule="exact"/>
        <w:rPr>
          <w:rFonts w:ascii="Arial" w:cs="Arial" w:eastAsia="Arial" w:hAnsi="Arial"/>
          <w:sz w:val="13"/>
          <w:szCs w:val="13"/>
          <w:color w:val="auto"/>
        </w:rPr>
      </w:pPr>
    </w:p>
    <w:p>
      <w:pPr>
        <w:ind w:left="2400" w:hanging="581"/>
        <w:spacing w:after="0"/>
        <w:tabs>
          <w:tab w:leader="none" w:pos="240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No Default or Event of Default shall exist, or would result from such proposed Credit Extension or from the application of the proceeds thereof.</w:t>
      </w:r>
    </w:p>
    <w:p>
      <w:pPr>
        <w:spacing w:after="0" w:line="295"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93" w:name="page94"/>
    <w:bookmarkEnd w:id="93"/>
    <w:p>
      <w:pPr>
        <w:ind w:left="2400" w:hanging="581"/>
        <w:spacing w:after="0"/>
        <w:tabs>
          <w:tab w:leader="none" w:pos="240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The Agent and, if applicable, the L/C Issuer or the Swing Line Lender shall have received a Request for Credit Extension in accordance with the requirements hereof.</w:t>
      </w:r>
    </w:p>
    <w:p>
      <w:pPr>
        <w:spacing w:after="0" w:line="160" w:lineRule="exact"/>
        <w:rPr>
          <w:rFonts w:ascii="Arial" w:cs="Arial" w:eastAsia="Arial" w:hAnsi="Arial"/>
          <w:sz w:val="12"/>
          <w:szCs w:val="12"/>
          <w:color w:val="auto"/>
        </w:rPr>
      </w:pPr>
    </w:p>
    <w:p>
      <w:pPr>
        <w:ind w:left="2400" w:hanging="581"/>
        <w:spacing w:after="0"/>
        <w:tabs>
          <w:tab w:leader="none" w:pos="240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After giving effect to the Credit Extension requested to be made on any such date and the use of proceeds thereof, Availability shall be greater than zero.</w:t>
      </w:r>
    </w:p>
    <w:p>
      <w:pPr>
        <w:spacing w:after="0" w:line="148" w:lineRule="exact"/>
        <w:rPr>
          <w:sz w:val="20"/>
          <w:szCs w:val="20"/>
          <w:color w:val="auto"/>
        </w:rPr>
      </w:pPr>
    </w:p>
    <w:p>
      <w:pPr>
        <w:jc w:val="both"/>
        <w:ind w:left="220"/>
        <w:spacing w:after="0" w:line="250" w:lineRule="auto"/>
        <w:rPr>
          <w:sz w:val="20"/>
          <w:szCs w:val="20"/>
          <w:color w:val="auto"/>
        </w:rPr>
      </w:pPr>
      <w:r>
        <w:rPr>
          <w:rFonts w:ascii="Arial" w:cs="Arial" w:eastAsia="Arial" w:hAnsi="Arial"/>
          <w:sz w:val="13"/>
          <w:szCs w:val="13"/>
          <w:color w:val="auto"/>
        </w:rPr>
        <w:t xml:space="preserve">Each Request for Credit Extension (other than a Committed Loan Notice requesting only a Conversion of Committed Loans or the outstanding portion of the FILO Loan to the other Type or a continuation of LIBOR Rate Loans) submitted by the Lead Borrower shall be deemed to be a representation and warranty by the Borrowers that the conditions specified in </w:t>
      </w:r>
      <w:r>
        <w:rPr>
          <w:rFonts w:ascii="Arial" w:cs="Arial" w:eastAsia="Arial" w:hAnsi="Arial"/>
          <w:sz w:val="13"/>
          <w:szCs w:val="13"/>
          <w:u w:val="single" w:color="auto"/>
          <w:color w:val="auto"/>
        </w:rPr>
        <w:t>Sections 4.02(a)</w:t>
      </w:r>
      <w:r>
        <w:rPr>
          <w:rFonts w:ascii="Arial" w:cs="Arial" w:eastAsia="Arial" w:hAnsi="Arial"/>
          <w:sz w:val="13"/>
          <w:szCs w:val="13"/>
          <w:color w:val="auto"/>
        </w:rPr>
        <w:t xml:space="preserve">, </w:t>
      </w:r>
      <w:r>
        <w:rPr>
          <w:rFonts w:ascii="Arial" w:cs="Arial" w:eastAsia="Arial" w:hAnsi="Arial"/>
          <w:sz w:val="13"/>
          <w:szCs w:val="13"/>
          <w:u w:val="single" w:color="auto"/>
          <w:color w:val="auto"/>
        </w:rPr>
        <w:t>(b)</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(d)</w:t>
      </w:r>
      <w:r>
        <w:rPr>
          <w:rFonts w:ascii="Arial" w:cs="Arial" w:eastAsia="Arial" w:hAnsi="Arial"/>
          <w:sz w:val="13"/>
          <w:szCs w:val="13"/>
          <w:color w:val="auto"/>
        </w:rPr>
        <w:t xml:space="preserve"> have been satisfied on and as of the date of the applicable Credit Extension. The conditions set forth in this </w:t>
      </w:r>
      <w:r>
        <w:rPr>
          <w:rFonts w:ascii="Arial" w:cs="Arial" w:eastAsia="Arial" w:hAnsi="Arial"/>
          <w:sz w:val="13"/>
          <w:szCs w:val="13"/>
          <w:u w:val="single" w:color="auto"/>
          <w:color w:val="auto"/>
        </w:rPr>
        <w:t>Section 4.02</w:t>
      </w:r>
      <w:r>
        <w:rPr>
          <w:rFonts w:ascii="Arial" w:cs="Arial" w:eastAsia="Arial" w:hAnsi="Arial"/>
          <w:sz w:val="13"/>
          <w:szCs w:val="13"/>
          <w:color w:val="auto"/>
        </w:rPr>
        <w:t xml:space="preserve"> are for the sole benefit of the Credit Parties but until the Required Lenders otherwise direct the Agent to cease making Loans and issuing Letters of Credit, the Revolving Lenders will fund their Applicable Percentage of all Loans and L/C Advances and participate in all Swing Line Loans and Letters of Credit whenever made or issued, which are requested by the Lead Borrower and which, notwithstanding the failure of the Loan Parties to comply with the provisions of this </w:t>
      </w:r>
      <w:r>
        <w:rPr>
          <w:rFonts w:ascii="Arial" w:cs="Arial" w:eastAsia="Arial" w:hAnsi="Arial"/>
          <w:sz w:val="13"/>
          <w:szCs w:val="13"/>
          <w:u w:val="single" w:color="auto"/>
          <w:color w:val="auto"/>
        </w:rPr>
        <w:t>Article IV</w:t>
      </w:r>
      <w:r>
        <w:rPr>
          <w:rFonts w:ascii="Arial" w:cs="Arial" w:eastAsia="Arial" w:hAnsi="Arial"/>
          <w:sz w:val="13"/>
          <w:szCs w:val="13"/>
          <w:color w:val="auto"/>
        </w:rPr>
        <w:t xml:space="preserve">, agreed to by the Agent,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however, the making of any such Loans or the issuance of any Letters of Credit shall not be deemed a modification or waiver by any Credit Party of the provisions of this </w:t>
      </w:r>
      <w:r>
        <w:rPr>
          <w:rFonts w:ascii="Arial" w:cs="Arial" w:eastAsia="Arial" w:hAnsi="Arial"/>
          <w:sz w:val="13"/>
          <w:szCs w:val="13"/>
          <w:u w:val="single" w:color="auto"/>
          <w:color w:val="auto"/>
        </w:rPr>
        <w:t>Article IV</w:t>
      </w:r>
      <w:r>
        <w:rPr>
          <w:rFonts w:ascii="Arial" w:cs="Arial" w:eastAsia="Arial" w:hAnsi="Arial"/>
          <w:sz w:val="13"/>
          <w:szCs w:val="13"/>
          <w:color w:val="auto"/>
        </w:rPr>
        <w:t xml:space="preserve"> on any future occasion or a waiver of any rights or the Credit Parties as a result of any such failure to comply.</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3"/>
          <w:szCs w:val="13"/>
          <w:b w:val="1"/>
          <w:bCs w:val="1"/>
          <w:color w:val="auto"/>
        </w:rPr>
        <w:t>ARTICLE V</w:t>
      </w:r>
    </w:p>
    <w:p>
      <w:pPr>
        <w:spacing w:after="0" w:line="18" w:lineRule="exact"/>
        <w:rPr>
          <w:sz w:val="20"/>
          <w:szCs w:val="20"/>
          <w:color w:val="auto"/>
        </w:rPr>
      </w:pPr>
    </w:p>
    <w:p>
      <w:pPr>
        <w:jc w:val="center"/>
        <w:ind w:right="-199"/>
        <w:spacing w:after="0"/>
        <w:rPr>
          <w:sz w:val="20"/>
          <w:szCs w:val="20"/>
          <w:color w:val="auto"/>
        </w:rPr>
      </w:pPr>
      <w:r>
        <w:rPr>
          <w:rFonts w:ascii="Arial" w:cs="Arial" w:eastAsia="Arial" w:hAnsi="Arial"/>
          <w:sz w:val="13"/>
          <w:szCs w:val="13"/>
          <w:b w:val="1"/>
          <w:bCs w:val="1"/>
          <w:color w:val="auto"/>
        </w:rPr>
        <w:t>REPRESENTATIONS AND WARRANTIES</w:t>
      </w:r>
    </w:p>
    <w:p>
      <w:pPr>
        <w:spacing w:after="0" w:line="138" w:lineRule="exact"/>
        <w:rPr>
          <w:sz w:val="20"/>
          <w:szCs w:val="20"/>
          <w:color w:val="auto"/>
        </w:rPr>
      </w:pPr>
    </w:p>
    <w:p>
      <w:pPr>
        <w:ind w:left="1040"/>
        <w:spacing w:after="0"/>
        <w:rPr>
          <w:sz w:val="20"/>
          <w:szCs w:val="20"/>
          <w:color w:val="auto"/>
        </w:rPr>
      </w:pPr>
      <w:r>
        <w:rPr>
          <w:rFonts w:ascii="Arial" w:cs="Arial" w:eastAsia="Arial" w:hAnsi="Arial"/>
          <w:sz w:val="11"/>
          <w:szCs w:val="11"/>
          <w:color w:val="auto"/>
        </w:rPr>
        <w:t>To induce the Credit Parties to enter into this Agreement and to make Loans and to issue Letters of Credit hereunder, each Loan Party represents and warrants to the Agent and the other Credit</w:t>
      </w:r>
    </w:p>
    <w:p>
      <w:pPr>
        <w:spacing w:after="0" w:line="37" w:lineRule="exact"/>
        <w:rPr>
          <w:sz w:val="20"/>
          <w:szCs w:val="20"/>
          <w:color w:val="auto"/>
        </w:rPr>
      </w:pPr>
    </w:p>
    <w:p>
      <w:pPr>
        <w:ind w:left="220"/>
        <w:spacing w:after="0"/>
        <w:rPr>
          <w:sz w:val="20"/>
          <w:szCs w:val="20"/>
          <w:color w:val="auto"/>
        </w:rPr>
      </w:pPr>
      <w:r>
        <w:rPr>
          <w:rFonts w:ascii="Arial" w:cs="Arial" w:eastAsia="Arial" w:hAnsi="Arial"/>
          <w:sz w:val="13"/>
          <w:szCs w:val="13"/>
          <w:color w:val="auto"/>
        </w:rPr>
        <w:t>Parties that:</w:t>
      </w:r>
    </w:p>
    <w:p>
      <w:pPr>
        <w:spacing w:after="0" w:line="134" w:lineRule="exact"/>
        <w:rPr>
          <w:sz w:val="20"/>
          <w:szCs w:val="20"/>
          <w:color w:val="auto"/>
        </w:rPr>
      </w:pPr>
    </w:p>
    <w:p>
      <w:pPr>
        <w:jc w:val="both"/>
        <w:ind w:left="220" w:firstLine="808"/>
        <w:spacing w:after="0" w:line="275" w:lineRule="auto"/>
        <w:rPr>
          <w:sz w:val="20"/>
          <w:szCs w:val="20"/>
          <w:color w:val="auto"/>
        </w:rPr>
      </w:pPr>
      <w:r>
        <w:rPr>
          <w:rFonts w:ascii="Arial" w:cs="Arial" w:eastAsia="Arial" w:hAnsi="Arial"/>
          <w:sz w:val="12"/>
          <w:szCs w:val="12"/>
          <w:b w:val="1"/>
          <w:bCs w:val="1"/>
          <w:color w:val="auto"/>
        </w:rPr>
        <w:t>5.01 Existence, Qualification and Power</w:t>
      </w:r>
      <w:r>
        <w:rPr>
          <w:rFonts w:ascii="Arial" w:cs="Arial" w:eastAsia="Arial" w:hAnsi="Arial"/>
          <w:sz w:val="12"/>
          <w:szCs w:val="12"/>
          <w:color w:val="auto"/>
        </w:rPr>
        <w:t>. Each Loan Party (a) is a corporation, limited liability company, partnership or limited partnership, duly incorporated, organized or formed,</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validly existing and, where applicable, in good standing under the Laws of the jurisdiction of its incorporation, organization or formation, (b) has all requisite power and authority and all requisite governmental licenses, permits, authorizations, consents and approvals to (i) own or lease its assets and carry on its business and (ii) execute, deliver and perform its obligations under the Loan Documents to which it is a party, and (c) is duly qualified and is licensed and, where applicable, in good standing under the Laws of each jurisdiction where its ownership, lease or operation of properties or the conduct of its business requires such qualification or license; except in each case referred to in clause (c), to the extent that failure to do so could not reasonably be expected to have a Material Adverse Effect. </w:t>
      </w:r>
      <w:r>
        <w:rPr>
          <w:rFonts w:ascii="Arial" w:cs="Arial" w:eastAsia="Arial" w:hAnsi="Arial"/>
          <w:sz w:val="12"/>
          <w:szCs w:val="12"/>
          <w:u w:val="single" w:color="auto"/>
          <w:color w:val="auto"/>
        </w:rPr>
        <w:t>Schedule</w:t>
      </w:r>
      <w:r>
        <w:rPr>
          <w:rFonts w:ascii="Arial" w:cs="Arial" w:eastAsia="Arial" w:hAnsi="Arial"/>
          <w:sz w:val="12"/>
          <w:szCs w:val="12"/>
          <w:color w:val="auto"/>
        </w:rPr>
        <w:t xml:space="preserve"> </w:t>
      </w:r>
      <w:r>
        <w:rPr>
          <w:rFonts w:ascii="Arial" w:cs="Arial" w:eastAsia="Arial" w:hAnsi="Arial"/>
          <w:sz w:val="12"/>
          <w:szCs w:val="12"/>
          <w:u w:val="single" w:color="auto"/>
          <w:color w:val="auto"/>
        </w:rPr>
        <w:t>5.01</w:t>
      </w:r>
      <w:r>
        <w:rPr>
          <w:rFonts w:ascii="Arial" w:cs="Arial" w:eastAsia="Arial" w:hAnsi="Arial"/>
          <w:sz w:val="12"/>
          <w:szCs w:val="12"/>
          <w:color w:val="auto"/>
        </w:rPr>
        <w:t xml:space="preserve"> annexed hereto sets forth, as of the Closing Date, each Loan Party’s name as it appears in official filings in its state of incorporation or organization, its state of incorporation or organization, organization type, organization number, if any, issued by its state of incorporation or organization, and its federal employer identification number.</w:t>
      </w:r>
    </w:p>
    <w:p>
      <w:pPr>
        <w:spacing w:after="0" w:line="109" w:lineRule="exact"/>
        <w:rPr>
          <w:sz w:val="20"/>
          <w:szCs w:val="20"/>
          <w:color w:val="auto"/>
        </w:rPr>
      </w:pPr>
    </w:p>
    <w:p>
      <w:pPr>
        <w:jc w:val="both"/>
        <w:ind w:left="220" w:firstLine="808"/>
        <w:spacing w:after="0" w:line="253" w:lineRule="auto"/>
        <w:rPr>
          <w:sz w:val="20"/>
          <w:szCs w:val="20"/>
          <w:color w:val="auto"/>
        </w:rPr>
      </w:pPr>
      <w:r>
        <w:rPr>
          <w:rFonts w:ascii="Arial" w:cs="Arial" w:eastAsia="Arial" w:hAnsi="Arial"/>
          <w:sz w:val="13"/>
          <w:szCs w:val="13"/>
          <w:b w:val="1"/>
          <w:bCs w:val="1"/>
          <w:color w:val="auto"/>
        </w:rPr>
        <w:t>5.02 Authorization; No Contravention</w:t>
      </w:r>
      <w:r>
        <w:rPr>
          <w:rFonts w:ascii="Arial" w:cs="Arial" w:eastAsia="Arial" w:hAnsi="Arial"/>
          <w:sz w:val="13"/>
          <w:szCs w:val="13"/>
          <w:color w:val="auto"/>
        </w:rPr>
        <w:t>. The execution, delivery and performance by each Loan Party of each Loan Document to which such Person is or is to be a party, has been duly</w:t>
      </w:r>
      <w:r>
        <w:rPr>
          <w:rFonts w:ascii="Arial" w:cs="Arial" w:eastAsia="Arial" w:hAnsi="Arial"/>
          <w:sz w:val="13"/>
          <w:szCs w:val="13"/>
          <w:b w:val="1"/>
          <w:bCs w:val="1"/>
          <w:color w:val="auto"/>
        </w:rPr>
        <w:t xml:space="preserve"> </w:t>
      </w:r>
      <w:r>
        <w:rPr>
          <w:rFonts w:ascii="Arial" w:cs="Arial" w:eastAsia="Arial" w:hAnsi="Arial"/>
          <w:sz w:val="13"/>
          <w:szCs w:val="13"/>
          <w:color w:val="auto"/>
        </w:rPr>
        <w:t>authorized by all necessary corporate or other organizational action, and does not and will not (a) contravene the terms of any of such Person's Organization Documents; (b) conflict with or result in any breach, termination, or contravention of, or constitute a default under, or require any payment to be made under (i) any Material Contract or any Material Indebtedness to which such Person is a party or affecting such Person or the properties of such Person or any of its Subsidiaries or (ii) any order, injunction, writ or decree of any Governmental Authority or any arbitral award to which such Person or its property is</w:t>
      </w:r>
    </w:p>
    <w:p>
      <w:pPr>
        <w:spacing w:after="0" w:line="273"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94" w:name="page95"/>
    <w:bookmarkEnd w:id="94"/>
    <w:p>
      <w:pPr>
        <w:ind w:left="220"/>
        <w:spacing w:after="0"/>
        <w:rPr>
          <w:sz w:val="20"/>
          <w:szCs w:val="20"/>
          <w:color w:val="auto"/>
        </w:rPr>
      </w:pPr>
      <w:r>
        <w:rPr>
          <w:rFonts w:ascii="Arial" w:cs="Arial" w:eastAsia="Arial" w:hAnsi="Arial"/>
          <w:sz w:val="13"/>
          <w:szCs w:val="13"/>
          <w:color w:val="auto"/>
        </w:rPr>
        <w:t>subject; (c) result in or require the creation of any Lien upon any asset of any Loan Party (other than Liens in favor of the Agent under the Security Documents); or (d) violate any Law.</w:t>
      </w:r>
    </w:p>
    <w:p>
      <w:pPr>
        <w:spacing w:after="0" w:line="145" w:lineRule="exact"/>
        <w:rPr>
          <w:sz w:val="20"/>
          <w:szCs w:val="20"/>
          <w:color w:val="auto"/>
        </w:rPr>
      </w:pPr>
    </w:p>
    <w:p>
      <w:pPr>
        <w:jc w:val="both"/>
        <w:ind w:left="220" w:firstLine="808"/>
        <w:spacing w:after="0" w:line="293" w:lineRule="auto"/>
        <w:rPr>
          <w:sz w:val="20"/>
          <w:szCs w:val="20"/>
          <w:color w:val="auto"/>
        </w:rPr>
      </w:pPr>
      <w:r>
        <w:rPr>
          <w:rFonts w:ascii="Arial" w:cs="Arial" w:eastAsia="Arial" w:hAnsi="Arial"/>
          <w:sz w:val="12"/>
          <w:szCs w:val="12"/>
          <w:b w:val="1"/>
          <w:bCs w:val="1"/>
          <w:color w:val="auto"/>
        </w:rPr>
        <w:t>5.03 Governmental Authorization; Other Consents</w:t>
      </w:r>
      <w:r>
        <w:rPr>
          <w:rFonts w:ascii="Arial" w:cs="Arial" w:eastAsia="Arial" w:hAnsi="Arial"/>
          <w:sz w:val="12"/>
          <w:szCs w:val="12"/>
          <w:color w:val="auto"/>
        </w:rPr>
        <w:t>. No approval, consent, exemption, authorization, or other action by, or notice to, or filing with, any Governmental Authority or</w:t>
      </w:r>
      <w:r>
        <w:rPr>
          <w:rFonts w:ascii="Arial" w:cs="Arial" w:eastAsia="Arial" w:hAnsi="Arial"/>
          <w:sz w:val="12"/>
          <w:szCs w:val="12"/>
          <w:b w:val="1"/>
          <w:bCs w:val="1"/>
          <w:color w:val="auto"/>
        </w:rPr>
        <w:t xml:space="preserve"> </w:t>
      </w:r>
      <w:r>
        <w:rPr>
          <w:rFonts w:ascii="Arial" w:cs="Arial" w:eastAsia="Arial" w:hAnsi="Arial"/>
          <w:sz w:val="12"/>
          <w:szCs w:val="12"/>
          <w:color w:val="auto"/>
        </w:rPr>
        <w:t>any other Person is necessary or required in connection with the execution, delivery or performance by, or enforcement against, any Loan Party of this Agreement or any other Loan Document, except for (a) the perfection or maintenance of the Liens created under the Security Documents (including the first priority nature thereof) or (b) such as have been obtained or made and are in full force and effect.</w:t>
      </w:r>
    </w:p>
    <w:p>
      <w:pPr>
        <w:spacing w:after="0" w:line="98" w:lineRule="exact"/>
        <w:rPr>
          <w:sz w:val="20"/>
          <w:szCs w:val="20"/>
          <w:color w:val="auto"/>
        </w:rPr>
      </w:pPr>
    </w:p>
    <w:p>
      <w:pPr>
        <w:jc w:val="both"/>
        <w:ind w:left="220" w:firstLine="808"/>
        <w:spacing w:after="0" w:line="256" w:lineRule="auto"/>
        <w:rPr>
          <w:sz w:val="20"/>
          <w:szCs w:val="20"/>
          <w:color w:val="auto"/>
        </w:rPr>
      </w:pPr>
      <w:r>
        <w:rPr>
          <w:rFonts w:ascii="Arial" w:cs="Arial" w:eastAsia="Arial" w:hAnsi="Arial"/>
          <w:sz w:val="13"/>
          <w:szCs w:val="13"/>
          <w:b w:val="1"/>
          <w:bCs w:val="1"/>
          <w:color w:val="auto"/>
        </w:rPr>
        <w:t>5.04 Binding Effect</w:t>
      </w:r>
      <w:r>
        <w:rPr>
          <w:rFonts w:ascii="Arial" w:cs="Arial" w:eastAsia="Arial" w:hAnsi="Arial"/>
          <w:sz w:val="13"/>
          <w:szCs w:val="13"/>
          <w:color w:val="auto"/>
        </w:rPr>
        <w:t>. This Agreement has been, and each other Loan Document, when delivered, will have been, duly executed and delivered by each Loan Party that is party thereto.</w:t>
      </w:r>
      <w:r>
        <w:rPr>
          <w:rFonts w:ascii="Arial" w:cs="Arial" w:eastAsia="Arial" w:hAnsi="Arial"/>
          <w:sz w:val="13"/>
          <w:szCs w:val="13"/>
          <w:b w:val="1"/>
          <w:bCs w:val="1"/>
          <w:color w:val="auto"/>
        </w:rPr>
        <w:t xml:space="preserve"> </w:t>
      </w:r>
      <w:r>
        <w:rPr>
          <w:rFonts w:ascii="Arial" w:cs="Arial" w:eastAsia="Arial" w:hAnsi="Arial"/>
          <w:sz w:val="13"/>
          <w:szCs w:val="13"/>
          <w:color w:val="auto"/>
        </w:rPr>
        <w:t>This Agreement constitutes, and each other Loan Document when so delivered will constitute, a legal, valid and binding obligation of such Loan Party, enforceable against each Loan Party that is party thereto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19"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3"/>
          <w:szCs w:val="13"/>
          <w:b w:val="1"/>
          <w:bCs w:val="1"/>
          <w:color w:val="auto"/>
        </w:rPr>
        <w:t>5.05</w:t>
      </w:r>
      <w:r>
        <w:rPr>
          <w:sz w:val="20"/>
          <w:szCs w:val="20"/>
          <w:color w:val="auto"/>
        </w:rPr>
        <w:tab/>
      </w:r>
      <w:r>
        <w:rPr>
          <w:rFonts w:ascii="Arial" w:cs="Arial" w:eastAsia="Arial" w:hAnsi="Arial"/>
          <w:sz w:val="12"/>
          <w:szCs w:val="12"/>
          <w:b w:val="1"/>
          <w:bCs w:val="1"/>
          <w:color w:val="auto"/>
        </w:rPr>
        <w:t>Financial Statements; No Material Adverse Effect</w:t>
      </w:r>
      <w:r>
        <w:rPr>
          <w:rFonts w:ascii="Arial" w:cs="Arial" w:eastAsia="Arial" w:hAnsi="Arial"/>
          <w:sz w:val="12"/>
          <w:szCs w:val="12"/>
          <w:color w:val="auto"/>
        </w:rPr>
        <w:t>.</w:t>
      </w:r>
    </w:p>
    <w:p>
      <w:pPr>
        <w:spacing w:after="0" w:line="152" w:lineRule="exact"/>
        <w:rPr>
          <w:sz w:val="20"/>
          <w:szCs w:val="20"/>
          <w:color w:val="auto"/>
        </w:rPr>
      </w:pPr>
    </w:p>
    <w:p>
      <w:pPr>
        <w:jc w:val="both"/>
        <w:ind w:left="220" w:firstLine="1623"/>
        <w:spacing w:after="0" w:line="254" w:lineRule="auto"/>
        <w:tabs>
          <w:tab w:leader="none" w:pos="2411" w:val="left"/>
        </w:tabs>
        <w:numPr>
          <w:ilvl w:val="0"/>
          <w:numId w:val="121"/>
        </w:numPr>
        <w:rPr>
          <w:rFonts w:ascii="Arial" w:cs="Arial" w:eastAsia="Arial" w:hAnsi="Arial"/>
          <w:sz w:val="13"/>
          <w:szCs w:val="13"/>
          <w:color w:val="auto"/>
        </w:rPr>
      </w:pPr>
      <w:r>
        <w:rPr>
          <w:rFonts w:ascii="Arial" w:cs="Arial" w:eastAsia="Arial" w:hAnsi="Arial"/>
          <w:sz w:val="13"/>
          <w:szCs w:val="13"/>
          <w:color w:val="auto"/>
        </w:rPr>
        <w:t>The Audited Financial Statements (i) were prepared in accordance with GAAP consistently applied throughout the period covered thereby, except as otherwise expressly noted therein; (ii) fairly present the financial condition of the Lead Borrower and its Subsidiaries as of the date thereof and their results of operations for the period covered thereby in accordance with GAAP consistently applied throughout the period covered thereby, except as otherwise expressly noted therein; and (iii) show all Material Indebtedness and other liabilities, direct or contingent, of the Lead Borrower and its Subsidiaries as of the date thereof, including liabilities for taxes, material commitments and Indebtedness.</w:t>
      </w:r>
    </w:p>
    <w:p>
      <w:pPr>
        <w:spacing w:after="0" w:line="123" w:lineRule="exact"/>
        <w:rPr>
          <w:rFonts w:ascii="Arial" w:cs="Arial" w:eastAsia="Arial" w:hAnsi="Arial"/>
          <w:sz w:val="13"/>
          <w:szCs w:val="13"/>
          <w:color w:val="auto"/>
        </w:rPr>
      </w:pPr>
    </w:p>
    <w:p>
      <w:pPr>
        <w:jc w:val="both"/>
        <w:ind w:left="220" w:firstLine="1624"/>
        <w:spacing w:after="0" w:line="254" w:lineRule="auto"/>
        <w:tabs>
          <w:tab w:leader="none" w:pos="2419" w:val="left"/>
        </w:tabs>
        <w:numPr>
          <w:ilvl w:val="0"/>
          <w:numId w:val="121"/>
        </w:numPr>
        <w:rPr>
          <w:rFonts w:ascii="Arial" w:cs="Arial" w:eastAsia="Arial" w:hAnsi="Arial"/>
          <w:sz w:val="13"/>
          <w:szCs w:val="13"/>
          <w:color w:val="auto"/>
        </w:rPr>
      </w:pPr>
      <w:r>
        <w:rPr>
          <w:rFonts w:ascii="Arial" w:cs="Arial" w:eastAsia="Arial" w:hAnsi="Arial"/>
          <w:sz w:val="13"/>
          <w:szCs w:val="13"/>
          <w:color w:val="auto"/>
        </w:rPr>
        <w:t>The unaudited Consolidated balance sheet of the Lead Borrower and its Subsidiaries dated April 7, 2018, and the related Consolidated statements of income or operations, Shareholders’ Equity and cash flows for the Fiscal Month ended on that date (i) were prepared in accordance with GAAP consistently applied throughout the period covered thereby, except as otherwise expressly noted therein, and (ii) fairly present the financial condition of the Lead Borrower and its Subsidiaries as of the date thereof and their results of operations for the period covered thereby, subject, in the case of clauses (i) and (ii), to the absence of footnotes and to normal year-end audit adjustments.</w:t>
      </w:r>
    </w:p>
    <w:p>
      <w:pPr>
        <w:spacing w:after="0" w:line="123" w:lineRule="exact"/>
        <w:rPr>
          <w:rFonts w:ascii="Arial" w:cs="Arial" w:eastAsia="Arial" w:hAnsi="Arial"/>
          <w:sz w:val="13"/>
          <w:szCs w:val="13"/>
          <w:color w:val="auto"/>
        </w:rPr>
      </w:pPr>
    </w:p>
    <w:p>
      <w:pPr>
        <w:ind w:left="220" w:firstLine="1624"/>
        <w:spacing w:after="0" w:line="271" w:lineRule="auto"/>
        <w:tabs>
          <w:tab w:leader="none" w:pos="2412" w:val="left"/>
        </w:tabs>
        <w:numPr>
          <w:ilvl w:val="0"/>
          <w:numId w:val="121"/>
        </w:numPr>
        <w:rPr>
          <w:rFonts w:ascii="Arial" w:cs="Arial" w:eastAsia="Arial" w:hAnsi="Arial"/>
          <w:sz w:val="13"/>
          <w:szCs w:val="13"/>
          <w:color w:val="auto"/>
        </w:rPr>
      </w:pPr>
      <w:r>
        <w:rPr>
          <w:rFonts w:ascii="Arial" w:cs="Arial" w:eastAsia="Arial" w:hAnsi="Arial"/>
          <w:sz w:val="13"/>
          <w:szCs w:val="13"/>
          <w:color w:val="auto"/>
        </w:rPr>
        <w:t>Since the date of the Audited Financial Statements, there has been no event or circumstance, either individually or in the aggregate, that has had or could reasonably be expected to have a Material Adverse Effect.</w:t>
      </w:r>
    </w:p>
    <w:p>
      <w:pPr>
        <w:spacing w:after="0" w:line="112" w:lineRule="exact"/>
        <w:rPr>
          <w:rFonts w:ascii="Arial" w:cs="Arial" w:eastAsia="Arial" w:hAnsi="Arial"/>
          <w:sz w:val="13"/>
          <w:szCs w:val="13"/>
          <w:color w:val="auto"/>
        </w:rPr>
      </w:pPr>
    </w:p>
    <w:p>
      <w:pPr>
        <w:jc w:val="both"/>
        <w:ind w:left="220" w:firstLine="1624"/>
        <w:spacing w:after="0" w:line="254" w:lineRule="auto"/>
        <w:tabs>
          <w:tab w:leader="none" w:pos="2419" w:val="left"/>
        </w:tabs>
        <w:numPr>
          <w:ilvl w:val="0"/>
          <w:numId w:val="121"/>
        </w:numPr>
        <w:rPr>
          <w:rFonts w:ascii="Arial" w:cs="Arial" w:eastAsia="Arial" w:hAnsi="Arial"/>
          <w:sz w:val="13"/>
          <w:szCs w:val="13"/>
          <w:color w:val="auto"/>
        </w:rPr>
      </w:pPr>
      <w:r>
        <w:rPr>
          <w:rFonts w:ascii="Arial" w:cs="Arial" w:eastAsia="Arial" w:hAnsi="Arial"/>
          <w:sz w:val="13"/>
          <w:szCs w:val="13"/>
          <w:color w:val="auto"/>
        </w:rPr>
        <w:t>To the best knowledge of the Lead Borrower, no Internal Control Event exists or has occurred since the date of the Audited Financial Statements that has resulted in or could reasonably be expected to result in a misstatement in any material respect, (i) in any financial information delivered or to be delivered to the Agent or the Lenders, (ii) of the Borrowing Base or the FILO Borrowing Base, (iii) of covenant compliance calculations provided hereunder or (iv) of the assets, liabilities, financial condition or results of operations of the Lead Borrower and its Subsidiaries on a Consolidated basis.</w:t>
      </w:r>
    </w:p>
    <w:p>
      <w:pPr>
        <w:spacing w:after="0" w:line="123" w:lineRule="exact"/>
        <w:rPr>
          <w:rFonts w:ascii="Arial" w:cs="Arial" w:eastAsia="Arial" w:hAnsi="Arial"/>
          <w:sz w:val="13"/>
          <w:szCs w:val="13"/>
          <w:color w:val="auto"/>
        </w:rPr>
      </w:pPr>
    </w:p>
    <w:p>
      <w:pPr>
        <w:ind w:left="220" w:firstLine="1620"/>
        <w:spacing w:after="0" w:line="271" w:lineRule="auto"/>
        <w:tabs>
          <w:tab w:leader="none" w:pos="2412" w:val="left"/>
        </w:tabs>
        <w:numPr>
          <w:ilvl w:val="0"/>
          <w:numId w:val="121"/>
        </w:numPr>
        <w:rPr>
          <w:rFonts w:ascii="Arial" w:cs="Arial" w:eastAsia="Arial" w:hAnsi="Arial"/>
          <w:sz w:val="13"/>
          <w:szCs w:val="13"/>
          <w:color w:val="auto"/>
        </w:rPr>
      </w:pPr>
      <w:r>
        <w:rPr>
          <w:rFonts w:ascii="Arial" w:cs="Arial" w:eastAsia="Arial" w:hAnsi="Arial"/>
          <w:sz w:val="13"/>
          <w:szCs w:val="13"/>
          <w:color w:val="auto"/>
        </w:rPr>
        <w:t xml:space="preserve">The Consolidated forecasted balance sheet and statements of income and cash flows of the Lead Borrower and its Subsidiaries delivered pursuant to </w:t>
      </w:r>
      <w:r>
        <w:rPr>
          <w:rFonts w:ascii="Arial" w:cs="Arial" w:eastAsia="Arial" w:hAnsi="Arial"/>
          <w:sz w:val="13"/>
          <w:szCs w:val="13"/>
          <w:u w:val="single" w:color="auto"/>
          <w:color w:val="auto"/>
        </w:rPr>
        <w:t>Section 4.01(e)</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6.01(d)</w:t>
      </w:r>
      <w:r>
        <w:rPr>
          <w:rFonts w:ascii="Arial" w:cs="Arial" w:eastAsia="Arial" w:hAnsi="Arial"/>
          <w:sz w:val="13"/>
          <w:szCs w:val="13"/>
          <w:color w:val="auto"/>
        </w:rPr>
        <w:t>, as applicable, were prepared in good faith on the basis of the assumptions stated therein, which</w:t>
      </w:r>
    </w:p>
    <w:p>
      <w:pPr>
        <w:spacing w:after="0" w:line="260"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95" w:name="page96"/>
    <w:bookmarkEnd w:id="95"/>
    <w:p>
      <w:pPr>
        <w:jc w:val="center"/>
        <w:ind w:right="20"/>
        <w:spacing w:after="0"/>
        <w:rPr>
          <w:sz w:val="20"/>
          <w:szCs w:val="20"/>
          <w:color w:val="auto"/>
        </w:rPr>
      </w:pPr>
      <w:r>
        <w:rPr>
          <w:rFonts w:ascii="Arial" w:cs="Arial" w:eastAsia="Arial" w:hAnsi="Arial"/>
          <w:sz w:val="12"/>
          <w:szCs w:val="12"/>
          <w:color w:val="auto"/>
        </w:rPr>
        <w:t>assumptions were fair in light of the conditions existing at the time of delivery of such forecasts, and represented, at the time of delivery, the Loan Parties’ best estimate of its future financial performance.</w:t>
      </w:r>
    </w:p>
    <w:p>
      <w:pPr>
        <w:spacing w:after="0" w:line="157" w:lineRule="exact"/>
        <w:rPr>
          <w:sz w:val="20"/>
          <w:szCs w:val="20"/>
          <w:color w:val="auto"/>
        </w:rPr>
      </w:pPr>
    </w:p>
    <w:p>
      <w:pPr>
        <w:jc w:val="both"/>
        <w:ind w:left="220" w:firstLine="808"/>
        <w:spacing w:after="0" w:line="256" w:lineRule="auto"/>
        <w:rPr>
          <w:sz w:val="20"/>
          <w:szCs w:val="20"/>
          <w:color w:val="auto"/>
        </w:rPr>
      </w:pPr>
      <w:r>
        <w:rPr>
          <w:rFonts w:ascii="Arial" w:cs="Arial" w:eastAsia="Arial" w:hAnsi="Arial"/>
          <w:sz w:val="13"/>
          <w:szCs w:val="13"/>
          <w:b w:val="1"/>
          <w:bCs w:val="1"/>
          <w:color w:val="auto"/>
        </w:rPr>
        <w:t>5.06 Litigation</w:t>
      </w:r>
      <w:r>
        <w:rPr>
          <w:rFonts w:ascii="Arial" w:cs="Arial" w:eastAsia="Arial" w:hAnsi="Arial"/>
          <w:sz w:val="13"/>
          <w:szCs w:val="13"/>
          <w:color w:val="auto"/>
        </w:rPr>
        <w:t>. There are no actions, suits, proceedings, claims or disputes pending or, to the knowledge of the Loan Parties after due and diligent investigation, threatened or</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contemplated, at law, in equity, in arbitration or before any Governmental Authority, by or against any Loan Party or any of its Subsidiaries or against any of its properties or revenues that (a) purport to affect or pertain to this Agreement or any other Loan Document, or any of the transactions contemplated hereby, or (b) except as specifically disclosed in </w:t>
      </w:r>
      <w:r>
        <w:rPr>
          <w:rFonts w:ascii="Arial" w:cs="Arial" w:eastAsia="Arial" w:hAnsi="Arial"/>
          <w:sz w:val="13"/>
          <w:szCs w:val="13"/>
          <w:u w:val="single" w:color="auto"/>
          <w:color w:val="auto"/>
        </w:rPr>
        <w:t>Schedule 5.06</w:t>
      </w:r>
      <w:r>
        <w:rPr>
          <w:rFonts w:ascii="Arial" w:cs="Arial" w:eastAsia="Arial" w:hAnsi="Arial"/>
          <w:sz w:val="13"/>
          <w:szCs w:val="13"/>
          <w:color w:val="auto"/>
        </w:rPr>
        <w:t>, either individually or in the aggregate, if determined adversely, could reasonably be expected to have a Material Adverse Effect.</w:t>
      </w:r>
    </w:p>
    <w:p>
      <w:pPr>
        <w:spacing w:after="0" w:line="119" w:lineRule="exact"/>
        <w:rPr>
          <w:sz w:val="20"/>
          <w:szCs w:val="20"/>
          <w:color w:val="auto"/>
        </w:rPr>
      </w:pPr>
    </w:p>
    <w:p>
      <w:pPr>
        <w:jc w:val="both"/>
        <w:ind w:left="220" w:firstLine="808"/>
        <w:spacing w:after="0" w:line="278" w:lineRule="auto"/>
        <w:rPr>
          <w:sz w:val="20"/>
          <w:szCs w:val="20"/>
          <w:color w:val="auto"/>
        </w:rPr>
      </w:pPr>
      <w:r>
        <w:rPr>
          <w:rFonts w:ascii="Arial" w:cs="Arial" w:eastAsia="Arial" w:hAnsi="Arial"/>
          <w:sz w:val="13"/>
          <w:szCs w:val="13"/>
          <w:b w:val="1"/>
          <w:bCs w:val="1"/>
          <w:color w:val="auto"/>
        </w:rPr>
        <w:t>5.07 No Default</w:t>
      </w:r>
      <w:r>
        <w:rPr>
          <w:rFonts w:ascii="Arial" w:cs="Arial" w:eastAsia="Arial" w:hAnsi="Arial"/>
          <w:sz w:val="13"/>
          <w:szCs w:val="13"/>
          <w:color w:val="auto"/>
        </w:rPr>
        <w:t>. No Loan Party or any Subsidiary is in default under or with respect to, or party to, any Material Contract or any Material Indebtedness. No Default or Event of Default</w:t>
      </w:r>
      <w:r>
        <w:rPr>
          <w:rFonts w:ascii="Arial" w:cs="Arial" w:eastAsia="Arial" w:hAnsi="Arial"/>
          <w:sz w:val="13"/>
          <w:szCs w:val="13"/>
          <w:b w:val="1"/>
          <w:bCs w:val="1"/>
          <w:color w:val="auto"/>
        </w:rPr>
        <w:t xml:space="preserve"> </w:t>
      </w:r>
      <w:r>
        <w:rPr>
          <w:rFonts w:ascii="Arial" w:cs="Arial" w:eastAsia="Arial" w:hAnsi="Arial"/>
          <w:sz w:val="13"/>
          <w:szCs w:val="13"/>
          <w:color w:val="auto"/>
        </w:rPr>
        <w:t>has occurred and is continuing or would result from the consummation of the transactions contemplated by this Agreement or any other Loan Document.</w:t>
      </w:r>
    </w:p>
    <w:p>
      <w:pPr>
        <w:spacing w:after="0" w:line="104"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3"/>
          <w:szCs w:val="13"/>
          <w:b w:val="1"/>
          <w:bCs w:val="1"/>
          <w:color w:val="auto"/>
        </w:rPr>
        <w:t>5.08</w:t>
      </w:r>
      <w:r>
        <w:rPr>
          <w:sz w:val="20"/>
          <w:szCs w:val="20"/>
          <w:color w:val="auto"/>
        </w:rPr>
        <w:tab/>
      </w:r>
      <w:r>
        <w:rPr>
          <w:rFonts w:ascii="Arial" w:cs="Arial" w:eastAsia="Arial" w:hAnsi="Arial"/>
          <w:sz w:val="11"/>
          <w:szCs w:val="11"/>
          <w:b w:val="1"/>
          <w:bCs w:val="1"/>
          <w:color w:val="auto"/>
        </w:rPr>
        <w:t>Ownership of Property; Liens</w:t>
      </w:r>
    </w:p>
    <w:p>
      <w:pPr>
        <w:spacing w:after="0" w:line="152" w:lineRule="exact"/>
        <w:rPr>
          <w:sz w:val="20"/>
          <w:szCs w:val="20"/>
          <w:color w:val="auto"/>
        </w:rPr>
      </w:pPr>
    </w:p>
    <w:p>
      <w:pPr>
        <w:jc w:val="both"/>
        <w:ind w:left="220" w:firstLine="1624"/>
        <w:spacing w:after="0" w:line="254" w:lineRule="auto"/>
        <w:tabs>
          <w:tab w:leader="none" w:pos="2412" w:val="left"/>
        </w:tabs>
        <w:numPr>
          <w:ilvl w:val="0"/>
          <w:numId w:val="122"/>
        </w:numPr>
        <w:rPr>
          <w:rFonts w:ascii="Arial" w:cs="Arial" w:eastAsia="Arial" w:hAnsi="Arial"/>
          <w:sz w:val="13"/>
          <w:szCs w:val="13"/>
          <w:color w:val="auto"/>
        </w:rPr>
      </w:pPr>
      <w:r>
        <w:rPr>
          <w:rFonts w:ascii="Arial" w:cs="Arial" w:eastAsia="Arial" w:hAnsi="Arial"/>
          <w:sz w:val="13"/>
          <w:szCs w:val="13"/>
          <w:color w:val="auto"/>
        </w:rPr>
        <w:t xml:space="preserve">Each of the Loan Parties has good record and marketable title in fee simple to or valid leasehold interests in, all Real Estate necessary or used in the ordinary conduct of its business, except for such defects in title as could not, individually or in the aggregate, reasonably be expected to have a Material Adverse Effect. Each of the Loan Parties has good and marketable title to, valid leasehold interests in, or valid licenses to use all personal property and assets material to the ordinary conduct of its business. The property of the Loan Parties are subject to no Liens, other than Liens permitted by </w:t>
      </w:r>
      <w:r>
        <w:rPr>
          <w:rFonts w:ascii="Arial" w:cs="Arial" w:eastAsia="Arial" w:hAnsi="Arial"/>
          <w:sz w:val="13"/>
          <w:szCs w:val="13"/>
          <w:u w:val="single" w:color="auto"/>
          <w:color w:val="auto"/>
        </w:rPr>
        <w:t>Section 7.01.</w:t>
      </w:r>
    </w:p>
    <w:p>
      <w:pPr>
        <w:spacing w:after="0" w:line="69" w:lineRule="exact"/>
        <w:rPr>
          <w:rFonts w:ascii="Arial" w:cs="Arial" w:eastAsia="Arial" w:hAnsi="Arial"/>
          <w:sz w:val="13"/>
          <w:szCs w:val="13"/>
          <w:color w:val="auto"/>
        </w:rPr>
      </w:pPr>
    </w:p>
    <w:p>
      <w:pPr>
        <w:jc w:val="both"/>
        <w:ind w:left="220" w:firstLine="1624"/>
        <w:spacing w:after="0" w:line="252" w:lineRule="auto"/>
        <w:tabs>
          <w:tab w:leader="none" w:pos="2419" w:val="left"/>
        </w:tabs>
        <w:numPr>
          <w:ilvl w:val="0"/>
          <w:numId w:val="122"/>
        </w:numPr>
        <w:rPr>
          <w:rFonts w:ascii="Arial" w:cs="Arial" w:eastAsia="Arial" w:hAnsi="Arial"/>
          <w:sz w:val="13"/>
          <w:szCs w:val="13"/>
          <w:color w:val="auto"/>
        </w:rPr>
      </w:pPr>
      <w:r>
        <w:rPr>
          <w:rFonts w:ascii="Arial" w:cs="Arial" w:eastAsia="Arial" w:hAnsi="Arial"/>
          <w:sz w:val="13"/>
          <w:szCs w:val="13"/>
          <w:u w:val="single" w:color="auto"/>
          <w:color w:val="auto"/>
        </w:rPr>
        <w:t>Schedule 5.08(b)(1)</w:t>
      </w:r>
      <w:r>
        <w:rPr>
          <w:rFonts w:ascii="Arial" w:cs="Arial" w:eastAsia="Arial" w:hAnsi="Arial"/>
          <w:sz w:val="13"/>
          <w:szCs w:val="13"/>
          <w:color w:val="auto"/>
        </w:rPr>
        <w:t xml:space="preserve"> sets forth the address (including street address, county and state) of all Real Estate (excluding Leases) that is owned by the Loan Parties, together with a list of the holders of any mortgage or other Lien thereon as of the Closing Date. Each Loan Party has good, marketable and insurable fee simple title to the Real Estate owned by such Loan Party or such Subsidiary, free and clear of all Liens, other than Permitted Encumbrances. </w:t>
      </w:r>
      <w:r>
        <w:rPr>
          <w:rFonts w:ascii="Arial" w:cs="Arial" w:eastAsia="Arial" w:hAnsi="Arial"/>
          <w:sz w:val="13"/>
          <w:szCs w:val="13"/>
          <w:u w:val="single" w:color="auto"/>
          <w:color w:val="auto"/>
        </w:rPr>
        <w:t>Schedule 5.08(b)(2)</w:t>
      </w:r>
      <w:r>
        <w:rPr>
          <w:rFonts w:ascii="Arial" w:cs="Arial" w:eastAsia="Arial" w:hAnsi="Arial"/>
          <w:sz w:val="13"/>
          <w:szCs w:val="13"/>
          <w:color w:val="auto"/>
        </w:rPr>
        <w:t xml:space="preserve"> sets forth the address (including street address, county and state) of all Leases of the Loan Parties, together with the name of each lessor and its contact information with respect to each such Lease as of the Closing Date. Each of such Leases is in full force and effect and the Loan Parties are not in default of the terms thereof.</w:t>
      </w:r>
    </w:p>
    <w:p>
      <w:pPr>
        <w:spacing w:after="0" w:line="121"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3"/>
          <w:szCs w:val="13"/>
          <w:b w:val="1"/>
          <w:bCs w:val="1"/>
          <w:color w:val="auto"/>
        </w:rPr>
        <w:t>5.09</w:t>
      </w:r>
      <w:r>
        <w:rPr>
          <w:sz w:val="20"/>
          <w:szCs w:val="20"/>
          <w:color w:val="auto"/>
        </w:rPr>
        <w:tab/>
      </w:r>
      <w:r>
        <w:rPr>
          <w:rFonts w:ascii="Arial" w:cs="Arial" w:eastAsia="Arial" w:hAnsi="Arial"/>
          <w:sz w:val="11"/>
          <w:szCs w:val="11"/>
          <w:b w:val="1"/>
          <w:bCs w:val="1"/>
          <w:color w:val="auto"/>
        </w:rPr>
        <w:t>Environmental Compliance.</w:t>
      </w:r>
    </w:p>
    <w:p>
      <w:pPr>
        <w:spacing w:after="0" w:line="152" w:lineRule="exact"/>
        <w:rPr>
          <w:sz w:val="20"/>
          <w:szCs w:val="20"/>
          <w:color w:val="auto"/>
        </w:rPr>
      </w:pPr>
    </w:p>
    <w:p>
      <w:pPr>
        <w:ind w:left="1840"/>
        <w:spacing w:after="0"/>
        <w:tabs>
          <w:tab w:leader="none" w:pos="2400" w:val="left"/>
        </w:tabs>
        <w:rPr>
          <w:sz w:val="20"/>
          <w:szCs w:val="20"/>
          <w:color w:val="auto"/>
        </w:rPr>
      </w:pPr>
      <w:r>
        <w:rPr>
          <w:rFonts w:ascii="Arial" w:cs="Arial" w:eastAsia="Arial" w:hAnsi="Arial"/>
          <w:sz w:val="12"/>
          <w:szCs w:val="12"/>
          <w:color w:val="auto"/>
        </w:rPr>
        <w:t>(a)</w:t>
      </w:r>
      <w:r>
        <w:rPr>
          <w:sz w:val="20"/>
          <w:szCs w:val="20"/>
          <w:color w:val="auto"/>
        </w:rPr>
        <w:tab/>
      </w:r>
      <w:r>
        <w:rPr>
          <w:rFonts w:ascii="Arial" w:cs="Arial" w:eastAsia="Arial" w:hAnsi="Arial"/>
          <w:sz w:val="12"/>
          <w:szCs w:val="12"/>
          <w:color w:val="auto"/>
        </w:rPr>
        <w:t>No Loan Party (i) has failed to comply with any Environmental Law or to obtain, maintain or comply with any permit, license or other approval required under any</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3"/>
          <w:szCs w:val="13"/>
          <w:color w:val="auto"/>
        </w:rPr>
        <w:t>Environmental Law,</w:t>
      </w:r>
    </w:p>
    <w:p>
      <w:pPr>
        <w:spacing w:after="0" w:line="4" w:lineRule="exact"/>
        <w:rPr>
          <w:sz w:val="20"/>
          <w:szCs w:val="20"/>
          <w:color w:val="auto"/>
        </w:rPr>
      </w:pPr>
    </w:p>
    <w:p>
      <w:pPr>
        <w:ind w:left="220" w:firstLine="9"/>
        <w:spacing w:after="0" w:line="255" w:lineRule="auto"/>
        <w:tabs>
          <w:tab w:leader="none" w:pos="417" w:val="left"/>
        </w:tabs>
        <w:numPr>
          <w:ilvl w:val="0"/>
          <w:numId w:val="123"/>
        </w:numPr>
        <w:rPr>
          <w:rFonts w:ascii="Arial" w:cs="Arial" w:eastAsia="Arial" w:hAnsi="Arial"/>
          <w:sz w:val="13"/>
          <w:szCs w:val="13"/>
          <w:color w:val="auto"/>
        </w:rPr>
      </w:pPr>
      <w:r>
        <w:rPr>
          <w:rFonts w:ascii="Arial" w:cs="Arial" w:eastAsia="Arial" w:hAnsi="Arial"/>
          <w:sz w:val="13"/>
          <w:szCs w:val="13"/>
          <w:color w:val="auto"/>
        </w:rPr>
        <w:t>has become subject to any Environmental Liability, (iii) has received notice of any claim with respect to any Environmental Liability or (iv) knows of any basis for any Environmental Liability, except, in each case, as could not, individually or in the aggregate, reasonably be expected to have a Material Adverse Effect.</w:t>
      </w:r>
    </w:p>
    <w:p>
      <w:pPr>
        <w:spacing w:after="0" w:line="122" w:lineRule="exact"/>
        <w:rPr>
          <w:rFonts w:ascii="Arial" w:cs="Arial" w:eastAsia="Arial" w:hAnsi="Arial"/>
          <w:sz w:val="13"/>
          <w:szCs w:val="13"/>
          <w:color w:val="auto"/>
        </w:rPr>
      </w:pPr>
    </w:p>
    <w:p>
      <w:pPr>
        <w:jc w:val="both"/>
        <w:ind w:left="220" w:firstLine="1624"/>
        <w:spacing w:after="0" w:line="254" w:lineRule="auto"/>
        <w:tabs>
          <w:tab w:leader="none" w:pos="2419" w:val="left"/>
        </w:tabs>
        <w:numPr>
          <w:ilvl w:val="1"/>
          <w:numId w:val="123"/>
        </w:numPr>
        <w:rPr>
          <w:rFonts w:ascii="Arial" w:cs="Arial" w:eastAsia="Arial" w:hAnsi="Arial"/>
          <w:sz w:val="13"/>
          <w:szCs w:val="13"/>
          <w:color w:val="auto"/>
        </w:rPr>
      </w:pPr>
      <w:r>
        <w:rPr>
          <w:rFonts w:ascii="Arial" w:cs="Arial" w:eastAsia="Arial" w:hAnsi="Arial"/>
          <w:sz w:val="13"/>
          <w:szCs w:val="13"/>
          <w:color w:val="auto"/>
        </w:rPr>
        <w:t>None of the properties currently or formerly owned or operated by any Loan Party is listed or proposed for listing on the NPL or on the CERCLIS or any analogous foreign, state or local list or is adjacent to any such property; there are no and never have been any underground or above- ground storage tanks or any surface impoundments, septic tanks, pits, sumps or lagoons in which Hazardous Materials are being or have been treated, stored or disposed on any property currently owned or operated by any Loan Party or, to the best of the knowledge of the Loan Parties, on any property formerly owned or operated by any Loan Party; there is no asbestos or asbestos-containing material on</w:t>
      </w:r>
    </w:p>
    <w:p>
      <w:pPr>
        <w:spacing w:after="0" w:line="271"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96" w:name="page97"/>
    <w:bookmarkEnd w:id="96"/>
    <w:p>
      <w:pPr>
        <w:ind w:left="220"/>
        <w:spacing w:after="0" w:line="273" w:lineRule="auto"/>
        <w:rPr>
          <w:sz w:val="20"/>
          <w:szCs w:val="20"/>
          <w:color w:val="auto"/>
        </w:rPr>
      </w:pPr>
      <w:r>
        <w:rPr>
          <w:rFonts w:ascii="Arial" w:cs="Arial" w:eastAsia="Arial" w:hAnsi="Arial"/>
          <w:sz w:val="13"/>
          <w:szCs w:val="13"/>
          <w:color w:val="auto"/>
        </w:rPr>
        <w:t>any property currently owned or operated by any Loan Party; and Hazardous Materials have not been released, discharged or disposed of on any property currently or formerly owned or operated by any Loan Party.</w:t>
      </w:r>
    </w:p>
    <w:p>
      <w:pPr>
        <w:spacing w:after="0" w:line="112" w:lineRule="exact"/>
        <w:rPr>
          <w:sz w:val="20"/>
          <w:szCs w:val="20"/>
          <w:color w:val="auto"/>
        </w:rPr>
      </w:pPr>
    </w:p>
    <w:p>
      <w:pPr>
        <w:jc w:val="both"/>
        <w:ind w:left="220" w:firstLine="1624"/>
        <w:spacing w:after="0" w:line="282" w:lineRule="auto"/>
        <w:tabs>
          <w:tab w:leader="none" w:pos="2412" w:val="left"/>
        </w:tabs>
        <w:numPr>
          <w:ilvl w:val="0"/>
          <w:numId w:val="124"/>
        </w:numPr>
        <w:rPr>
          <w:rFonts w:ascii="Arial" w:cs="Arial" w:eastAsia="Arial" w:hAnsi="Arial"/>
          <w:sz w:val="12"/>
          <w:szCs w:val="12"/>
          <w:color w:val="auto"/>
        </w:rPr>
      </w:pPr>
      <w:r>
        <w:rPr>
          <w:rFonts w:ascii="Arial" w:cs="Arial" w:eastAsia="Arial" w:hAnsi="Arial"/>
          <w:sz w:val="12"/>
          <w:szCs w:val="12"/>
          <w:color w:val="auto"/>
        </w:rPr>
        <w:t>No Loan Party is undertaking, and no Loan Party has completed, either individually or together with other potentially responsible parties, any investigation or assessment or remedial or response action relating to any actual or threatened release, discharge or disposal of Hazardous Materials at any site, location or operation, either voluntarily or pursuant to the order of any Governmental Authority or the requirements of any Environmental Law; and all Hazardous Materials generated, used, treated, handled or stored at, or transported to or from, any property currently or formerly owned or operated by any Loan Party have been disposed of in a manner not reasonably expected to result in material liability to any Loan Party.</w:t>
      </w:r>
    </w:p>
    <w:p>
      <w:pPr>
        <w:spacing w:after="0" w:line="104" w:lineRule="exact"/>
        <w:rPr>
          <w:sz w:val="20"/>
          <w:szCs w:val="20"/>
          <w:color w:val="auto"/>
        </w:rPr>
      </w:pPr>
    </w:p>
    <w:p>
      <w:pPr>
        <w:jc w:val="both"/>
        <w:ind w:left="220" w:firstLine="808"/>
        <w:spacing w:after="0" w:line="253" w:lineRule="auto"/>
        <w:rPr>
          <w:sz w:val="20"/>
          <w:szCs w:val="20"/>
          <w:color w:val="auto"/>
        </w:rPr>
      </w:pPr>
      <w:r>
        <w:rPr>
          <w:rFonts w:ascii="Arial" w:cs="Arial" w:eastAsia="Arial" w:hAnsi="Arial"/>
          <w:sz w:val="13"/>
          <w:szCs w:val="13"/>
          <w:b w:val="1"/>
          <w:bCs w:val="1"/>
          <w:color w:val="auto"/>
        </w:rPr>
        <w:t>5.10 Insurance</w:t>
      </w:r>
      <w:r>
        <w:rPr>
          <w:rFonts w:ascii="Arial" w:cs="Arial" w:eastAsia="Arial" w:hAnsi="Arial"/>
          <w:sz w:val="13"/>
          <w:szCs w:val="13"/>
          <w:color w:val="auto"/>
        </w:rPr>
        <w:t>. The properties of the Loan Parties are insured with financially sound and reputable insurance companies which are not Affiliates of the Loan Parties, in such amounts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(after giving effect to any self-insurance compatible with the following standards), with such deductibles and covering such risks (including, without limitation, workmen’s compensation, public liability, business interruption, property damage and directors and officers liability insurance) as are customarily carried by companies engaged in similar businesses and owning similar properties in localities where the Loan Parties operates. </w:t>
      </w:r>
      <w:r>
        <w:rPr>
          <w:rFonts w:ascii="Arial" w:cs="Arial" w:eastAsia="Arial" w:hAnsi="Arial"/>
          <w:sz w:val="13"/>
          <w:szCs w:val="13"/>
          <w:u w:val="single" w:color="auto"/>
          <w:color w:val="auto"/>
        </w:rPr>
        <w:t>Schedule 5.10</w:t>
      </w:r>
      <w:r>
        <w:rPr>
          <w:rFonts w:ascii="Arial" w:cs="Arial" w:eastAsia="Arial" w:hAnsi="Arial"/>
          <w:sz w:val="13"/>
          <w:szCs w:val="13"/>
          <w:color w:val="auto"/>
        </w:rPr>
        <w:t xml:space="preserve"> sets forth a description of all insurance maintained by or on behalf of the Loan Parties as of the Closing Date. As of the Closing Date, each insurance policy listed on </w:t>
      </w:r>
      <w:r>
        <w:rPr>
          <w:rFonts w:ascii="Arial" w:cs="Arial" w:eastAsia="Arial" w:hAnsi="Arial"/>
          <w:sz w:val="13"/>
          <w:szCs w:val="13"/>
          <w:u w:val="single" w:color="auto"/>
          <w:color w:val="auto"/>
        </w:rPr>
        <w:t>Schedule 5.10</w:t>
      </w:r>
      <w:r>
        <w:rPr>
          <w:rFonts w:ascii="Arial" w:cs="Arial" w:eastAsia="Arial" w:hAnsi="Arial"/>
          <w:sz w:val="13"/>
          <w:szCs w:val="13"/>
          <w:color w:val="auto"/>
        </w:rPr>
        <w:t xml:space="preserve"> is in full force and effect and all premiums in respect thereof that are due and payable have been paid.</w:t>
      </w:r>
    </w:p>
    <w:p>
      <w:pPr>
        <w:spacing w:after="0" w:line="122" w:lineRule="exact"/>
        <w:rPr>
          <w:sz w:val="20"/>
          <w:szCs w:val="20"/>
          <w:color w:val="auto"/>
        </w:rPr>
      </w:pPr>
    </w:p>
    <w:p>
      <w:pPr>
        <w:jc w:val="both"/>
        <w:ind w:left="220" w:firstLine="809"/>
        <w:spacing w:after="0" w:line="253" w:lineRule="auto"/>
        <w:rPr>
          <w:sz w:val="20"/>
          <w:szCs w:val="20"/>
          <w:color w:val="auto"/>
        </w:rPr>
      </w:pPr>
      <w:r>
        <w:rPr>
          <w:rFonts w:ascii="Arial" w:cs="Arial" w:eastAsia="Arial" w:hAnsi="Arial"/>
          <w:sz w:val="13"/>
          <w:szCs w:val="13"/>
          <w:b w:val="1"/>
          <w:bCs w:val="1"/>
          <w:color w:val="auto"/>
        </w:rPr>
        <w:t>5.11 Taxes</w:t>
      </w:r>
      <w:r>
        <w:rPr>
          <w:rFonts w:ascii="Arial" w:cs="Arial" w:eastAsia="Arial" w:hAnsi="Arial"/>
          <w:sz w:val="13"/>
          <w:szCs w:val="13"/>
          <w:color w:val="auto"/>
        </w:rPr>
        <w:t>. The Loan Parties have filed all Federal, state and other tax returns and reports required to be filed, and have paid all Federal, state and other taxes, assessments, fees and</w:t>
      </w:r>
      <w:r>
        <w:rPr>
          <w:rFonts w:ascii="Arial" w:cs="Arial" w:eastAsia="Arial" w:hAnsi="Arial"/>
          <w:sz w:val="13"/>
          <w:szCs w:val="13"/>
          <w:b w:val="1"/>
          <w:bCs w:val="1"/>
          <w:color w:val="auto"/>
        </w:rPr>
        <w:t xml:space="preserve"> </w:t>
      </w:r>
      <w:r>
        <w:rPr>
          <w:rFonts w:ascii="Arial" w:cs="Arial" w:eastAsia="Arial" w:hAnsi="Arial"/>
          <w:sz w:val="13"/>
          <w:szCs w:val="13"/>
          <w:color w:val="auto"/>
        </w:rPr>
        <w:t>other governmental charges levied or imposed upon them or their properties, income or assets otherwise due and payable, except those which are being contested in good faith by appropriate proceedings being diligently conducted, for which adequate reserves have been provided in accordance with GAAP, as to which Taxes no Lien has been filed and which contest effectively suspends the collection of the contested obligation and the enforcement of any Lien securing such obligation. There is no proposed tax assessment against any Loan Party that would, if made, have a Material Adverse Effect. No Loan Party or any Subsidiary thereof is a party to any tax sharing agreement.</w:t>
      </w:r>
    </w:p>
    <w:p>
      <w:pPr>
        <w:spacing w:after="0" w:line="122"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3"/>
          <w:szCs w:val="13"/>
          <w:b w:val="1"/>
          <w:bCs w:val="1"/>
          <w:color w:val="auto"/>
        </w:rPr>
        <w:t>5.12</w:t>
      </w:r>
      <w:r>
        <w:rPr>
          <w:sz w:val="20"/>
          <w:szCs w:val="20"/>
          <w:color w:val="auto"/>
        </w:rPr>
        <w:tab/>
      </w:r>
      <w:r>
        <w:rPr>
          <w:rFonts w:ascii="Arial" w:cs="Arial" w:eastAsia="Arial" w:hAnsi="Arial"/>
          <w:sz w:val="12"/>
          <w:szCs w:val="12"/>
          <w:b w:val="1"/>
          <w:bCs w:val="1"/>
          <w:color w:val="auto"/>
        </w:rPr>
        <w:t>ERISA Compliance</w:t>
      </w:r>
      <w:r>
        <w:rPr>
          <w:rFonts w:ascii="Arial" w:cs="Arial" w:eastAsia="Arial" w:hAnsi="Arial"/>
          <w:sz w:val="12"/>
          <w:szCs w:val="12"/>
          <w:color w:val="auto"/>
        </w:rPr>
        <w:t>.</w:t>
      </w:r>
    </w:p>
    <w:p>
      <w:pPr>
        <w:spacing w:after="0" w:line="152" w:lineRule="exact"/>
        <w:rPr>
          <w:sz w:val="20"/>
          <w:szCs w:val="20"/>
          <w:color w:val="auto"/>
        </w:rPr>
      </w:pPr>
    </w:p>
    <w:p>
      <w:pPr>
        <w:jc w:val="both"/>
        <w:ind w:left="220" w:firstLine="1623"/>
        <w:spacing w:after="0" w:line="282" w:lineRule="auto"/>
        <w:tabs>
          <w:tab w:leader="none" w:pos="2412" w:val="left"/>
        </w:tabs>
        <w:numPr>
          <w:ilvl w:val="0"/>
          <w:numId w:val="125"/>
        </w:numPr>
        <w:rPr>
          <w:rFonts w:ascii="Arial" w:cs="Arial" w:eastAsia="Arial" w:hAnsi="Arial"/>
          <w:sz w:val="12"/>
          <w:szCs w:val="12"/>
          <w:color w:val="auto"/>
        </w:rPr>
      </w:pPr>
      <w:r>
        <w:rPr>
          <w:rFonts w:ascii="Arial" w:cs="Arial" w:eastAsia="Arial" w:hAnsi="Arial"/>
          <w:sz w:val="12"/>
          <w:szCs w:val="12"/>
          <w:color w:val="auto"/>
        </w:rPr>
        <w:t>Each Plan is in compliance in all material respects with the applicable provisions of ERISA, the Code and other Federal or state laws. Each Pension Plan that is intended to be a qualified plan under Section 401(a) of the Code has received a favorable determination letter from the Internal Revenue Service to the effect that the form of such Plan is qualified under Section 401(a) of the Code and the trust related thereto has been determined by the Internal Revenue Service to be exempt from federal income tax under Section 501(a) of the Code, or an application for such a letter is currently being processed by the Internal Revenue Service. To the best knowledge of the Lead Borrower, nothing has occurred that would prevent or cause the loss of such tax-qualified status.</w:t>
      </w:r>
    </w:p>
    <w:p>
      <w:pPr>
        <w:spacing w:after="0" w:line="108" w:lineRule="exact"/>
        <w:rPr>
          <w:rFonts w:ascii="Arial" w:cs="Arial" w:eastAsia="Arial" w:hAnsi="Arial"/>
          <w:sz w:val="12"/>
          <w:szCs w:val="12"/>
          <w:color w:val="auto"/>
        </w:rPr>
      </w:pPr>
    </w:p>
    <w:p>
      <w:pPr>
        <w:jc w:val="both"/>
        <w:ind w:left="220" w:firstLine="1623"/>
        <w:spacing w:after="0" w:line="258" w:lineRule="auto"/>
        <w:tabs>
          <w:tab w:leader="none" w:pos="2419" w:val="left"/>
        </w:tabs>
        <w:numPr>
          <w:ilvl w:val="0"/>
          <w:numId w:val="125"/>
        </w:numPr>
        <w:rPr>
          <w:rFonts w:ascii="Arial" w:cs="Arial" w:eastAsia="Arial" w:hAnsi="Arial"/>
          <w:sz w:val="13"/>
          <w:szCs w:val="13"/>
          <w:color w:val="auto"/>
        </w:rPr>
      </w:pPr>
      <w:r>
        <w:rPr>
          <w:rFonts w:ascii="Arial" w:cs="Arial" w:eastAsia="Arial" w:hAnsi="Arial"/>
          <w:sz w:val="13"/>
          <w:szCs w:val="13"/>
          <w:color w:val="auto"/>
        </w:rPr>
        <w:t>There are no pending or, to the best knowledge of the Lead Borrower,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269"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97" w:name="page98"/>
    <w:bookmarkEnd w:id="97"/>
    <w:p>
      <w:pPr>
        <w:jc w:val="both"/>
        <w:ind w:left="220" w:firstLine="1624"/>
        <w:spacing w:after="0" w:line="273" w:lineRule="auto"/>
        <w:tabs>
          <w:tab w:leader="none" w:pos="2412" w:val="left"/>
        </w:tabs>
        <w:numPr>
          <w:ilvl w:val="0"/>
          <w:numId w:val="126"/>
        </w:numPr>
        <w:rPr>
          <w:rFonts w:ascii="Arial" w:cs="Arial" w:eastAsia="Arial" w:hAnsi="Arial"/>
          <w:sz w:val="12"/>
          <w:szCs w:val="12"/>
          <w:color w:val="auto"/>
        </w:rPr>
      </w:pPr>
      <w:r>
        <w:rPr>
          <w:rFonts w:ascii="Arial" w:cs="Arial" w:eastAsia="Arial" w:hAnsi="Arial"/>
          <w:sz w:val="12"/>
          <w:szCs w:val="12"/>
          <w:color w:val="auto"/>
        </w:rPr>
        <w:t>(i) No ERISA Event has occurred, and neither the Lead Borrower nor any ERISA Affiliate is aware of any fact, event or circumstance that could reasonably be expected to constitute or result in an ERISA Event with respect to any Pension Plan; (ii) the Lead Borrower and each ERISA Affiliate has met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Code) is 80% or higher and neither the Lead Borrower nor any ERISA Affiliate knows of any facts or circumstances that could reasonably be expected to cause the funding target attainment percentage for any such plan to drop below 80% as of the most recent valuation date; (iv) neither the Lead Borrower nor any ERISA Affiliate has incurred any liability to the PBGC other than for the payment of premiums, and there are no premium payments which have become due that are unpaid; (v) neither the Lead Borrower nor any ERISA Affiliate has engaged in a transaction that could be subject to Section 4069 or Section 4212(c) of ERISA; and (vi) no Pension Plan has been terminated by the plan administrator thereof nor by the PBGC, and no event or circumstance has occurred or exists that could reasonably be expected to cause the PBGC to institute proceedings under Title IV of ERISA to terminate any Pension Plan.</w:t>
      </w:r>
    </w:p>
    <w:p>
      <w:pPr>
        <w:spacing w:after="0" w:line="114" w:lineRule="exact"/>
        <w:rPr>
          <w:rFonts w:ascii="Arial" w:cs="Arial" w:eastAsia="Arial" w:hAnsi="Arial"/>
          <w:sz w:val="12"/>
          <w:szCs w:val="12"/>
          <w:color w:val="auto"/>
        </w:rPr>
      </w:pPr>
    </w:p>
    <w:p>
      <w:pPr>
        <w:ind w:left="220" w:firstLine="1624"/>
        <w:spacing w:after="0" w:line="271" w:lineRule="auto"/>
        <w:tabs>
          <w:tab w:leader="none" w:pos="2419" w:val="left"/>
        </w:tabs>
        <w:numPr>
          <w:ilvl w:val="0"/>
          <w:numId w:val="126"/>
        </w:numPr>
        <w:rPr>
          <w:rFonts w:ascii="Arial" w:cs="Arial" w:eastAsia="Arial" w:hAnsi="Arial"/>
          <w:sz w:val="13"/>
          <w:szCs w:val="13"/>
          <w:color w:val="auto"/>
        </w:rPr>
      </w:pPr>
      <w:r>
        <w:rPr>
          <w:rFonts w:ascii="Arial" w:cs="Arial" w:eastAsia="Arial" w:hAnsi="Arial"/>
          <w:sz w:val="13"/>
          <w:szCs w:val="13"/>
          <w:color w:val="auto"/>
        </w:rPr>
        <w:t>Each Loan Party represents and warrants as of the Closing Date that each Loan Party is not and will not be using “plan assets” (within the meaning of 29 CFR § 2510.3-101, as modified by Section 3(42) of ERISA) of one or more Plans in connection with the Loans, the Letters of Credit or the Commitments.</w:t>
      </w:r>
    </w:p>
    <w:p>
      <w:pPr>
        <w:spacing w:after="0" w:line="109" w:lineRule="exact"/>
        <w:rPr>
          <w:sz w:val="20"/>
          <w:szCs w:val="20"/>
          <w:color w:val="auto"/>
        </w:rPr>
      </w:pPr>
    </w:p>
    <w:p>
      <w:pPr>
        <w:jc w:val="both"/>
        <w:ind w:left="220" w:firstLine="808"/>
        <w:spacing w:after="0" w:line="250" w:lineRule="auto"/>
        <w:rPr>
          <w:sz w:val="20"/>
          <w:szCs w:val="20"/>
          <w:color w:val="auto"/>
        </w:rPr>
      </w:pPr>
      <w:r>
        <w:rPr>
          <w:rFonts w:ascii="Arial" w:cs="Arial" w:eastAsia="Arial" w:hAnsi="Arial"/>
          <w:sz w:val="13"/>
          <w:szCs w:val="13"/>
          <w:b w:val="1"/>
          <w:bCs w:val="1"/>
          <w:color w:val="auto"/>
        </w:rPr>
        <w:t>5.13 Subsidiaries; Equity Interests</w:t>
      </w:r>
      <w:r>
        <w:rPr>
          <w:rFonts w:ascii="Arial" w:cs="Arial" w:eastAsia="Arial" w:hAnsi="Arial"/>
          <w:sz w:val="13"/>
          <w:szCs w:val="13"/>
          <w:color w:val="auto"/>
        </w:rPr>
        <w:t>. As of the Closing Date, the Loan Parties have no Subsidiaries other than those specifically disclosed in Part (a) of</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Schedule 5.13</w:t>
      </w:r>
      <w:r>
        <w:rPr>
          <w:rFonts w:ascii="Arial" w:cs="Arial" w:eastAsia="Arial" w:hAnsi="Arial"/>
          <w:sz w:val="13"/>
          <w:szCs w:val="13"/>
          <w:color w:val="auto"/>
        </w:rPr>
        <w:t>, which Schedule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sets forth the legal name, jurisdiction of incorporation or formation and authorized Equity Interests of each such Subsidiary. All of the outstanding Equity Interests in such Subsidiaries have been validly issued, are fully paid and non-assessable and are owned by a Loan Party (or a Subsidiary of a Loan Party) in the amounts specified on Part (a) of </w:t>
      </w:r>
      <w:r>
        <w:rPr>
          <w:rFonts w:ascii="Arial" w:cs="Arial" w:eastAsia="Arial" w:hAnsi="Arial"/>
          <w:sz w:val="13"/>
          <w:szCs w:val="13"/>
          <w:u w:val="single" w:color="auto"/>
          <w:color w:val="auto"/>
        </w:rPr>
        <w:t>Schedule 5.13</w:t>
      </w:r>
      <w:r>
        <w:rPr>
          <w:rFonts w:ascii="Arial" w:cs="Arial" w:eastAsia="Arial" w:hAnsi="Arial"/>
          <w:sz w:val="13"/>
          <w:szCs w:val="13"/>
          <w:color w:val="auto"/>
        </w:rPr>
        <w:t xml:space="preserve"> free and clear of all Liens except for those created under the Security Documents. Except as set forth in </w:t>
      </w:r>
      <w:r>
        <w:rPr>
          <w:rFonts w:ascii="Arial" w:cs="Arial" w:eastAsia="Arial" w:hAnsi="Arial"/>
          <w:sz w:val="13"/>
          <w:szCs w:val="13"/>
          <w:u w:val="single" w:color="auto"/>
          <w:color w:val="auto"/>
        </w:rPr>
        <w:t>Schedule 5.13</w:t>
      </w:r>
      <w:r>
        <w:rPr>
          <w:rFonts w:ascii="Arial" w:cs="Arial" w:eastAsia="Arial" w:hAnsi="Arial"/>
          <w:sz w:val="13"/>
          <w:szCs w:val="13"/>
          <w:color w:val="auto"/>
        </w:rPr>
        <w:t xml:space="preserve">, there are no outstanding rights to purchase any Equity Interests in any Subsidiary. As of the Closing Date, the Loan Parties have no equity investments in any other corporation or entity other than those specifically disclosed in Part (b) of </w:t>
      </w:r>
      <w:r>
        <w:rPr>
          <w:rFonts w:ascii="Arial" w:cs="Arial" w:eastAsia="Arial" w:hAnsi="Arial"/>
          <w:sz w:val="13"/>
          <w:szCs w:val="13"/>
          <w:u w:val="single" w:color="auto"/>
          <w:color w:val="auto"/>
        </w:rPr>
        <w:t>Schedule 5.13</w:t>
      </w:r>
      <w:r>
        <w:rPr>
          <w:rFonts w:ascii="Arial" w:cs="Arial" w:eastAsia="Arial" w:hAnsi="Arial"/>
          <w:sz w:val="13"/>
          <w:szCs w:val="13"/>
          <w:color w:val="auto"/>
        </w:rPr>
        <w:t xml:space="preserve">. All of the outstanding Equity Interests in the Loan Parties have been validly issued, and are fully paid and non-assessable and are owned in the amounts specified on Part (c) of </w:t>
      </w:r>
      <w:r>
        <w:rPr>
          <w:rFonts w:ascii="Arial" w:cs="Arial" w:eastAsia="Arial" w:hAnsi="Arial"/>
          <w:sz w:val="13"/>
          <w:szCs w:val="13"/>
          <w:u w:val="single" w:color="auto"/>
          <w:color w:val="auto"/>
        </w:rPr>
        <w:t>Schedule 5.13</w:t>
      </w:r>
      <w:r>
        <w:rPr>
          <w:rFonts w:ascii="Arial" w:cs="Arial" w:eastAsia="Arial" w:hAnsi="Arial"/>
          <w:sz w:val="13"/>
          <w:szCs w:val="13"/>
          <w:color w:val="auto"/>
        </w:rPr>
        <w:t xml:space="preserve"> free and clear of all Liens except for those created under the Security Documents. The copies of the Organization Documents of each Loan Party and each amendment thereto provided pursuant to </w:t>
      </w:r>
      <w:r>
        <w:rPr>
          <w:rFonts w:ascii="Arial" w:cs="Arial" w:eastAsia="Arial" w:hAnsi="Arial"/>
          <w:sz w:val="13"/>
          <w:szCs w:val="13"/>
          <w:u w:val="single" w:color="auto"/>
          <w:color w:val="auto"/>
        </w:rPr>
        <w:t>Section 4.01</w:t>
      </w:r>
      <w:r>
        <w:rPr>
          <w:rFonts w:ascii="Arial" w:cs="Arial" w:eastAsia="Arial" w:hAnsi="Arial"/>
          <w:sz w:val="13"/>
          <w:szCs w:val="13"/>
          <w:color w:val="auto"/>
        </w:rPr>
        <w:t xml:space="preserve"> are true and correct copies of each such document, each of which is valid and in full force and effect.</w:t>
      </w:r>
    </w:p>
    <w:p>
      <w:pPr>
        <w:spacing w:after="0" w:line="123"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3"/>
          <w:szCs w:val="13"/>
          <w:b w:val="1"/>
          <w:bCs w:val="1"/>
          <w:color w:val="auto"/>
        </w:rPr>
        <w:t>5.14</w:t>
      </w:r>
      <w:r>
        <w:rPr>
          <w:sz w:val="20"/>
          <w:szCs w:val="20"/>
          <w:color w:val="auto"/>
        </w:rPr>
        <w:tab/>
      </w:r>
      <w:r>
        <w:rPr>
          <w:rFonts w:ascii="Arial" w:cs="Arial" w:eastAsia="Arial" w:hAnsi="Arial"/>
          <w:sz w:val="12"/>
          <w:szCs w:val="12"/>
          <w:b w:val="1"/>
          <w:bCs w:val="1"/>
          <w:color w:val="auto"/>
        </w:rPr>
        <w:t>Margin Regulations; Investment Company Act.</w:t>
      </w:r>
    </w:p>
    <w:p>
      <w:pPr>
        <w:spacing w:after="0" w:line="152" w:lineRule="exact"/>
        <w:rPr>
          <w:sz w:val="20"/>
          <w:szCs w:val="20"/>
          <w:color w:val="auto"/>
        </w:rPr>
      </w:pPr>
    </w:p>
    <w:p>
      <w:pPr>
        <w:jc w:val="both"/>
        <w:ind w:left="220" w:firstLine="1624"/>
        <w:spacing w:after="0" w:line="254" w:lineRule="auto"/>
        <w:tabs>
          <w:tab w:leader="none" w:pos="2412" w:val="left"/>
        </w:tabs>
        <w:numPr>
          <w:ilvl w:val="0"/>
          <w:numId w:val="127"/>
        </w:numPr>
        <w:rPr>
          <w:rFonts w:ascii="Arial" w:cs="Arial" w:eastAsia="Arial" w:hAnsi="Arial"/>
          <w:sz w:val="13"/>
          <w:szCs w:val="13"/>
          <w:color w:val="auto"/>
        </w:rPr>
      </w:pPr>
      <w:r>
        <w:rPr>
          <w:rFonts w:ascii="Arial" w:cs="Arial" w:eastAsia="Arial" w:hAnsi="Arial"/>
          <w:sz w:val="13"/>
          <w:szCs w:val="13"/>
          <w:color w:val="auto"/>
        </w:rPr>
        <w:t>No Loan Party is engaged or will be engaged, principally or as one of its important activities, in the business of purchasing or carrying margin stock (within the meaning of Regulation U issued by the FRB), or extending credit for the purpose of purchasing or carrying margin stock. None of the proceeds of the Credit Extensions shall be used directly or indirectly for the purpose of purchasing or carrying any margin stock, for the purpose of reducing or retiring any Indebtedness that was originally incurred to purchase or carry any margin stock or for any other purpose that might cause any of the Credit Extensions to be considered a “purpose credit” within the meaning of Regulations T, U, or X issued by the FRB.</w:t>
      </w:r>
    </w:p>
    <w:p>
      <w:pPr>
        <w:spacing w:after="0" w:line="123" w:lineRule="exact"/>
        <w:rPr>
          <w:rFonts w:ascii="Arial" w:cs="Arial" w:eastAsia="Arial" w:hAnsi="Arial"/>
          <w:sz w:val="13"/>
          <w:szCs w:val="13"/>
          <w:color w:val="auto"/>
        </w:rPr>
      </w:pPr>
    </w:p>
    <w:p>
      <w:pPr>
        <w:ind w:left="2420" w:hanging="576"/>
        <w:spacing w:after="0"/>
        <w:tabs>
          <w:tab w:leader="none" w:pos="2420" w:val="left"/>
        </w:tabs>
        <w:numPr>
          <w:ilvl w:val="0"/>
          <w:numId w:val="127"/>
        </w:numPr>
        <w:rPr>
          <w:rFonts w:ascii="Arial" w:cs="Arial" w:eastAsia="Arial" w:hAnsi="Arial"/>
          <w:sz w:val="11"/>
          <w:szCs w:val="11"/>
          <w:color w:val="auto"/>
        </w:rPr>
      </w:pPr>
      <w:r>
        <w:rPr>
          <w:rFonts w:ascii="Arial" w:cs="Arial" w:eastAsia="Arial" w:hAnsi="Arial"/>
          <w:sz w:val="11"/>
          <w:szCs w:val="11"/>
          <w:color w:val="auto"/>
        </w:rPr>
        <w:t>None of the Loan Parties, any Person Controlling any Loan Party, or any Subsidiary is or is required to be registered as an “investment company” under the Investment</w:t>
      </w:r>
    </w:p>
    <w:p>
      <w:pPr>
        <w:spacing w:after="0" w:line="36" w:lineRule="exact"/>
        <w:rPr>
          <w:rFonts w:ascii="Arial" w:cs="Arial" w:eastAsia="Arial" w:hAnsi="Arial"/>
          <w:sz w:val="11"/>
          <w:szCs w:val="11"/>
          <w:color w:val="auto"/>
        </w:rPr>
      </w:pPr>
    </w:p>
    <w:p>
      <w:pPr>
        <w:ind w:left="220"/>
        <w:spacing w:after="0"/>
        <w:rPr>
          <w:rFonts w:ascii="Arial" w:cs="Arial" w:eastAsia="Arial" w:hAnsi="Arial"/>
          <w:sz w:val="11"/>
          <w:szCs w:val="11"/>
          <w:color w:val="auto"/>
        </w:rPr>
      </w:pPr>
      <w:r>
        <w:rPr>
          <w:rFonts w:ascii="Arial" w:cs="Arial" w:eastAsia="Arial" w:hAnsi="Arial"/>
          <w:sz w:val="13"/>
          <w:szCs w:val="13"/>
          <w:color w:val="auto"/>
        </w:rPr>
        <w:t>Company Act of 1940, as amended.</w:t>
      </w:r>
    </w:p>
    <w:p>
      <w:pPr>
        <w:spacing w:after="0" w:line="285"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98" w:name="page99"/>
    <w:bookmarkEnd w:id="98"/>
    <w:p>
      <w:pPr>
        <w:jc w:val="both"/>
        <w:ind w:left="220" w:firstLine="808"/>
        <w:spacing w:after="0" w:line="252" w:lineRule="auto"/>
        <w:rPr>
          <w:sz w:val="20"/>
          <w:szCs w:val="20"/>
          <w:color w:val="auto"/>
        </w:rPr>
      </w:pPr>
      <w:r>
        <w:rPr>
          <w:rFonts w:ascii="Arial" w:cs="Arial" w:eastAsia="Arial" w:hAnsi="Arial"/>
          <w:sz w:val="13"/>
          <w:szCs w:val="13"/>
          <w:b w:val="1"/>
          <w:bCs w:val="1"/>
          <w:color w:val="auto"/>
        </w:rPr>
        <w:t>5.15 Disclosure</w:t>
      </w:r>
      <w:r>
        <w:rPr>
          <w:rFonts w:ascii="Arial" w:cs="Arial" w:eastAsia="Arial" w:hAnsi="Arial"/>
          <w:sz w:val="13"/>
          <w:szCs w:val="13"/>
          <w:color w:val="auto"/>
        </w:rPr>
        <w:t>. Each Loan Party has disclosed to the Agent and the Lenders all agreements, instruments and corporate or other restrictions to which it is subject, and all other matters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known to it, that, individually or in the aggregate, could reasonably be expected to result in a Material Adverse Effect. No report, financial statement, certificate or other information furnished (whether in writing or orally) by or on behalf of any Loan Party to the Agent or any Lender in connection with the transactions contemplated hereby and the negotiation of this Agreement or delivered hereunder or under any other Loan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with respect to projected financial information, the Loan Parties represent only that such information was prepared in good faith based upon assumptions believed to be reasonable at the time.</w:t>
      </w:r>
    </w:p>
    <w:p>
      <w:pPr>
        <w:spacing w:after="0" w:line="122" w:lineRule="exact"/>
        <w:rPr>
          <w:sz w:val="20"/>
          <w:szCs w:val="20"/>
          <w:color w:val="auto"/>
        </w:rPr>
      </w:pPr>
    </w:p>
    <w:p>
      <w:pPr>
        <w:jc w:val="both"/>
        <w:ind w:left="220" w:firstLine="808"/>
        <w:spacing w:after="0" w:line="261" w:lineRule="auto"/>
        <w:rPr>
          <w:sz w:val="20"/>
          <w:szCs w:val="20"/>
          <w:color w:val="auto"/>
        </w:rPr>
      </w:pPr>
      <w:r>
        <w:rPr>
          <w:rFonts w:ascii="Arial" w:cs="Arial" w:eastAsia="Arial" w:hAnsi="Arial"/>
          <w:sz w:val="13"/>
          <w:szCs w:val="13"/>
          <w:b w:val="1"/>
          <w:bCs w:val="1"/>
          <w:color w:val="auto"/>
        </w:rPr>
        <w:t>5.16 Compliance with Laws</w:t>
      </w:r>
      <w:r>
        <w:rPr>
          <w:rFonts w:ascii="Arial" w:cs="Arial" w:eastAsia="Arial" w:hAnsi="Arial"/>
          <w:sz w:val="13"/>
          <w:szCs w:val="13"/>
          <w:color w:val="auto"/>
        </w:rPr>
        <w:t>. Each of the Loan Parties is in compliance in all material respects with the requirements of all Laws and all orders, writs, injunctions and decrees</w:t>
      </w:r>
      <w:r>
        <w:rPr>
          <w:rFonts w:ascii="Arial" w:cs="Arial" w:eastAsia="Arial" w:hAnsi="Arial"/>
          <w:sz w:val="13"/>
          <w:szCs w:val="13"/>
          <w:b w:val="1"/>
          <w:bCs w:val="1"/>
          <w:color w:val="auto"/>
        </w:rPr>
        <w:t xml:space="preserve"> </w:t>
      </w:r>
      <w:r>
        <w:rPr>
          <w:rFonts w:ascii="Arial" w:cs="Arial" w:eastAsia="Arial" w:hAnsi="Arial"/>
          <w:sz w:val="13"/>
          <w:szCs w:val="13"/>
          <w:color w:val="auto"/>
        </w:rPr>
        <w:t>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16" w:lineRule="exact"/>
        <w:rPr>
          <w:sz w:val="20"/>
          <w:szCs w:val="20"/>
          <w:color w:val="auto"/>
        </w:rPr>
      </w:pPr>
    </w:p>
    <w:p>
      <w:pPr>
        <w:jc w:val="both"/>
        <w:ind w:left="220" w:firstLine="808"/>
        <w:spacing w:after="0" w:line="253" w:lineRule="auto"/>
        <w:rPr>
          <w:sz w:val="20"/>
          <w:szCs w:val="20"/>
          <w:color w:val="auto"/>
        </w:rPr>
      </w:pPr>
      <w:r>
        <w:rPr>
          <w:rFonts w:ascii="Arial" w:cs="Arial" w:eastAsia="Arial" w:hAnsi="Arial"/>
          <w:sz w:val="13"/>
          <w:szCs w:val="13"/>
          <w:b w:val="1"/>
          <w:bCs w:val="1"/>
          <w:color w:val="auto"/>
        </w:rPr>
        <w:t>5.17 Intellectual Property; Licenses, Etc.</w:t>
      </w:r>
      <w:r>
        <w:rPr>
          <w:rFonts w:ascii="Arial" w:cs="Arial" w:eastAsia="Arial" w:hAnsi="Arial"/>
          <w:sz w:val="13"/>
          <w:szCs w:val="13"/>
          <w:color w:val="auto"/>
        </w:rPr>
        <w:t>. The Loan Parties own, or possess the right to use, all of the Intellectual Property, licenses, permits and other authorizations that are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reasonably necessary for the operation of their respective businesses, without conflict with the rights of any other Person. To the best knowledge of the Lead Borrower, no slogan or other advertising device, product, process, method, substance, part or other material now employed, or now contemplated to be employed, by any Loan Party infringes upon any rights held by any other Person. Except as specifically disclosed in </w:t>
      </w:r>
      <w:r>
        <w:rPr>
          <w:rFonts w:ascii="Arial" w:cs="Arial" w:eastAsia="Arial" w:hAnsi="Arial"/>
          <w:sz w:val="13"/>
          <w:szCs w:val="13"/>
          <w:u w:val="single" w:color="auto"/>
          <w:color w:val="auto"/>
        </w:rPr>
        <w:t>Schedule 5.17</w:t>
      </w:r>
      <w:r>
        <w:rPr>
          <w:rFonts w:ascii="Arial" w:cs="Arial" w:eastAsia="Arial" w:hAnsi="Arial"/>
          <w:sz w:val="13"/>
          <w:szCs w:val="13"/>
          <w:color w:val="auto"/>
        </w:rPr>
        <w:t>, no claim or litigation regarding any of the foregoing is pending or, to the best knowledge of the Lead Borrower, threatened, which, either individually or in the aggregate, could reasonably be expected to have a Material Adverse Effect.</w:t>
      </w:r>
    </w:p>
    <w:p>
      <w:pPr>
        <w:spacing w:after="0" w:line="122"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3"/>
          <w:szCs w:val="13"/>
          <w:b w:val="1"/>
          <w:bCs w:val="1"/>
          <w:color w:val="auto"/>
        </w:rPr>
        <w:t>5.18</w:t>
      </w:r>
      <w:r>
        <w:rPr>
          <w:sz w:val="20"/>
          <w:szCs w:val="20"/>
          <w:color w:val="auto"/>
        </w:rPr>
        <w:tab/>
      </w:r>
      <w:r>
        <w:rPr>
          <w:rFonts w:ascii="Arial" w:cs="Arial" w:eastAsia="Arial" w:hAnsi="Arial"/>
          <w:sz w:val="12"/>
          <w:szCs w:val="12"/>
          <w:b w:val="1"/>
          <w:bCs w:val="1"/>
          <w:color w:val="auto"/>
        </w:rPr>
        <w:t>Labor Matters</w:t>
      </w:r>
      <w:r>
        <w:rPr>
          <w:rFonts w:ascii="Arial" w:cs="Arial" w:eastAsia="Arial" w:hAnsi="Arial"/>
          <w:sz w:val="12"/>
          <w:szCs w:val="12"/>
          <w:color w:val="auto"/>
        </w:rPr>
        <w:t>.</w:t>
      </w:r>
    </w:p>
    <w:p>
      <w:pPr>
        <w:spacing w:after="0" w:line="152" w:lineRule="exact"/>
        <w:rPr>
          <w:sz w:val="20"/>
          <w:szCs w:val="20"/>
          <w:color w:val="auto"/>
        </w:rPr>
      </w:pPr>
    </w:p>
    <w:p>
      <w:pPr>
        <w:jc w:val="both"/>
        <w:ind w:left="220" w:firstLine="808"/>
        <w:spacing w:after="0" w:line="248" w:lineRule="auto"/>
        <w:rPr>
          <w:sz w:val="20"/>
          <w:szCs w:val="20"/>
          <w:color w:val="auto"/>
        </w:rPr>
      </w:pPr>
      <w:r>
        <w:rPr>
          <w:rFonts w:ascii="Arial" w:cs="Arial" w:eastAsia="Arial" w:hAnsi="Arial"/>
          <w:sz w:val="13"/>
          <w:szCs w:val="13"/>
          <w:color w:val="auto"/>
        </w:rPr>
        <w:t xml:space="preserve">There are no strikes, lockouts, slowdowns or other material labor disputes against any Loan Party pending or, to the knowledge of any Loan Party, threatened. The hours worked by and payments made to employees of the Loan Parties comply with the Fair Labor Standards Act and any other applicable federal, state, local or foreign Law dealing with such matters. No Loan Party has incurred any liability or obligation under the Worker Adjustment and Retraining Act or similar state Law. All payments due from any Loan Party, or for which any claim may be made against any Loan Party, on account of wages and employee health and welfare insurance and other benefits, have been paid or properly accrued in accordance with GAAP as a liability on the books of such Loan Party. Except as set forth on </w:t>
      </w:r>
      <w:r>
        <w:rPr>
          <w:rFonts w:ascii="Arial" w:cs="Arial" w:eastAsia="Arial" w:hAnsi="Arial"/>
          <w:sz w:val="13"/>
          <w:szCs w:val="13"/>
          <w:u w:val="single" w:color="auto"/>
          <w:color w:val="auto"/>
        </w:rPr>
        <w:t>Schedule 5.18</w:t>
      </w:r>
      <w:r>
        <w:rPr>
          <w:rFonts w:ascii="Arial" w:cs="Arial" w:eastAsia="Arial" w:hAnsi="Arial"/>
          <w:sz w:val="13"/>
          <w:szCs w:val="13"/>
          <w:color w:val="auto"/>
        </w:rPr>
        <w:t xml:space="preserve"> no Loan Party is a party to or bound by any collective bargaining agreement, management agreement, employment agreement, bonus, restricted stock, stock option, or stock appreciation plan or agreement or any similar plan, agreement or arrangement. There are no representation proceedings pending or, to any Loan Party’s knowledge, threatened to be filed with the National Labor Relations Board, and no labor organization or group of employees of any Loan Party has made a pending demand for recognition. There are no complaints, unfair labor practice charges, grievances, arbitrations, unfair employment practices charges or any other claims or complaints against any Loan Party pending or, to the knowledge of any Loan Party, threatened to be filed with any Governmental Authority or arbitrator based on, arising out of, in connection with, or otherwise relating to the employment or termination of employment of any employee of any Loan Party. The consummation of the transactions contemplated by the Loan Documents will not give rise to any right of termination or right of renegotiation on the part of any union under any collective bargaining agreement to which any Loan Party is bound.</w:t>
      </w:r>
    </w:p>
    <w:p>
      <w:pPr>
        <w:spacing w:after="0" w:line="276"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4" w:right="439" w:bottom="1440" w:gutter="0" w:footer="0" w:header="0"/>
        </w:sectPr>
      </w:pPr>
    </w:p>
    <w:bookmarkStart w:id="99" w:name="page100"/>
    <w:bookmarkEnd w:id="99"/>
    <w:p>
      <w:pPr>
        <w:ind w:left="1040"/>
        <w:spacing w:after="0"/>
        <w:tabs>
          <w:tab w:leader="none" w:pos="1680" w:val="left"/>
        </w:tabs>
        <w:rPr>
          <w:sz w:val="20"/>
          <w:szCs w:val="20"/>
          <w:color w:val="auto"/>
        </w:rPr>
      </w:pPr>
      <w:r>
        <w:rPr>
          <w:rFonts w:ascii="Arial" w:cs="Arial" w:eastAsia="Arial" w:hAnsi="Arial"/>
          <w:sz w:val="13"/>
          <w:szCs w:val="13"/>
          <w:b w:val="1"/>
          <w:bCs w:val="1"/>
          <w:u w:val="single" w:color="auto"/>
          <w:color w:val="auto"/>
        </w:rPr>
        <w:t>5.19</w:t>
      </w:r>
      <w:r>
        <w:rPr>
          <w:sz w:val="20"/>
          <w:szCs w:val="20"/>
          <w:color w:val="auto"/>
        </w:rPr>
        <w:tab/>
      </w:r>
      <w:r>
        <w:rPr>
          <w:rFonts w:ascii="Arial" w:cs="Arial" w:eastAsia="Arial" w:hAnsi="Arial"/>
          <w:sz w:val="11"/>
          <w:szCs w:val="11"/>
          <w:b w:val="1"/>
          <w:bCs w:val="1"/>
          <w:color w:val="auto"/>
        </w:rPr>
        <w:t>Security Documents</w:t>
      </w:r>
      <w:r>
        <w:rPr>
          <w:rFonts w:ascii="Arial" w:cs="Arial" w:eastAsia="Arial" w:hAnsi="Arial"/>
          <w:sz w:val="11"/>
          <w:szCs w:val="11"/>
          <w:color w:val="auto"/>
        </w:rPr>
        <w:t>.</w:t>
      </w:r>
    </w:p>
    <w:p>
      <w:pPr>
        <w:spacing w:after="0" w:line="153" w:lineRule="exact"/>
        <w:rPr>
          <w:sz w:val="20"/>
          <w:szCs w:val="20"/>
          <w:color w:val="auto"/>
        </w:rPr>
      </w:pPr>
    </w:p>
    <w:p>
      <w:pPr>
        <w:jc w:val="both"/>
        <w:ind w:left="220" w:firstLine="1624"/>
        <w:spacing w:after="0" w:line="274" w:lineRule="auto"/>
        <w:tabs>
          <w:tab w:leader="none" w:pos="2412" w:val="left"/>
        </w:tabs>
        <w:numPr>
          <w:ilvl w:val="0"/>
          <w:numId w:val="128"/>
        </w:numPr>
        <w:rPr>
          <w:rFonts w:ascii="Arial" w:cs="Arial" w:eastAsia="Arial" w:hAnsi="Arial"/>
          <w:sz w:val="12"/>
          <w:szCs w:val="12"/>
          <w:color w:val="auto"/>
        </w:rPr>
      </w:pPr>
      <w:r>
        <w:rPr>
          <w:rFonts w:ascii="Arial" w:cs="Arial" w:eastAsia="Arial" w:hAnsi="Arial"/>
          <w:sz w:val="12"/>
          <w:szCs w:val="12"/>
          <w:color w:val="auto"/>
        </w:rPr>
        <w:t>The Security Agreement creates in favor of the Agent, for the benefit of the Secured Parties (as defined in the Security Agreement) referred to therein, a legal, valid, continuing and enforceable security interest in the Collateral (as defined in the Security Agreement), the enforceability of which is subject to applicable bankruptcy, insolvency, reorganization, moratorium or other laws affecting creditors’ rights generally and subject to general principles of equity, regardless of whether considered in a proceeding in equity or at law. The financing statements, releases and other filings are in appropriate form and have been or will be filed in the offices specified in Schedule II of the Security Agreement. Upon such filings and/or the obtaining of “control” (as defined in the UCC), the Agent will have a perfected Lien on, and security interest in, to and under all right, title and interest of the grantors thereunder in all Collateral that may be perfected under the UCC (in effect on the date this representation is made) by filing, recording or registering a financing statement or analogous document (including without limitation the proceeds of such Collateral subject to the limitations relating to such proceeds in the UCC) or by obtaining control, in each case prior and superior in right to any other Person.</w:t>
      </w:r>
    </w:p>
    <w:p>
      <w:pPr>
        <w:spacing w:after="0" w:line="113" w:lineRule="exact"/>
        <w:rPr>
          <w:rFonts w:ascii="Arial" w:cs="Arial" w:eastAsia="Arial" w:hAnsi="Arial"/>
          <w:sz w:val="12"/>
          <w:szCs w:val="12"/>
          <w:color w:val="auto"/>
        </w:rPr>
      </w:pPr>
    </w:p>
    <w:p>
      <w:pPr>
        <w:jc w:val="both"/>
        <w:ind w:left="220" w:firstLine="1624"/>
        <w:spacing w:after="0" w:line="278" w:lineRule="auto"/>
        <w:tabs>
          <w:tab w:leader="none" w:pos="2419" w:val="left"/>
        </w:tabs>
        <w:numPr>
          <w:ilvl w:val="0"/>
          <w:numId w:val="128"/>
        </w:numPr>
        <w:rPr>
          <w:rFonts w:ascii="Arial" w:cs="Arial" w:eastAsia="Arial" w:hAnsi="Arial"/>
          <w:sz w:val="12"/>
          <w:szCs w:val="12"/>
          <w:color w:val="auto"/>
        </w:rPr>
      </w:pPr>
      <w:r>
        <w:rPr>
          <w:rFonts w:ascii="Arial" w:cs="Arial" w:eastAsia="Arial" w:hAnsi="Arial"/>
          <w:sz w:val="12"/>
          <w:szCs w:val="12"/>
          <w:color w:val="auto"/>
        </w:rPr>
        <w:t>When the Security Agreement (or a short form thereof) is filed in the United States Copyright Office and when financing statements, releases and other filings in appropriate form are filed in the offices specified on Schedule II of the Security Agreement, the Agent shall have a fully perfected Lien on, and security interest in, all right, title and interest of the applicable Loan Parties in copyrights and related assets constituting Intellectual Property Collateral (as defined in the Security Agreement) in which a security interest may be perfected by filing, recording or registering a security agreement, financing statement or analogous document in the United States Copyright Office, as applicable, in each case prior and superior in right to any other Person (it being understood that subsequent recordings in the United States Copyright Office may be necessary to perfect a Lien on copyrights acquired by the Loan Parties after the Closing Date).</w:t>
      </w:r>
    </w:p>
    <w:p>
      <w:pPr>
        <w:spacing w:after="0" w:line="107"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3"/>
          <w:szCs w:val="13"/>
          <w:b w:val="1"/>
          <w:bCs w:val="1"/>
          <w:u w:val="single" w:color="auto"/>
          <w:color w:val="auto"/>
        </w:rPr>
        <w:t>5.20</w:t>
      </w:r>
      <w:r>
        <w:rPr>
          <w:sz w:val="20"/>
          <w:szCs w:val="20"/>
          <w:color w:val="auto"/>
        </w:rPr>
        <w:tab/>
      </w:r>
      <w:r>
        <w:rPr>
          <w:rFonts w:ascii="Arial" w:cs="Arial" w:eastAsia="Arial" w:hAnsi="Arial"/>
          <w:sz w:val="11"/>
          <w:szCs w:val="11"/>
          <w:b w:val="1"/>
          <w:bCs w:val="1"/>
          <w:color w:val="auto"/>
        </w:rPr>
        <w:t>Solvency</w:t>
      </w:r>
    </w:p>
    <w:p>
      <w:pPr>
        <w:spacing w:after="0" w:line="152" w:lineRule="exact"/>
        <w:rPr>
          <w:sz w:val="20"/>
          <w:szCs w:val="20"/>
          <w:color w:val="auto"/>
        </w:rPr>
      </w:pPr>
    </w:p>
    <w:p>
      <w:pPr>
        <w:jc w:val="both"/>
        <w:ind w:left="220" w:firstLine="808"/>
        <w:spacing w:after="0" w:line="258" w:lineRule="auto"/>
        <w:rPr>
          <w:sz w:val="20"/>
          <w:szCs w:val="20"/>
          <w:color w:val="auto"/>
        </w:rPr>
      </w:pPr>
      <w:r>
        <w:rPr>
          <w:rFonts w:ascii="Arial" w:cs="Arial" w:eastAsia="Arial" w:hAnsi="Arial"/>
          <w:sz w:val="13"/>
          <w:szCs w:val="13"/>
          <w:color w:val="auto"/>
        </w:rPr>
        <w:t>After giving effect to the transactions contemplated by this Agreement, and before and after giving effect to each Credit Extension, the Loan Parties, on a Consolidated basis, are and will be Solvent. No transfer of property has been or will be made by any Loan Party and no obligation has been or will be incurred by any Loan Party in connection with the transactions contemplated by this Agreement or the other Loan Documents with the intent to hinder, delay, or defraud either present or future creditors of any Loan Party.</w:t>
      </w:r>
    </w:p>
    <w:p>
      <w:pPr>
        <w:spacing w:after="0" w:line="117"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3"/>
          <w:szCs w:val="13"/>
          <w:b w:val="1"/>
          <w:bCs w:val="1"/>
          <w:u w:val="single" w:color="auto"/>
          <w:color w:val="auto"/>
        </w:rPr>
        <w:t>5.21</w:t>
      </w:r>
      <w:r>
        <w:rPr>
          <w:sz w:val="20"/>
          <w:szCs w:val="20"/>
          <w:color w:val="auto"/>
        </w:rPr>
        <w:tab/>
      </w:r>
      <w:r>
        <w:rPr>
          <w:rFonts w:ascii="Arial" w:cs="Arial" w:eastAsia="Arial" w:hAnsi="Arial"/>
          <w:sz w:val="11"/>
          <w:szCs w:val="11"/>
          <w:b w:val="1"/>
          <w:bCs w:val="1"/>
          <w:color w:val="auto"/>
        </w:rPr>
        <w:t>Deposit Accounts; Credit Card Arrangements</w:t>
      </w:r>
      <w:r>
        <w:rPr>
          <w:rFonts w:ascii="Arial" w:cs="Arial" w:eastAsia="Arial" w:hAnsi="Arial"/>
          <w:sz w:val="11"/>
          <w:szCs w:val="11"/>
          <w:color w:val="auto"/>
        </w:rPr>
        <w:t>.</w:t>
      </w:r>
    </w:p>
    <w:p>
      <w:pPr>
        <w:spacing w:after="0" w:line="152" w:lineRule="exact"/>
        <w:rPr>
          <w:sz w:val="20"/>
          <w:szCs w:val="20"/>
          <w:color w:val="auto"/>
        </w:rPr>
      </w:pPr>
    </w:p>
    <w:p>
      <w:pPr>
        <w:ind w:left="220" w:firstLine="1623"/>
        <w:spacing w:after="0" w:line="314" w:lineRule="auto"/>
        <w:tabs>
          <w:tab w:leader="none" w:pos="2411" w:val="left"/>
        </w:tabs>
        <w:numPr>
          <w:ilvl w:val="0"/>
          <w:numId w:val="129"/>
        </w:numPr>
        <w:rPr>
          <w:rFonts w:ascii="Arial" w:cs="Arial" w:eastAsia="Arial" w:hAnsi="Arial"/>
          <w:sz w:val="12"/>
          <w:szCs w:val="12"/>
          <w:color w:val="auto"/>
        </w:rPr>
      </w:pPr>
      <w:r>
        <w:rPr>
          <w:rFonts w:ascii="Arial" w:cs="Arial" w:eastAsia="Arial" w:hAnsi="Arial"/>
          <w:sz w:val="12"/>
          <w:szCs w:val="12"/>
          <w:color w:val="auto"/>
        </w:rPr>
        <w:t xml:space="preserve">Annexed hereto as </w:t>
      </w:r>
      <w:r>
        <w:rPr>
          <w:rFonts w:ascii="Arial" w:cs="Arial" w:eastAsia="Arial" w:hAnsi="Arial"/>
          <w:sz w:val="12"/>
          <w:szCs w:val="12"/>
          <w:u w:val="single" w:color="auto"/>
          <w:color w:val="auto"/>
        </w:rPr>
        <w:t>Schedule 5.21(a)</w:t>
      </w:r>
      <w:r>
        <w:rPr>
          <w:rFonts w:ascii="Arial" w:cs="Arial" w:eastAsia="Arial" w:hAnsi="Arial"/>
          <w:sz w:val="12"/>
          <w:szCs w:val="12"/>
          <w:color w:val="auto"/>
        </w:rPr>
        <w:t xml:space="preserve"> is a list of all DDAs maintained by the Loan Parties as of the Closing Date, which Schedule includes, with respect to each DDA (i) the name and address of the depository; (ii) the account number(s) maintained with such depository; (iii) a contact person at such depository, and (iv) the identification of each Controlled Account Bank.</w:t>
      </w:r>
    </w:p>
    <w:p>
      <w:pPr>
        <w:spacing w:after="0" w:line="89" w:lineRule="exact"/>
        <w:rPr>
          <w:rFonts w:ascii="Arial" w:cs="Arial" w:eastAsia="Arial" w:hAnsi="Arial"/>
          <w:sz w:val="12"/>
          <w:szCs w:val="12"/>
          <w:color w:val="auto"/>
        </w:rPr>
      </w:pPr>
    </w:p>
    <w:p>
      <w:pPr>
        <w:ind w:left="220" w:firstLine="1623"/>
        <w:spacing w:after="0" w:line="271" w:lineRule="auto"/>
        <w:tabs>
          <w:tab w:leader="none" w:pos="2418" w:val="left"/>
        </w:tabs>
        <w:numPr>
          <w:ilvl w:val="0"/>
          <w:numId w:val="129"/>
        </w:numPr>
        <w:rPr>
          <w:rFonts w:ascii="Arial" w:cs="Arial" w:eastAsia="Arial" w:hAnsi="Arial"/>
          <w:sz w:val="13"/>
          <w:szCs w:val="13"/>
          <w:color w:val="auto"/>
        </w:rPr>
      </w:pPr>
      <w:r>
        <w:rPr>
          <w:rFonts w:ascii="Arial" w:cs="Arial" w:eastAsia="Arial" w:hAnsi="Arial"/>
          <w:sz w:val="13"/>
          <w:szCs w:val="13"/>
          <w:color w:val="auto"/>
        </w:rPr>
        <w:t xml:space="preserve">Annexed hereto as </w:t>
      </w:r>
      <w:r>
        <w:rPr>
          <w:rFonts w:ascii="Arial" w:cs="Arial" w:eastAsia="Arial" w:hAnsi="Arial"/>
          <w:sz w:val="13"/>
          <w:szCs w:val="13"/>
          <w:u w:val="single" w:color="auto"/>
          <w:color w:val="auto"/>
        </w:rPr>
        <w:t>Schedule 5.21(b)</w:t>
      </w:r>
      <w:r>
        <w:rPr>
          <w:rFonts w:ascii="Arial" w:cs="Arial" w:eastAsia="Arial" w:hAnsi="Arial"/>
          <w:sz w:val="13"/>
          <w:szCs w:val="13"/>
          <w:color w:val="auto"/>
        </w:rPr>
        <w:t xml:space="preserve"> is a list describing all arrangements as of the Closing Date to which any Loan Party is a party with respect to the processing and/or payment to such Loan Party of the proceeds of any credit card charges and debit card charges for sales made by such Loan Party.</w:t>
      </w:r>
    </w:p>
    <w:p>
      <w:pPr>
        <w:spacing w:after="0" w:line="109" w:lineRule="exact"/>
        <w:rPr>
          <w:sz w:val="20"/>
          <w:szCs w:val="20"/>
          <w:color w:val="auto"/>
        </w:rPr>
      </w:pPr>
    </w:p>
    <w:p>
      <w:pPr>
        <w:ind w:left="220" w:firstLine="808"/>
        <w:spacing w:after="0" w:line="278" w:lineRule="auto"/>
        <w:rPr>
          <w:sz w:val="20"/>
          <w:szCs w:val="20"/>
          <w:color w:val="auto"/>
        </w:rPr>
      </w:pPr>
      <w:r>
        <w:rPr>
          <w:rFonts w:ascii="Arial" w:cs="Arial" w:eastAsia="Arial" w:hAnsi="Arial"/>
          <w:sz w:val="13"/>
          <w:szCs w:val="13"/>
          <w:b w:val="1"/>
          <w:bCs w:val="1"/>
          <w:u w:val="single" w:color="auto"/>
          <w:color w:val="auto"/>
        </w:rPr>
        <w:t>5.22</w:t>
      </w:r>
      <w:r>
        <w:rPr>
          <w:rFonts w:ascii="Arial" w:cs="Arial" w:eastAsia="Arial" w:hAnsi="Arial"/>
          <w:sz w:val="13"/>
          <w:szCs w:val="13"/>
          <w:b w:val="1"/>
          <w:bCs w:val="1"/>
          <w:color w:val="auto"/>
        </w:rPr>
        <w:t xml:space="preserve"> Brokers</w:t>
      </w:r>
      <w:r>
        <w:rPr>
          <w:rFonts w:ascii="Arial" w:cs="Arial" w:eastAsia="Arial" w:hAnsi="Arial"/>
          <w:sz w:val="13"/>
          <w:szCs w:val="13"/>
          <w:color w:val="auto"/>
        </w:rPr>
        <w:t>. No broker or finder brought about the obtaining, making or closing of the Loans or transactions contemplated by the Loan Documents, and no Loan Party or Affiliate</w:t>
      </w:r>
      <w:r>
        <w:rPr>
          <w:rFonts w:ascii="Arial" w:cs="Arial" w:eastAsia="Arial" w:hAnsi="Arial"/>
          <w:sz w:val="13"/>
          <w:szCs w:val="13"/>
          <w:b w:val="1"/>
          <w:bCs w:val="1"/>
          <w:color w:val="auto"/>
        </w:rPr>
        <w:t xml:space="preserve"> </w:t>
      </w:r>
      <w:r>
        <w:rPr>
          <w:rFonts w:ascii="Arial" w:cs="Arial" w:eastAsia="Arial" w:hAnsi="Arial"/>
          <w:sz w:val="13"/>
          <w:szCs w:val="13"/>
          <w:color w:val="auto"/>
        </w:rPr>
        <w:t>thereof has any obligation to any Person in respect of any finder’s or brokerage fees in connection therewith.</w:t>
      </w:r>
    </w:p>
    <w:p>
      <w:pPr>
        <w:spacing w:after="0" w:line="255"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4" w:right="439" w:bottom="1440" w:gutter="0" w:footer="0" w:header="0"/>
        </w:sectPr>
      </w:pPr>
    </w:p>
    <w:bookmarkStart w:id="100" w:name="page101"/>
    <w:bookmarkEnd w:id="100"/>
    <w:p>
      <w:pPr>
        <w:jc w:val="both"/>
        <w:ind w:left="220" w:firstLine="808"/>
        <w:spacing w:after="0" w:line="280" w:lineRule="auto"/>
        <w:rPr>
          <w:sz w:val="20"/>
          <w:szCs w:val="20"/>
          <w:color w:val="auto"/>
        </w:rPr>
      </w:pPr>
      <w:r>
        <w:rPr>
          <w:rFonts w:ascii="Arial" w:cs="Arial" w:eastAsia="Arial" w:hAnsi="Arial"/>
          <w:sz w:val="13"/>
          <w:szCs w:val="13"/>
          <w:b w:val="1"/>
          <w:bCs w:val="1"/>
          <w:u w:val="single" w:color="auto"/>
          <w:color w:val="auto"/>
        </w:rPr>
        <w:t>5.23</w:t>
      </w:r>
      <w:r>
        <w:rPr>
          <w:rFonts w:ascii="Arial" w:cs="Arial" w:eastAsia="Arial" w:hAnsi="Arial"/>
          <w:sz w:val="13"/>
          <w:szCs w:val="13"/>
          <w:b w:val="1"/>
          <w:bCs w:val="1"/>
          <w:color w:val="auto"/>
        </w:rPr>
        <w:t xml:space="preserve"> Customer and Trade Relations</w:t>
      </w:r>
      <w:r>
        <w:rPr>
          <w:rFonts w:ascii="Arial" w:cs="Arial" w:eastAsia="Arial" w:hAnsi="Arial"/>
          <w:sz w:val="13"/>
          <w:szCs w:val="13"/>
          <w:color w:val="auto"/>
        </w:rPr>
        <w:t>. There exists no actual or, to the knowledge of any Loan Party, threatened, termination or cancellation of, or any material adverse modification or</w:t>
      </w:r>
      <w:r>
        <w:rPr>
          <w:rFonts w:ascii="Arial" w:cs="Arial" w:eastAsia="Arial" w:hAnsi="Arial"/>
          <w:sz w:val="13"/>
          <w:szCs w:val="13"/>
          <w:b w:val="1"/>
          <w:bCs w:val="1"/>
          <w:color w:val="auto"/>
        </w:rPr>
        <w:t xml:space="preserve"> </w:t>
      </w:r>
      <w:r>
        <w:rPr>
          <w:rFonts w:ascii="Arial" w:cs="Arial" w:eastAsia="Arial" w:hAnsi="Arial"/>
          <w:sz w:val="13"/>
          <w:szCs w:val="13"/>
          <w:color w:val="auto"/>
        </w:rPr>
        <w:t>change in the business relationship of any Loan Party with any supplier material to its operations.</w:t>
      </w:r>
    </w:p>
    <w:p>
      <w:pPr>
        <w:spacing w:after="0" w:line="103" w:lineRule="exact"/>
        <w:rPr>
          <w:sz w:val="20"/>
          <w:szCs w:val="20"/>
          <w:color w:val="auto"/>
        </w:rPr>
      </w:pPr>
    </w:p>
    <w:p>
      <w:pPr>
        <w:jc w:val="both"/>
        <w:ind w:left="220" w:firstLine="808"/>
        <w:spacing w:after="0" w:line="261" w:lineRule="auto"/>
        <w:rPr>
          <w:sz w:val="20"/>
          <w:szCs w:val="20"/>
          <w:color w:val="auto"/>
        </w:rPr>
      </w:pPr>
      <w:r>
        <w:rPr>
          <w:rFonts w:ascii="Arial" w:cs="Arial" w:eastAsia="Arial" w:hAnsi="Arial"/>
          <w:sz w:val="13"/>
          <w:szCs w:val="13"/>
          <w:b w:val="1"/>
          <w:bCs w:val="1"/>
          <w:u w:val="single" w:color="auto"/>
          <w:color w:val="auto"/>
        </w:rPr>
        <w:t>5.24</w:t>
      </w:r>
      <w:r>
        <w:rPr>
          <w:rFonts w:ascii="Arial" w:cs="Arial" w:eastAsia="Arial" w:hAnsi="Arial"/>
          <w:sz w:val="13"/>
          <w:szCs w:val="13"/>
          <w:b w:val="1"/>
          <w:bCs w:val="1"/>
          <w:color w:val="auto"/>
        </w:rPr>
        <w:t xml:space="preserve"> Material Contracts</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Schedule 5.24</w:t>
      </w:r>
      <w:r>
        <w:rPr>
          <w:rFonts w:ascii="Arial" w:cs="Arial" w:eastAsia="Arial" w:hAnsi="Arial"/>
          <w:sz w:val="13"/>
          <w:szCs w:val="13"/>
          <w:b w:val="1"/>
          <w:bCs w:val="1"/>
          <w:color w:val="auto"/>
        </w:rPr>
        <w:t xml:space="preserve"> </w:t>
      </w:r>
      <w:r>
        <w:rPr>
          <w:rFonts w:ascii="Arial" w:cs="Arial" w:eastAsia="Arial" w:hAnsi="Arial"/>
          <w:sz w:val="13"/>
          <w:szCs w:val="13"/>
          <w:color w:val="auto"/>
        </w:rPr>
        <w:t>sets forth all Material Contracts to which any Loan Party is a party or is bound as of the Closing Date. The Loan Parties have delivered true,</w:t>
      </w:r>
      <w:r>
        <w:rPr>
          <w:rFonts w:ascii="Arial" w:cs="Arial" w:eastAsia="Arial" w:hAnsi="Arial"/>
          <w:sz w:val="13"/>
          <w:szCs w:val="13"/>
          <w:b w:val="1"/>
          <w:bCs w:val="1"/>
          <w:color w:val="auto"/>
        </w:rPr>
        <w:t xml:space="preserve"> </w:t>
      </w:r>
      <w:r>
        <w:rPr>
          <w:rFonts w:ascii="Arial" w:cs="Arial" w:eastAsia="Arial" w:hAnsi="Arial"/>
          <w:sz w:val="13"/>
          <w:szCs w:val="13"/>
          <w:color w:val="auto"/>
        </w:rPr>
        <w:t>correct and complete copies of such Material Contracts to the Agent on or before the Closing Date. The Loan Parties are not in breach or in default in any material respect of or under any Material Contract and have not received any notice of default under, or of the intention of any other party thereto to terminate, any Material Contract.</w:t>
      </w:r>
    </w:p>
    <w:p>
      <w:pPr>
        <w:spacing w:after="0" w:line="116" w:lineRule="exact"/>
        <w:rPr>
          <w:sz w:val="20"/>
          <w:szCs w:val="20"/>
          <w:color w:val="auto"/>
        </w:rPr>
      </w:pPr>
    </w:p>
    <w:p>
      <w:pPr>
        <w:jc w:val="both"/>
        <w:ind w:left="220" w:firstLine="808"/>
        <w:spacing w:after="0" w:line="261" w:lineRule="auto"/>
        <w:rPr>
          <w:sz w:val="20"/>
          <w:szCs w:val="20"/>
          <w:color w:val="auto"/>
        </w:rPr>
      </w:pPr>
      <w:r>
        <w:rPr>
          <w:rFonts w:ascii="Arial" w:cs="Arial" w:eastAsia="Arial" w:hAnsi="Arial"/>
          <w:sz w:val="13"/>
          <w:szCs w:val="13"/>
          <w:b w:val="1"/>
          <w:bCs w:val="1"/>
          <w:u w:val="single" w:color="auto"/>
          <w:color w:val="auto"/>
        </w:rPr>
        <w:t>5.25</w:t>
      </w:r>
      <w:r>
        <w:rPr>
          <w:rFonts w:ascii="Arial" w:cs="Arial" w:eastAsia="Arial" w:hAnsi="Arial"/>
          <w:sz w:val="13"/>
          <w:szCs w:val="13"/>
          <w:b w:val="1"/>
          <w:bCs w:val="1"/>
          <w:color w:val="auto"/>
        </w:rPr>
        <w:t xml:space="preserve"> Casualty</w:t>
      </w:r>
      <w:r>
        <w:rPr>
          <w:rFonts w:ascii="Arial" w:cs="Arial" w:eastAsia="Arial" w:hAnsi="Arial"/>
          <w:sz w:val="13"/>
          <w:szCs w:val="13"/>
          <w:color w:val="auto"/>
        </w:rPr>
        <w:t>. Neither the businesses nor the properties of any Loan Party or any of its Subsidiaries are affected by any fire, explosion, accident, strike, lockout or other labor dispute,</w:t>
      </w:r>
      <w:r>
        <w:rPr>
          <w:rFonts w:ascii="Arial" w:cs="Arial" w:eastAsia="Arial" w:hAnsi="Arial"/>
          <w:sz w:val="13"/>
          <w:szCs w:val="13"/>
          <w:b w:val="1"/>
          <w:bCs w:val="1"/>
          <w:color w:val="auto"/>
        </w:rPr>
        <w:t xml:space="preserve"> </w:t>
      </w:r>
      <w:r>
        <w:rPr>
          <w:rFonts w:ascii="Arial" w:cs="Arial" w:eastAsia="Arial" w:hAnsi="Arial"/>
          <w:sz w:val="13"/>
          <w:szCs w:val="13"/>
          <w:color w:val="auto"/>
        </w:rPr>
        <w:t>drought, storm, hail, earthquake, embargo, act of God or of the public enemy or other casualty (whether or not covered by insurance) that, either individually or in the aggregate, could reasonably be expected to have a Material Adverse Effect.</w:t>
      </w:r>
    </w:p>
    <w:p>
      <w:pPr>
        <w:spacing w:after="0" w:line="116"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3"/>
          <w:szCs w:val="13"/>
          <w:b w:val="1"/>
          <w:bCs w:val="1"/>
          <w:u w:val="single" w:color="auto"/>
          <w:color w:val="auto"/>
        </w:rPr>
        <w:t>5.26</w:t>
      </w:r>
      <w:r>
        <w:rPr>
          <w:sz w:val="20"/>
          <w:szCs w:val="20"/>
          <w:color w:val="auto"/>
        </w:rPr>
        <w:tab/>
      </w:r>
      <w:r>
        <w:rPr>
          <w:rFonts w:ascii="Arial" w:cs="Arial" w:eastAsia="Arial" w:hAnsi="Arial"/>
          <w:sz w:val="12"/>
          <w:szCs w:val="12"/>
          <w:b w:val="1"/>
          <w:bCs w:val="1"/>
          <w:color w:val="auto"/>
        </w:rPr>
        <w:t>EEA Financial Institution.</w:t>
      </w:r>
    </w:p>
    <w:p>
      <w:pPr>
        <w:spacing w:after="0" w:line="15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 of the Loan Parties is an EEA Financial Institution.</w:t>
      </w:r>
    </w:p>
    <w:p>
      <w:pPr>
        <w:spacing w:after="0" w:line="144"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3"/>
          <w:szCs w:val="13"/>
          <w:b w:val="1"/>
          <w:bCs w:val="1"/>
          <w:u w:val="single" w:color="auto"/>
          <w:color w:val="auto"/>
        </w:rPr>
        <w:t>5.27</w:t>
      </w:r>
      <w:r>
        <w:rPr>
          <w:sz w:val="20"/>
          <w:szCs w:val="20"/>
          <w:color w:val="auto"/>
        </w:rPr>
        <w:tab/>
      </w:r>
      <w:r>
        <w:rPr>
          <w:rFonts w:ascii="Arial" w:cs="Arial" w:eastAsia="Arial" w:hAnsi="Arial"/>
          <w:sz w:val="11"/>
          <w:szCs w:val="11"/>
          <w:b w:val="1"/>
          <w:bCs w:val="1"/>
          <w:color w:val="auto"/>
        </w:rPr>
        <w:t>OFAC; Sanctions.</w:t>
      </w:r>
    </w:p>
    <w:p>
      <w:pPr>
        <w:spacing w:after="0" w:line="152" w:lineRule="exact"/>
        <w:rPr>
          <w:sz w:val="20"/>
          <w:szCs w:val="20"/>
          <w:color w:val="auto"/>
        </w:rPr>
      </w:pPr>
    </w:p>
    <w:p>
      <w:pPr>
        <w:jc w:val="both"/>
        <w:ind w:left="220" w:firstLine="807"/>
        <w:spacing w:after="0" w:line="273" w:lineRule="auto"/>
        <w:rPr>
          <w:sz w:val="20"/>
          <w:szCs w:val="20"/>
          <w:color w:val="auto"/>
        </w:rPr>
      </w:pPr>
      <w:r>
        <w:rPr>
          <w:rFonts w:ascii="Arial" w:cs="Arial" w:eastAsia="Arial" w:hAnsi="Arial"/>
          <w:sz w:val="12"/>
          <w:szCs w:val="12"/>
          <w:color w:val="auto"/>
        </w:rPr>
        <w:t>No Loan Party nor any of its Subsidiaries is in violation of any Sanctions</w:t>
      </w:r>
      <w:r>
        <w:rPr>
          <w:rFonts w:ascii="Arial" w:cs="Arial" w:eastAsia="Arial" w:hAnsi="Arial"/>
          <w:sz w:val="12"/>
          <w:szCs w:val="12"/>
          <w:i w:val="1"/>
          <w:iCs w:val="1"/>
          <w:color w:val="auto"/>
        </w:rPr>
        <w:t>.</w:t>
      </w:r>
      <w:r>
        <w:rPr>
          <w:rFonts w:ascii="Arial" w:cs="Arial" w:eastAsia="Arial" w:hAnsi="Arial"/>
          <w:sz w:val="12"/>
          <w:szCs w:val="12"/>
          <w:color w:val="auto"/>
        </w:rPr>
        <w:t xml:space="preserve"> No Loan Party nor any of its Subsidiaries nor, to the knowledge of such Loan Party, any director, officer, employee, agent or Affiliate of such Loan Party or such Subsidiary (a) is a Sanctioned Person or a Sanctioned Entity, (b) has any assets located in Sanctioned Entities, or (c) derives revenues from investments in, or transactions with Sanctioned Persons or Sanctioned Entities. Each of the Loan Parties and its Subsidiaries has implemented and maintains in effect policies and procedures designed to ensure compliance by the Loan Parties and their Subsidiaries and their respective directors, officers, employees, agents and Affiliates with all Sanctions, Anti-Corruption Laws and Anti-Money Laundering Laws. Each of the Loan Parties and its Subsidiaries, and to the knowledge of each such Loan Party, each director, officer, employee, agent and Affiliate of each such Loan Party and each such Subsidiary, is in compliance with all Sanctions, Anti-Corruption Laws and Anti-Money Laundering Laws in all material respects. No proceeds of any loan made or Letter of Credit issued hereunder will be used to fund any operations in, finance any investments or activities in, or make any payments to, a Sanctioned Person or a Sanctioned Entity, or otherwise used in any manner that would result in a violation of any applicable Sanctions, Anti-Corruption Laws or Anti-Money Laundering Laws by any Person (including any Credit Party or other individual or entity participating in any transaction).</w:t>
      </w:r>
    </w:p>
    <w:p>
      <w:pPr>
        <w:spacing w:after="0" w:line="109"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3"/>
          <w:szCs w:val="13"/>
          <w:b w:val="1"/>
          <w:bCs w:val="1"/>
          <w:u w:val="single" w:color="auto"/>
          <w:color w:val="auto"/>
        </w:rPr>
        <w:t>5.28</w:t>
      </w:r>
      <w:r>
        <w:rPr>
          <w:sz w:val="20"/>
          <w:szCs w:val="20"/>
          <w:color w:val="auto"/>
        </w:rPr>
        <w:tab/>
      </w:r>
      <w:r>
        <w:rPr>
          <w:rFonts w:ascii="Arial" w:cs="Arial" w:eastAsia="Arial" w:hAnsi="Arial"/>
          <w:sz w:val="12"/>
          <w:szCs w:val="12"/>
          <w:b w:val="1"/>
          <w:bCs w:val="1"/>
          <w:color w:val="auto"/>
        </w:rPr>
        <w:t>Beneficial Ownership Certification.</w:t>
      </w:r>
    </w:p>
    <w:p>
      <w:pPr>
        <w:spacing w:after="0" w:line="152"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As of the Closing Date, the information included in the Beneficial Ownership Certification is true and correct in all respects.</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3"/>
          <w:szCs w:val="13"/>
          <w:b w:val="1"/>
          <w:bCs w:val="1"/>
          <w:color w:val="auto"/>
        </w:rPr>
        <w:t>ARTICLE VI</w:t>
      </w:r>
    </w:p>
    <w:p>
      <w:pPr>
        <w:spacing w:after="0" w:line="18" w:lineRule="exact"/>
        <w:rPr>
          <w:sz w:val="20"/>
          <w:szCs w:val="20"/>
          <w:color w:val="auto"/>
        </w:rPr>
      </w:pPr>
    </w:p>
    <w:p>
      <w:pPr>
        <w:jc w:val="center"/>
        <w:ind w:right="-199"/>
        <w:spacing w:after="0"/>
        <w:rPr>
          <w:sz w:val="20"/>
          <w:szCs w:val="20"/>
          <w:color w:val="auto"/>
        </w:rPr>
      </w:pPr>
      <w:r>
        <w:rPr>
          <w:rFonts w:ascii="Arial" w:cs="Arial" w:eastAsia="Arial" w:hAnsi="Arial"/>
          <w:sz w:val="13"/>
          <w:szCs w:val="13"/>
          <w:b w:val="1"/>
          <w:bCs w:val="1"/>
          <w:color w:val="auto"/>
        </w:rPr>
        <w:t>AFFIRMATIVE COVENANTS</w:t>
      </w:r>
    </w:p>
    <w:p>
      <w:pPr>
        <w:spacing w:after="0" w:line="138"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So long as any Lender shall have any Commitment hereunder, any Loan or other Obligation hereunder shall remain unpaid or unsatisfied (other than contingent indemnification claims for which a claim has not been asserted), or any Letter of Credit shall remain outstanding, the Loan Parties shall, and</w:t>
      </w:r>
    </w:p>
    <w:p>
      <w:pPr>
        <w:spacing w:after="0" w:line="260"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4" w:right="439" w:bottom="1440" w:gutter="0" w:footer="0" w:header="0"/>
        </w:sectPr>
      </w:pPr>
    </w:p>
    <w:bookmarkStart w:id="101" w:name="page102"/>
    <w:bookmarkEnd w:id="101"/>
    <w:p>
      <w:pPr>
        <w:ind w:left="220"/>
        <w:spacing w:after="0"/>
        <w:rPr>
          <w:sz w:val="20"/>
          <w:szCs w:val="20"/>
          <w:color w:val="auto"/>
        </w:rPr>
      </w:pPr>
      <w:r>
        <w:rPr>
          <w:rFonts w:ascii="Arial" w:cs="Arial" w:eastAsia="Arial" w:hAnsi="Arial"/>
          <w:sz w:val="13"/>
          <w:szCs w:val="13"/>
          <w:color w:val="auto"/>
        </w:rPr>
        <w:t xml:space="preserve">shall (except in the case of the covenants set forth in </w:t>
      </w:r>
      <w:r>
        <w:rPr>
          <w:rFonts w:ascii="Arial" w:cs="Arial" w:eastAsia="Arial" w:hAnsi="Arial"/>
          <w:sz w:val="13"/>
          <w:szCs w:val="13"/>
          <w:u w:val="single" w:color="auto"/>
          <w:color w:val="auto"/>
        </w:rPr>
        <w:t>Sections 6.01</w:t>
      </w:r>
      <w:r>
        <w:rPr>
          <w:rFonts w:ascii="Arial" w:cs="Arial" w:eastAsia="Arial" w:hAnsi="Arial"/>
          <w:sz w:val="13"/>
          <w:szCs w:val="13"/>
          <w:color w:val="auto"/>
        </w:rPr>
        <w:t xml:space="preserve">, </w:t>
      </w:r>
      <w:r>
        <w:rPr>
          <w:rFonts w:ascii="Arial" w:cs="Arial" w:eastAsia="Arial" w:hAnsi="Arial"/>
          <w:sz w:val="13"/>
          <w:szCs w:val="13"/>
          <w:u w:val="single" w:color="auto"/>
          <w:color w:val="auto"/>
        </w:rPr>
        <w:t>6.02</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6.03</w:t>
      </w:r>
      <w:r>
        <w:rPr>
          <w:rFonts w:ascii="Arial" w:cs="Arial" w:eastAsia="Arial" w:hAnsi="Arial"/>
          <w:sz w:val="13"/>
          <w:szCs w:val="13"/>
          <w:color w:val="auto"/>
        </w:rPr>
        <w:t>) cause each Subsidiary to:</w:t>
      </w:r>
    </w:p>
    <w:p>
      <w:pPr>
        <w:spacing w:after="0" w:line="145"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3"/>
          <w:szCs w:val="13"/>
          <w:b w:val="1"/>
          <w:bCs w:val="1"/>
          <w:color w:val="auto"/>
        </w:rPr>
        <w:t>6.01</w:t>
      </w:r>
      <w:r>
        <w:rPr>
          <w:sz w:val="20"/>
          <w:szCs w:val="20"/>
          <w:color w:val="auto"/>
        </w:rPr>
        <w:tab/>
      </w:r>
      <w:r>
        <w:rPr>
          <w:rFonts w:ascii="Arial" w:cs="Arial" w:eastAsia="Arial" w:hAnsi="Arial"/>
          <w:sz w:val="12"/>
          <w:szCs w:val="12"/>
          <w:b w:val="1"/>
          <w:bCs w:val="1"/>
          <w:color w:val="auto"/>
        </w:rPr>
        <w:t>Financial Statements</w:t>
      </w:r>
      <w:r>
        <w:rPr>
          <w:rFonts w:ascii="Arial" w:cs="Arial" w:eastAsia="Arial" w:hAnsi="Arial"/>
          <w:sz w:val="12"/>
          <w:szCs w:val="12"/>
          <w:color w:val="auto"/>
        </w:rPr>
        <w:t>. Deliver to the Agent, in form and detail satisfactory to the Agent:</w:t>
      </w:r>
    </w:p>
    <w:p>
      <w:pPr>
        <w:spacing w:after="0" w:line="152" w:lineRule="exact"/>
        <w:rPr>
          <w:sz w:val="20"/>
          <w:szCs w:val="20"/>
          <w:color w:val="auto"/>
        </w:rPr>
      </w:pPr>
    </w:p>
    <w:p>
      <w:pPr>
        <w:jc w:val="both"/>
        <w:ind w:left="1080" w:firstLine="738"/>
        <w:spacing w:after="0" w:line="274" w:lineRule="auto"/>
        <w:tabs>
          <w:tab w:leader="none" w:pos="2403" w:val="left"/>
        </w:tabs>
        <w:numPr>
          <w:ilvl w:val="0"/>
          <w:numId w:val="130"/>
        </w:numPr>
        <w:rPr>
          <w:rFonts w:ascii="Arial" w:cs="Arial" w:eastAsia="Arial" w:hAnsi="Arial"/>
          <w:sz w:val="12"/>
          <w:szCs w:val="12"/>
          <w:color w:val="auto"/>
        </w:rPr>
      </w:pPr>
      <w:r>
        <w:rPr>
          <w:rFonts w:ascii="Arial" w:cs="Arial" w:eastAsia="Arial" w:hAnsi="Arial"/>
          <w:sz w:val="12"/>
          <w:szCs w:val="12"/>
          <w:color w:val="auto"/>
        </w:rPr>
        <w:t>as soon as available, but in any event within ninety-five (95) days after the end of each Fiscal Year of the Lead Borrower, a Consolidated and consolidating balance sheet of the Lead Borrower and its Subsidiaries as at the end of such Fiscal Year, and the related Consolidated and consolidating statements of income or operations, Shareholders’ Equity and cash flows for such Fiscal Year, setting forth in each case in comparative form the figures for the previous Fiscal Year, all in reasonable detail and prepared in accordance with GAAP, such Consolidated statements to be audited and accompanied by a report and unqualified opinion of a Registered Public Accounting Firm of nationally recognized standing reasonably acceptable to the Agent, which report and opinion shall be prepared in accordance with generally accepted auditing standards and shall not be subject to any “going concern” or like qualification or exception or any qualification or exception as to the scope of such audit; and such consolidating statements to be certified by a Responsible Officer of the Lead Borrower to the effect that such statements are fairly stated in all material respects when considered in relation to the Consolidated financial statements of the Lead Borrower and its Subsidiaries;</w:t>
      </w:r>
    </w:p>
    <w:p>
      <w:pPr>
        <w:spacing w:after="0" w:line="113" w:lineRule="exact"/>
        <w:rPr>
          <w:rFonts w:ascii="Arial" w:cs="Arial" w:eastAsia="Arial" w:hAnsi="Arial"/>
          <w:sz w:val="12"/>
          <w:szCs w:val="12"/>
          <w:color w:val="auto"/>
        </w:rPr>
      </w:pPr>
    </w:p>
    <w:p>
      <w:pPr>
        <w:jc w:val="both"/>
        <w:ind w:left="1080" w:firstLine="738"/>
        <w:spacing w:after="0" w:line="275" w:lineRule="auto"/>
        <w:tabs>
          <w:tab w:leader="none" w:pos="2410" w:val="left"/>
        </w:tabs>
        <w:numPr>
          <w:ilvl w:val="0"/>
          <w:numId w:val="130"/>
        </w:numPr>
        <w:rPr>
          <w:rFonts w:ascii="Arial" w:cs="Arial" w:eastAsia="Arial" w:hAnsi="Arial"/>
          <w:sz w:val="12"/>
          <w:szCs w:val="12"/>
          <w:color w:val="auto"/>
        </w:rPr>
      </w:pPr>
      <w:r>
        <w:rPr>
          <w:rFonts w:ascii="Arial" w:cs="Arial" w:eastAsia="Arial" w:hAnsi="Arial"/>
          <w:sz w:val="12"/>
          <w:szCs w:val="12"/>
          <w:color w:val="auto"/>
        </w:rPr>
        <w:t xml:space="preserve">as soon as available, but in any event within fifty (50) days after the end of each of the Fiscal Quarters of each Fiscal Year of the Lead Borrower, a Consolidated balance sheet of the Lead Borrower and its Subsidiaries as at the end of such Fiscal Quarter, and the related Consolidated statements of income or operations and cash flows for such Fiscal Quarter and for the portion of the Lead Borrower’s Fiscal Year then ended, setting forth in each case in comparative form the figures for (A) such period set forth in the projections delivered pursuant to </w:t>
      </w:r>
      <w:r>
        <w:rPr>
          <w:rFonts w:ascii="Arial" w:cs="Arial" w:eastAsia="Arial" w:hAnsi="Arial"/>
          <w:sz w:val="12"/>
          <w:szCs w:val="12"/>
          <w:u w:val="single" w:color="auto"/>
          <w:color w:val="auto"/>
        </w:rPr>
        <w:t>Section 6.01(d)</w:t>
      </w:r>
      <w:r>
        <w:rPr>
          <w:rFonts w:ascii="Arial" w:cs="Arial" w:eastAsia="Arial" w:hAnsi="Arial"/>
          <w:sz w:val="12"/>
          <w:szCs w:val="12"/>
          <w:color w:val="auto"/>
        </w:rPr>
        <w:t xml:space="preserve"> hereof, (B) the corresponding Fiscal Quarter of the previous Fiscal Year and (C) the corresponding portion of the previous Fiscal Year, all in reasonable detail, such Consolidated statements to be certified by a Responsible Officer of the Lead Borrower as fairly presenting the financial condition, results of operations and cash flows of the Lead Borrower and its Subsidiaries as of the end of such Fiscal Quarter in accordance with GAAP, subject only to normal year-end audit adjustments and the absence of footnotes;</w:t>
      </w:r>
    </w:p>
    <w:p>
      <w:pPr>
        <w:spacing w:after="0" w:line="114" w:lineRule="exact"/>
        <w:rPr>
          <w:rFonts w:ascii="Arial" w:cs="Arial" w:eastAsia="Arial" w:hAnsi="Arial"/>
          <w:sz w:val="12"/>
          <w:szCs w:val="12"/>
          <w:color w:val="auto"/>
        </w:rPr>
      </w:pPr>
    </w:p>
    <w:p>
      <w:pPr>
        <w:jc w:val="both"/>
        <w:ind w:left="1080" w:firstLine="738"/>
        <w:spacing w:after="0" w:line="275" w:lineRule="auto"/>
        <w:tabs>
          <w:tab w:leader="none" w:pos="2403" w:val="left"/>
        </w:tabs>
        <w:numPr>
          <w:ilvl w:val="0"/>
          <w:numId w:val="130"/>
        </w:numPr>
        <w:rPr>
          <w:rFonts w:ascii="Arial" w:cs="Arial" w:eastAsia="Arial" w:hAnsi="Arial"/>
          <w:sz w:val="12"/>
          <w:szCs w:val="12"/>
          <w:color w:val="auto"/>
        </w:rPr>
      </w:pPr>
      <w:r>
        <w:rPr>
          <w:rFonts w:ascii="Arial" w:cs="Arial" w:eastAsia="Arial" w:hAnsi="Arial"/>
          <w:sz w:val="12"/>
          <w:szCs w:val="12"/>
          <w:color w:val="auto"/>
        </w:rPr>
        <w:t xml:space="preserve">as soon as available, but in any event within thirty (30) days after the end of each of the Fiscal Months of each fiscal year of the Lead Borrower, a Consolidated balance sheet of the Lead Borrower and its Subsidiaries as at the end of such Fiscal Month, and the related Consolidated statements of income or operations and cash flows for such Fiscal Month, and for the portion of the Lead Borrower’s Fiscal Year then ended, setting forth in each case in comparative form the figures for (A) such period set forth in the projections delivered pursuant to </w:t>
      </w:r>
      <w:r>
        <w:rPr>
          <w:rFonts w:ascii="Arial" w:cs="Arial" w:eastAsia="Arial" w:hAnsi="Arial"/>
          <w:sz w:val="12"/>
          <w:szCs w:val="12"/>
          <w:u w:val="single" w:color="auto"/>
          <w:color w:val="auto"/>
        </w:rPr>
        <w:t>Section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6.01(d)</w:t>
      </w:r>
      <w:r>
        <w:rPr>
          <w:rFonts w:ascii="Arial" w:cs="Arial" w:eastAsia="Arial" w:hAnsi="Arial"/>
          <w:sz w:val="12"/>
          <w:szCs w:val="12"/>
          <w:color w:val="auto"/>
        </w:rPr>
        <w:t xml:space="preserve"> hereof, (B) the corresponding Fiscal Month of the previous Fiscal Year and (C) the corresponding portion of the previous Fiscal Year, all in reasonable detail, such Consolidated statements to be certified by a Responsible Officer of the Lead Borrower as fairly presenting the financial condition, results of operations and cash flows of the Lead Borrower and its Subsidiaries as of the end of such Fiscal Month in accordance with GAAP, subject only to normal year-end audit adjustments and the absence of footnotes;</w:t>
      </w:r>
    </w:p>
    <w:p>
      <w:pPr>
        <w:spacing w:after="0" w:line="114" w:lineRule="exact"/>
        <w:rPr>
          <w:rFonts w:ascii="Arial" w:cs="Arial" w:eastAsia="Arial" w:hAnsi="Arial"/>
          <w:sz w:val="12"/>
          <w:szCs w:val="12"/>
          <w:color w:val="auto"/>
        </w:rPr>
      </w:pPr>
    </w:p>
    <w:p>
      <w:pPr>
        <w:jc w:val="both"/>
        <w:ind w:left="1080" w:firstLine="738"/>
        <w:spacing w:after="0" w:line="258" w:lineRule="auto"/>
        <w:tabs>
          <w:tab w:leader="none" w:pos="2410" w:val="left"/>
        </w:tabs>
        <w:numPr>
          <w:ilvl w:val="0"/>
          <w:numId w:val="130"/>
        </w:numPr>
        <w:rPr>
          <w:rFonts w:ascii="Arial" w:cs="Arial" w:eastAsia="Arial" w:hAnsi="Arial"/>
          <w:sz w:val="13"/>
          <w:szCs w:val="13"/>
          <w:color w:val="auto"/>
        </w:rPr>
      </w:pPr>
      <w:r>
        <w:rPr>
          <w:rFonts w:ascii="Arial" w:cs="Arial" w:eastAsia="Arial" w:hAnsi="Arial"/>
          <w:sz w:val="13"/>
          <w:szCs w:val="13"/>
          <w:color w:val="auto"/>
        </w:rPr>
        <w:t>as soon as available, but in any event thirty (30) days after the end of each Fiscal Year of the Lead Borrower, forecasts prepared by management of the Lead Borrower, in form satisfactory to the Agent, of Availability and of the consolidated balance sheets and statements of income or operations and cash flows of the Lead Borrower and its Subsidiaries on a monthly basis for the immediately following Fiscal Year (including the Fiscal Year in which the Maturity</w:t>
      </w:r>
    </w:p>
    <w:p>
      <w:pPr>
        <w:spacing w:after="0" w:line="269"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102" w:name="page103"/>
    <w:bookmarkEnd w:id="102"/>
    <w:p>
      <w:pPr>
        <w:ind w:left="1080"/>
        <w:spacing w:after="0"/>
        <w:rPr>
          <w:sz w:val="20"/>
          <w:szCs w:val="20"/>
          <w:color w:val="auto"/>
        </w:rPr>
      </w:pPr>
      <w:r>
        <w:rPr>
          <w:rFonts w:ascii="Arial" w:cs="Arial" w:eastAsia="Arial" w:hAnsi="Arial"/>
          <w:sz w:val="13"/>
          <w:szCs w:val="13"/>
          <w:color w:val="auto"/>
        </w:rPr>
        <w:t>Date occurs), and as soon as available, any significant revisions to such forecast with respect to such Fiscal Year.</w:t>
      </w:r>
    </w:p>
    <w:p>
      <w:pPr>
        <w:spacing w:after="0" w:line="145"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3"/>
          <w:szCs w:val="13"/>
          <w:b w:val="1"/>
          <w:bCs w:val="1"/>
          <w:color w:val="auto"/>
        </w:rPr>
        <w:t>6.02</w:t>
      </w:r>
      <w:r>
        <w:rPr>
          <w:sz w:val="20"/>
          <w:szCs w:val="20"/>
          <w:color w:val="auto"/>
        </w:rPr>
        <w:tab/>
      </w:r>
      <w:r>
        <w:rPr>
          <w:rFonts w:ascii="Arial" w:cs="Arial" w:eastAsia="Arial" w:hAnsi="Arial"/>
          <w:sz w:val="12"/>
          <w:szCs w:val="12"/>
          <w:b w:val="1"/>
          <w:bCs w:val="1"/>
          <w:color w:val="auto"/>
        </w:rPr>
        <w:t>Certificates; Other Information</w:t>
      </w:r>
      <w:r>
        <w:rPr>
          <w:rFonts w:ascii="Arial" w:cs="Arial" w:eastAsia="Arial" w:hAnsi="Arial"/>
          <w:sz w:val="12"/>
          <w:szCs w:val="12"/>
          <w:color w:val="auto"/>
        </w:rPr>
        <w:t>. Deliver to the Agent, in form and detail satisfactory to the Agent:</w:t>
      </w:r>
    </w:p>
    <w:p>
      <w:pPr>
        <w:spacing w:after="0" w:line="152" w:lineRule="exact"/>
        <w:rPr>
          <w:sz w:val="20"/>
          <w:szCs w:val="20"/>
          <w:color w:val="auto"/>
        </w:rPr>
      </w:pPr>
    </w:p>
    <w:p>
      <w:pPr>
        <w:jc w:val="both"/>
        <w:ind w:left="1080" w:firstLine="739"/>
        <w:spacing w:after="0" w:line="254" w:lineRule="auto"/>
        <w:tabs>
          <w:tab w:leader="none" w:pos="2403" w:val="left"/>
        </w:tabs>
        <w:numPr>
          <w:ilvl w:val="0"/>
          <w:numId w:val="131"/>
        </w:numPr>
        <w:rPr>
          <w:rFonts w:ascii="Arial" w:cs="Arial" w:eastAsia="Arial" w:hAnsi="Arial"/>
          <w:sz w:val="13"/>
          <w:szCs w:val="13"/>
          <w:color w:val="auto"/>
        </w:rPr>
      </w:pPr>
      <w:r>
        <w:rPr>
          <w:rFonts w:ascii="Arial" w:cs="Arial" w:eastAsia="Arial" w:hAnsi="Arial"/>
          <w:sz w:val="13"/>
          <w:szCs w:val="13"/>
          <w:color w:val="auto"/>
        </w:rPr>
        <w:t xml:space="preserve">concurrently with the delivery of the financial statements referred to in Sections 6.01(a) and (b) and (c), a duly completed Compliance Certificate signed by a Responsible Officer of the Lead Borrower, and in the event of any change in generally accepted accounting principles used in the preparation of such financial statements, the Lead Borrower shall also provide (i) a statement of reconciliation conforming such financial statements to GAAP and (ii) for financial statements delivered in accordance with </w:t>
      </w:r>
      <w:r>
        <w:rPr>
          <w:rFonts w:ascii="Arial" w:cs="Arial" w:eastAsia="Arial" w:hAnsi="Arial"/>
          <w:sz w:val="13"/>
          <w:szCs w:val="13"/>
          <w:u w:val="single" w:color="auto"/>
          <w:color w:val="auto"/>
        </w:rPr>
        <w:t>Section 6.01(b)</w:t>
      </w:r>
      <w:r>
        <w:rPr>
          <w:rFonts w:ascii="Arial" w:cs="Arial" w:eastAsia="Arial" w:hAnsi="Arial"/>
          <w:sz w:val="13"/>
          <w:szCs w:val="13"/>
          <w:color w:val="auto"/>
        </w:rPr>
        <w:t>, a copy of management’s discussion and analysis with respect to such financial statements;</w:t>
      </w:r>
    </w:p>
    <w:p>
      <w:pPr>
        <w:spacing w:after="0" w:line="123" w:lineRule="exact"/>
        <w:rPr>
          <w:rFonts w:ascii="Arial" w:cs="Arial" w:eastAsia="Arial" w:hAnsi="Arial"/>
          <w:sz w:val="13"/>
          <w:szCs w:val="13"/>
          <w:color w:val="auto"/>
        </w:rPr>
      </w:pPr>
    </w:p>
    <w:p>
      <w:pPr>
        <w:jc w:val="both"/>
        <w:ind w:left="1080" w:firstLine="739"/>
        <w:spacing w:after="0" w:line="315" w:lineRule="auto"/>
        <w:tabs>
          <w:tab w:leader="none" w:pos="2411" w:val="left"/>
        </w:tabs>
        <w:numPr>
          <w:ilvl w:val="0"/>
          <w:numId w:val="131"/>
        </w:numPr>
        <w:rPr>
          <w:rFonts w:ascii="Arial" w:cs="Arial" w:eastAsia="Arial" w:hAnsi="Arial"/>
          <w:sz w:val="11"/>
          <w:szCs w:val="11"/>
          <w:color w:val="auto"/>
        </w:rPr>
      </w:pPr>
      <w:r>
        <w:rPr>
          <w:rFonts w:ascii="Arial" w:cs="Arial" w:eastAsia="Arial" w:hAnsi="Arial"/>
          <w:sz w:val="11"/>
          <w:szCs w:val="11"/>
          <w:color w:val="auto"/>
        </w:rPr>
        <w:t>on the 15</w:t>
      </w:r>
      <w:r>
        <w:rPr>
          <w:rFonts w:ascii="Arial" w:cs="Arial" w:eastAsia="Arial" w:hAnsi="Arial"/>
          <w:sz w:val="9"/>
          <w:szCs w:val="9"/>
          <w:color w:val="auto"/>
        </w:rPr>
        <w:t>th</w:t>
      </w:r>
      <w:r>
        <w:rPr>
          <w:rFonts w:ascii="Arial" w:cs="Arial" w:eastAsia="Arial" w:hAnsi="Arial"/>
          <w:sz w:val="11"/>
          <w:szCs w:val="11"/>
          <w:color w:val="auto"/>
        </w:rPr>
        <w:t xml:space="preserve"> day of each Fiscal Month (or, if such day is not a Business Day, on the next succeeding Business Day), a Borrowing Base Certificate showing the Borrowing Base and the FILO Borrowing Base as of the close of business as of the last day of the immediately preceding month, each Borrowing Base Certificate to be certified as complete and correct by a Responsible Officer of the Lead Borrower;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at any time that an Accelerated Borrowing Base Delivery Event has occurred and is continuing, such Borrowing Base Certificate shall be delivered on Thursday of each week (or, if Thursday is not a Business Day, on the next succeeding Business Day), as of the close of business on the immediately preceding week;</w:t>
      </w:r>
    </w:p>
    <w:p>
      <w:pPr>
        <w:spacing w:after="0" w:line="92" w:lineRule="exact"/>
        <w:rPr>
          <w:rFonts w:ascii="Arial" w:cs="Arial" w:eastAsia="Arial" w:hAnsi="Arial"/>
          <w:sz w:val="11"/>
          <w:szCs w:val="11"/>
          <w:color w:val="auto"/>
        </w:rPr>
      </w:pPr>
    </w:p>
    <w:p>
      <w:pPr>
        <w:jc w:val="both"/>
        <w:ind w:left="1080" w:firstLine="739"/>
        <w:spacing w:after="0" w:line="258" w:lineRule="auto"/>
        <w:tabs>
          <w:tab w:leader="none" w:pos="2403" w:val="left"/>
        </w:tabs>
        <w:numPr>
          <w:ilvl w:val="0"/>
          <w:numId w:val="131"/>
        </w:numPr>
        <w:rPr>
          <w:rFonts w:ascii="Arial" w:cs="Arial" w:eastAsia="Arial" w:hAnsi="Arial"/>
          <w:sz w:val="13"/>
          <w:szCs w:val="13"/>
          <w:color w:val="auto"/>
        </w:rPr>
      </w:pPr>
      <w:r>
        <w:rPr>
          <w:rFonts w:ascii="Arial" w:cs="Arial" w:eastAsia="Arial" w:hAnsi="Arial"/>
          <w:sz w:val="13"/>
          <w:szCs w:val="13"/>
          <w:color w:val="auto"/>
        </w:rPr>
        <w:t>promptly upon receipt, copies of any detailed audit reports, management letters or recommendations submitted to the board of directors (or the audit committee of the board of directors) of any Loan Party by its Registered Public Accounting Firm in connection with the accounts or books of the Loan Parties or any Subsidiary, or any audit of any of them, including, without limitation, specifying any Internal Control Event;</w:t>
      </w:r>
    </w:p>
    <w:p>
      <w:pPr>
        <w:spacing w:after="0" w:line="121" w:lineRule="exact"/>
        <w:rPr>
          <w:rFonts w:ascii="Arial" w:cs="Arial" w:eastAsia="Arial" w:hAnsi="Arial"/>
          <w:sz w:val="13"/>
          <w:szCs w:val="13"/>
          <w:color w:val="auto"/>
        </w:rPr>
      </w:pPr>
    </w:p>
    <w:p>
      <w:pPr>
        <w:jc w:val="both"/>
        <w:ind w:left="1080" w:firstLine="739"/>
        <w:spacing w:after="0" w:line="258" w:lineRule="auto"/>
        <w:tabs>
          <w:tab w:leader="none" w:pos="241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promptly after the same are available, copies of each annual report, proxy or financial statement or other report or communication sent to the stockholders of the Loan Parties, and copies of all annual, regular, periodic and special reports and registration statements which any Loan Party may file or be required to file with the SEC under Section 13 or 15(d) of the Securities Exchange Act of 1934, as amended, or with any national securities exchange;</w:t>
      </w:r>
    </w:p>
    <w:p>
      <w:pPr>
        <w:spacing w:after="0" w:line="121" w:lineRule="exact"/>
        <w:rPr>
          <w:rFonts w:ascii="Arial" w:cs="Arial" w:eastAsia="Arial" w:hAnsi="Arial"/>
          <w:sz w:val="13"/>
          <w:szCs w:val="13"/>
          <w:color w:val="auto"/>
        </w:rPr>
      </w:pPr>
    </w:p>
    <w:p>
      <w:pPr>
        <w:ind w:left="2400" w:hanging="585"/>
        <w:spacing w:after="0"/>
        <w:tabs>
          <w:tab w:leader="none" w:pos="240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 xml:space="preserve">The financial and collateral reports described on </w:t>
      </w:r>
      <w:r>
        <w:rPr>
          <w:rFonts w:ascii="Arial" w:cs="Arial" w:eastAsia="Arial" w:hAnsi="Arial"/>
          <w:sz w:val="13"/>
          <w:szCs w:val="13"/>
          <w:u w:val="single" w:color="auto"/>
          <w:color w:val="auto"/>
        </w:rPr>
        <w:t>Schedule 6.02</w:t>
      </w:r>
      <w:r>
        <w:rPr>
          <w:rFonts w:ascii="Arial" w:cs="Arial" w:eastAsia="Arial" w:hAnsi="Arial"/>
          <w:sz w:val="13"/>
          <w:szCs w:val="13"/>
          <w:color w:val="auto"/>
        </w:rPr>
        <w:t xml:space="preserve"> hereto, at the times set forth in such Schedule;</w:t>
      </w:r>
    </w:p>
    <w:p>
      <w:pPr>
        <w:spacing w:after="0" w:line="147" w:lineRule="exact"/>
        <w:rPr>
          <w:rFonts w:ascii="Arial" w:cs="Arial" w:eastAsia="Arial" w:hAnsi="Arial"/>
          <w:sz w:val="13"/>
          <w:szCs w:val="13"/>
          <w:color w:val="auto"/>
        </w:rPr>
      </w:pPr>
    </w:p>
    <w:p>
      <w:pPr>
        <w:ind w:left="2380" w:hanging="565"/>
        <w:spacing w:after="0"/>
        <w:tabs>
          <w:tab w:leader="none" w:pos="238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[Reserved];</w:t>
      </w:r>
    </w:p>
    <w:p>
      <w:pPr>
        <w:spacing w:after="0" w:line="147" w:lineRule="exact"/>
        <w:rPr>
          <w:rFonts w:ascii="Arial" w:cs="Arial" w:eastAsia="Arial" w:hAnsi="Arial"/>
          <w:sz w:val="13"/>
          <w:szCs w:val="13"/>
          <w:color w:val="auto"/>
        </w:rPr>
      </w:pPr>
    </w:p>
    <w:p>
      <w:pPr>
        <w:jc w:val="both"/>
        <w:ind w:left="1080" w:firstLine="739"/>
        <w:spacing w:after="0" w:line="254" w:lineRule="auto"/>
        <w:tabs>
          <w:tab w:leader="none" w:pos="2411" w:val="left"/>
        </w:tabs>
        <w:numPr>
          <w:ilvl w:val="0"/>
          <w:numId w:val="131"/>
        </w:numPr>
        <w:rPr>
          <w:rFonts w:ascii="Arial" w:cs="Arial" w:eastAsia="Arial" w:hAnsi="Arial"/>
          <w:sz w:val="13"/>
          <w:szCs w:val="13"/>
          <w:color w:val="auto"/>
        </w:rPr>
      </w:pPr>
      <w:r>
        <w:rPr>
          <w:rFonts w:ascii="Arial" w:cs="Arial" w:eastAsia="Arial" w:hAnsi="Arial"/>
          <w:sz w:val="13"/>
          <w:szCs w:val="13"/>
          <w:color w:val="auto"/>
        </w:rPr>
        <w:t>promptly, and in any event within five (5) Business Days after receipt thereof by any Loan Party or any Subsidiary thereof, copies of each notice or other correspondence received from any Governmental Authority (including, without limitation, the SEC (or comparable agency in any applicable non-U.S. jurisdiction)) concerning any proceeding with, or investigation or possible investigation or other inquiry by such Governmental Authority regarding financial or other operational results of any Loan Party or any Subsidiary thereof or any other matter which, if adversely determined, could reasonably expected to have a Material Adverse Effect; and</w:t>
      </w:r>
    </w:p>
    <w:p>
      <w:pPr>
        <w:spacing w:after="0" w:line="123" w:lineRule="exact"/>
        <w:rPr>
          <w:rFonts w:ascii="Arial" w:cs="Arial" w:eastAsia="Arial" w:hAnsi="Arial"/>
          <w:sz w:val="13"/>
          <w:szCs w:val="13"/>
          <w:color w:val="auto"/>
        </w:rPr>
      </w:pPr>
    </w:p>
    <w:p>
      <w:pPr>
        <w:ind w:left="2400" w:hanging="582"/>
        <w:spacing w:after="0"/>
        <w:tabs>
          <w:tab w:leader="none" w:pos="2400" w:val="left"/>
        </w:tabs>
        <w:numPr>
          <w:ilvl w:val="0"/>
          <w:numId w:val="131"/>
        </w:numPr>
        <w:rPr>
          <w:rFonts w:ascii="Arial" w:cs="Arial" w:eastAsia="Arial" w:hAnsi="Arial"/>
          <w:sz w:val="12"/>
          <w:szCs w:val="12"/>
          <w:color w:val="auto"/>
        </w:rPr>
      </w:pPr>
      <w:r>
        <w:rPr>
          <w:rFonts w:ascii="Arial" w:cs="Arial" w:eastAsia="Arial" w:hAnsi="Arial"/>
          <w:sz w:val="12"/>
          <w:szCs w:val="12"/>
          <w:color w:val="auto"/>
        </w:rPr>
        <w:t>promptly, following any request therefor, information and documentation reasonably requested by the Agent or any Lender for purposes of compliance with</w:t>
      </w:r>
    </w:p>
    <w:p>
      <w:pPr>
        <w:spacing w:after="0" w:line="25" w:lineRule="exact"/>
        <w:rPr>
          <w:rFonts w:ascii="Arial" w:cs="Arial" w:eastAsia="Arial" w:hAnsi="Arial"/>
          <w:sz w:val="12"/>
          <w:szCs w:val="12"/>
          <w:color w:val="auto"/>
        </w:rPr>
      </w:pPr>
    </w:p>
    <w:p>
      <w:pPr>
        <w:ind w:left="1080"/>
        <w:spacing w:after="0"/>
        <w:rPr>
          <w:rFonts w:ascii="Arial" w:cs="Arial" w:eastAsia="Arial" w:hAnsi="Arial"/>
          <w:sz w:val="12"/>
          <w:szCs w:val="12"/>
          <w:color w:val="auto"/>
        </w:rPr>
      </w:pPr>
      <w:r>
        <w:rPr>
          <w:rFonts w:ascii="Arial" w:cs="Arial" w:eastAsia="Arial" w:hAnsi="Arial"/>
          <w:sz w:val="13"/>
          <w:szCs w:val="13"/>
          <w:color w:val="auto"/>
        </w:rPr>
        <w:t>applicable</w:t>
      </w:r>
    </w:p>
    <w:p>
      <w:pPr>
        <w:spacing w:after="0" w:line="285"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103" w:name="page104"/>
    <w:bookmarkEnd w:id="103"/>
    <w:p>
      <w:pPr>
        <w:ind w:left="1080"/>
        <w:spacing w:after="0"/>
        <w:rPr>
          <w:sz w:val="20"/>
          <w:szCs w:val="20"/>
          <w:color w:val="auto"/>
        </w:rPr>
      </w:pPr>
      <w:r>
        <w:rPr>
          <w:rFonts w:ascii="Arial" w:cs="Arial" w:eastAsia="Arial" w:hAnsi="Arial"/>
          <w:sz w:val="13"/>
          <w:szCs w:val="13"/>
          <w:color w:val="auto"/>
        </w:rPr>
        <w:t>“know your customer” requirements under the Act, the Beneficial Ownership Regulation or other applicable Anti-Corruption Laws and Anti-Money Laundering Laws.</w:t>
      </w:r>
    </w:p>
    <w:p>
      <w:pPr>
        <w:spacing w:after="0" w:line="149" w:lineRule="exact"/>
        <w:rPr>
          <w:sz w:val="20"/>
          <w:szCs w:val="20"/>
          <w:color w:val="auto"/>
        </w:rPr>
      </w:pPr>
    </w:p>
    <w:p>
      <w:pPr>
        <w:ind w:left="1080" w:firstLine="739"/>
        <w:spacing w:after="0" w:line="271" w:lineRule="auto"/>
        <w:tabs>
          <w:tab w:leader="none" w:pos="2381" w:val="left"/>
        </w:tabs>
        <w:numPr>
          <w:ilvl w:val="0"/>
          <w:numId w:val="132"/>
        </w:numPr>
        <w:rPr>
          <w:rFonts w:ascii="Arial" w:cs="Arial" w:eastAsia="Arial" w:hAnsi="Arial"/>
          <w:sz w:val="13"/>
          <w:szCs w:val="13"/>
          <w:color w:val="auto"/>
        </w:rPr>
      </w:pPr>
      <w:r>
        <w:rPr>
          <w:rFonts w:ascii="Arial" w:cs="Arial" w:eastAsia="Arial" w:hAnsi="Arial"/>
          <w:sz w:val="13"/>
          <w:szCs w:val="13"/>
          <w:color w:val="auto"/>
        </w:rPr>
        <w:t>promptly, such additional information regarding the business affairs, financial condition or operations of any Loan Party or any Subsidiary, or compliance with the terms of the Loan Documents, as the Agent or any Lender may from time to time reasonably request.</w:t>
      </w:r>
    </w:p>
    <w:p>
      <w:pPr>
        <w:spacing w:after="0" w:line="113" w:lineRule="exact"/>
        <w:rPr>
          <w:sz w:val="20"/>
          <w:szCs w:val="20"/>
          <w:color w:val="auto"/>
        </w:rPr>
      </w:pPr>
    </w:p>
    <w:p>
      <w:pPr>
        <w:jc w:val="both"/>
        <w:ind w:left="220"/>
        <w:spacing w:after="0" w:line="273" w:lineRule="auto"/>
        <w:rPr>
          <w:sz w:val="20"/>
          <w:szCs w:val="20"/>
          <w:color w:val="auto"/>
        </w:rPr>
      </w:pPr>
      <w:r>
        <w:rPr>
          <w:rFonts w:ascii="Arial" w:cs="Arial" w:eastAsia="Arial" w:hAnsi="Arial"/>
          <w:sz w:val="12"/>
          <w:szCs w:val="12"/>
          <w:color w:val="auto"/>
        </w:rPr>
        <w:t xml:space="preserve">Documents required to be delivered pursuant to </w:t>
      </w:r>
      <w:r>
        <w:rPr>
          <w:rFonts w:ascii="Arial" w:cs="Arial" w:eastAsia="Arial" w:hAnsi="Arial"/>
          <w:sz w:val="12"/>
          <w:szCs w:val="12"/>
          <w:u w:val="single" w:color="auto"/>
          <w:color w:val="auto"/>
        </w:rPr>
        <w:t>Section 6.01(a), (b)</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(c)</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6.02(c)</w:t>
      </w:r>
      <w:r>
        <w:rPr>
          <w:rFonts w:ascii="Arial" w:cs="Arial" w:eastAsia="Arial" w:hAnsi="Arial"/>
          <w:sz w:val="12"/>
          <w:szCs w:val="12"/>
          <w:color w:val="auto"/>
        </w:rPr>
        <w:t xml:space="preserve"> (to the extent any such documents are included in materials otherwise filed with the SEC) may be delivered electronically and if so delivered, shall be deemed to have been delivered on the date (i) on which the Lead Borrower posts such documents, or provides a link thereto on the Lead Borrower’s website on the Internet at the website address listed on </w:t>
      </w:r>
      <w:r>
        <w:rPr>
          <w:rFonts w:ascii="Arial" w:cs="Arial" w:eastAsia="Arial" w:hAnsi="Arial"/>
          <w:sz w:val="12"/>
          <w:szCs w:val="12"/>
          <w:u w:val="single" w:color="auto"/>
          <w:color w:val="auto"/>
        </w:rPr>
        <w:t>Schedule 10.02</w:t>
      </w:r>
      <w:r>
        <w:rPr>
          <w:rFonts w:ascii="Arial" w:cs="Arial" w:eastAsia="Arial" w:hAnsi="Arial"/>
          <w:sz w:val="12"/>
          <w:szCs w:val="12"/>
          <w:color w:val="auto"/>
        </w:rPr>
        <w:t xml:space="preserve">; or (ii) on which such documents are posted on the Lead Borrower’s behalf on an Internet or intranet website, if any, to which each Lender and the Agent have access (whether a commercial, third-party website or whether sponsored by the Agent);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 the Lead Borrower shall deliver paper or electronic copies of such documents to the Agent or any Lender that requests the Lead Borrower to deliver such paper or electronic copies until a written request to cease delivering paper copies is given by the Agent or such Lender and (ii) the Lead Borrower shall notify the Agent (by telecopier or electronic mail) of the posting of any such documents and provide to the Agent by electronic mail electronic versions (</w:t>
      </w:r>
      <w:r>
        <w:rPr>
          <w:rFonts w:ascii="Arial" w:cs="Arial" w:eastAsia="Arial" w:hAnsi="Arial"/>
          <w:sz w:val="12"/>
          <w:szCs w:val="12"/>
          <w:u w:val="single" w:color="auto"/>
          <w:color w:val="auto"/>
        </w:rPr>
        <w:t>i.e.</w:t>
      </w:r>
      <w:r>
        <w:rPr>
          <w:rFonts w:ascii="Arial" w:cs="Arial" w:eastAsia="Arial" w:hAnsi="Arial"/>
          <w:sz w:val="12"/>
          <w:szCs w:val="12"/>
          <w:color w:val="auto"/>
        </w:rPr>
        <w:t>, soft copies) of such documents. The Agent shall have no obligation to request the delivery or to maintain copies of the documents referred to above, and in any event shall have no responsibility to monitor compliance by the Loan Parties with any such request for delivery, and each Lender shall be solely responsible for requesting delivery to it or maintaining its copies of such documents.</w:t>
      </w:r>
    </w:p>
    <w:p>
      <w:pPr>
        <w:spacing w:after="0" w:line="113" w:lineRule="exact"/>
        <w:rPr>
          <w:sz w:val="20"/>
          <w:szCs w:val="20"/>
          <w:color w:val="auto"/>
        </w:rPr>
      </w:pPr>
    </w:p>
    <w:p>
      <w:pPr>
        <w:jc w:val="both"/>
        <w:ind w:left="220" w:firstLine="808"/>
        <w:spacing w:after="0" w:line="248" w:lineRule="auto"/>
        <w:rPr>
          <w:sz w:val="20"/>
          <w:szCs w:val="20"/>
          <w:color w:val="auto"/>
        </w:rPr>
      </w:pPr>
      <w:r>
        <w:rPr>
          <w:rFonts w:ascii="Arial" w:cs="Arial" w:eastAsia="Arial" w:hAnsi="Arial"/>
          <w:sz w:val="13"/>
          <w:szCs w:val="13"/>
          <w:color w:val="auto"/>
        </w:rPr>
        <w:t>The Loan Parties hereby acknowledge that (a) the Agent and/or the Arranger will make available to the Lenders and the L/C Issuer materials and/or information provided by or on behalf of the Loan Parties hereunder (collectively, “Borrower Materials”) by posting the Borrower Materials on Debt Domain, IntraLinks, Syndtrak or another similar electronic system (the “Platform”) and (b) certain of the Lenders may be “public-side” Lenders (</w:t>
      </w:r>
      <w:r>
        <w:rPr>
          <w:rFonts w:ascii="Arial" w:cs="Arial" w:eastAsia="Arial" w:hAnsi="Arial"/>
          <w:sz w:val="13"/>
          <w:szCs w:val="13"/>
          <w:u w:val="single" w:color="auto"/>
          <w:color w:val="auto"/>
        </w:rPr>
        <w:t>i.e.</w:t>
      </w:r>
      <w:r>
        <w:rPr>
          <w:rFonts w:ascii="Arial" w:cs="Arial" w:eastAsia="Arial" w:hAnsi="Arial"/>
          <w:sz w:val="13"/>
          <w:szCs w:val="13"/>
          <w:color w:val="auto"/>
        </w:rPr>
        <w:t>, Lenders that do not wish to receive material non-public information with respect to the Loan Parties or their securities) (each, a “Public Lender”). The Loan Parties hereby agree that so long as any Loan Party is the issuer of any outstanding debt or equity securities that are registered or issued pursuant to a private offering or is actively contemplating issuing any such securities they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the Loan Parties shall be deemed to have authorized the Agent, the Arranger, the L/C Issuer and the Lenders to treat such Borrower Materials as not containing any material non-public information (although it may be sensitive and proprietary) with respect to the Loan Parties or their securities for purposes of United States Federal and state securities laws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to the extent such Borrower Materials constitute Information, they shall be treated as set forth in </w:t>
      </w:r>
      <w:r>
        <w:rPr>
          <w:rFonts w:ascii="Arial" w:cs="Arial" w:eastAsia="Arial" w:hAnsi="Arial"/>
          <w:sz w:val="13"/>
          <w:szCs w:val="13"/>
          <w:u w:val="single" w:color="auto"/>
          <w:color w:val="auto"/>
        </w:rPr>
        <w:t>Section 10.07</w:t>
      </w:r>
      <w:r>
        <w:rPr>
          <w:rFonts w:ascii="Arial" w:cs="Arial" w:eastAsia="Arial" w:hAnsi="Arial"/>
          <w:sz w:val="13"/>
          <w:szCs w:val="13"/>
          <w:color w:val="auto"/>
        </w:rPr>
        <w:t>); (y) all Borrower Materials marked “PUBLIC” are permitted to be made available through a portion of the Platform designated “Public Investor”; and (z) the Agent and the Arranger shall be entitled to treat any Borrower Materials that are not marked “PUBLIC” as being suitable only for posting on a portion of the Platform not designated “Public Investor.”</w:t>
      </w:r>
    </w:p>
    <w:p>
      <w:pPr>
        <w:spacing w:after="0" w:line="125"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3"/>
          <w:szCs w:val="13"/>
          <w:b w:val="1"/>
          <w:bCs w:val="1"/>
          <w:color w:val="auto"/>
        </w:rPr>
        <w:t>6.03</w:t>
      </w:r>
      <w:r>
        <w:rPr>
          <w:sz w:val="20"/>
          <w:szCs w:val="20"/>
          <w:color w:val="auto"/>
        </w:rPr>
        <w:tab/>
      </w:r>
      <w:r>
        <w:rPr>
          <w:rFonts w:ascii="Arial" w:cs="Arial" w:eastAsia="Arial" w:hAnsi="Arial"/>
          <w:sz w:val="12"/>
          <w:szCs w:val="12"/>
          <w:b w:val="1"/>
          <w:bCs w:val="1"/>
          <w:color w:val="auto"/>
        </w:rPr>
        <w:t>Notices</w:t>
      </w:r>
      <w:r>
        <w:rPr>
          <w:rFonts w:ascii="Arial" w:cs="Arial" w:eastAsia="Arial" w:hAnsi="Arial"/>
          <w:sz w:val="12"/>
          <w:szCs w:val="12"/>
          <w:color w:val="auto"/>
        </w:rPr>
        <w:t>. Promptly notify the Agent:</w:t>
      </w:r>
    </w:p>
    <w:p>
      <w:pPr>
        <w:spacing w:after="0" w:line="152" w:lineRule="exact"/>
        <w:rPr>
          <w:sz w:val="20"/>
          <w:szCs w:val="20"/>
          <w:color w:val="auto"/>
        </w:rPr>
      </w:pPr>
    </w:p>
    <w:p>
      <w:pPr>
        <w:ind w:left="2400" w:hanging="585"/>
        <w:spacing w:after="0"/>
        <w:tabs>
          <w:tab w:leader="none" w:pos="2400" w:val="left"/>
        </w:tabs>
        <w:numPr>
          <w:ilvl w:val="0"/>
          <w:numId w:val="133"/>
        </w:numPr>
        <w:rPr>
          <w:rFonts w:ascii="Arial" w:cs="Arial" w:eastAsia="Arial" w:hAnsi="Arial"/>
          <w:sz w:val="13"/>
          <w:szCs w:val="13"/>
          <w:color w:val="auto"/>
        </w:rPr>
      </w:pPr>
      <w:r>
        <w:rPr>
          <w:rFonts w:ascii="Arial" w:cs="Arial" w:eastAsia="Arial" w:hAnsi="Arial"/>
          <w:sz w:val="13"/>
          <w:szCs w:val="13"/>
          <w:color w:val="auto"/>
        </w:rPr>
        <w:t>of the occurrence of any Default or Event of Default;</w:t>
      </w:r>
    </w:p>
    <w:p>
      <w:pPr>
        <w:spacing w:after="0" w:line="295"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104" w:name="page105"/>
    <w:bookmarkEnd w:id="104"/>
    <w:p>
      <w:pPr>
        <w:ind w:left="2400" w:hanging="581"/>
        <w:spacing w:after="0"/>
        <w:tabs>
          <w:tab w:leader="none" w:pos="240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of any matter that has resulted or could reasonably be expected to result in a Material Adverse Effect,</w:t>
      </w:r>
    </w:p>
    <w:p>
      <w:pPr>
        <w:spacing w:after="0" w:line="149" w:lineRule="exact"/>
        <w:rPr>
          <w:rFonts w:ascii="Arial" w:cs="Arial" w:eastAsia="Arial" w:hAnsi="Arial"/>
          <w:sz w:val="13"/>
          <w:szCs w:val="13"/>
          <w:color w:val="auto"/>
        </w:rPr>
      </w:pPr>
    </w:p>
    <w:p>
      <w:pPr>
        <w:ind w:left="2400" w:hanging="581"/>
        <w:spacing w:after="0"/>
        <w:tabs>
          <w:tab w:leader="none" w:pos="2400" w:val="left"/>
        </w:tabs>
        <w:numPr>
          <w:ilvl w:val="0"/>
          <w:numId w:val="134"/>
        </w:numPr>
        <w:rPr>
          <w:rFonts w:ascii="Arial" w:cs="Arial" w:eastAsia="Arial" w:hAnsi="Arial"/>
          <w:sz w:val="12"/>
          <w:szCs w:val="12"/>
          <w:color w:val="auto"/>
        </w:rPr>
      </w:pPr>
      <w:r>
        <w:rPr>
          <w:rFonts w:ascii="Arial" w:cs="Arial" w:eastAsia="Arial" w:hAnsi="Arial"/>
          <w:sz w:val="12"/>
          <w:szCs w:val="12"/>
          <w:color w:val="auto"/>
        </w:rPr>
        <w:t>of any breach or non-performance of, or any default under, a Material Contract or with respect to Material Indebtedness of any Loan Party or any Subsidiary thereof;</w:t>
      </w:r>
    </w:p>
    <w:p>
      <w:pPr>
        <w:spacing w:after="0" w:line="159" w:lineRule="exact"/>
        <w:rPr>
          <w:rFonts w:ascii="Arial" w:cs="Arial" w:eastAsia="Arial" w:hAnsi="Arial"/>
          <w:sz w:val="12"/>
          <w:szCs w:val="12"/>
          <w:color w:val="auto"/>
        </w:rPr>
      </w:pPr>
    </w:p>
    <w:p>
      <w:pPr>
        <w:ind w:left="1080" w:firstLine="739"/>
        <w:spacing w:after="0" w:line="314" w:lineRule="auto"/>
        <w:tabs>
          <w:tab w:leader="none" w:pos="2410" w:val="left"/>
        </w:tabs>
        <w:numPr>
          <w:ilvl w:val="0"/>
          <w:numId w:val="134"/>
        </w:numPr>
        <w:rPr>
          <w:rFonts w:ascii="Arial" w:cs="Arial" w:eastAsia="Arial" w:hAnsi="Arial"/>
          <w:sz w:val="12"/>
          <w:szCs w:val="12"/>
          <w:color w:val="auto"/>
        </w:rPr>
      </w:pPr>
      <w:r>
        <w:rPr>
          <w:rFonts w:ascii="Arial" w:cs="Arial" w:eastAsia="Arial" w:hAnsi="Arial"/>
          <w:sz w:val="12"/>
          <w:szCs w:val="12"/>
          <w:color w:val="auto"/>
        </w:rPr>
        <w:t>of any dispute, litigation, investigation, proceeding or suspension between any Loan Party or any Subsidiary thereof and any Governmental Authority; or the commencement of, or any material development in, any litigation or proceeding affecting any Loan Party or any Subsidiary thereof, including pursuant to any applicable Environmental Laws;</w:t>
      </w:r>
    </w:p>
    <w:p>
      <w:pPr>
        <w:spacing w:after="0" w:line="89" w:lineRule="exact"/>
        <w:rPr>
          <w:rFonts w:ascii="Arial" w:cs="Arial" w:eastAsia="Arial" w:hAnsi="Arial"/>
          <w:sz w:val="12"/>
          <w:szCs w:val="12"/>
          <w:color w:val="auto"/>
        </w:rPr>
      </w:pPr>
    </w:p>
    <w:p>
      <w:pPr>
        <w:ind w:left="2400" w:hanging="581"/>
        <w:spacing w:after="0"/>
        <w:tabs>
          <w:tab w:leader="none" w:pos="240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of the occurrence of any ERISA Event;</w:t>
      </w:r>
    </w:p>
    <w:p>
      <w:pPr>
        <w:spacing w:after="0" w:line="147" w:lineRule="exact"/>
        <w:rPr>
          <w:rFonts w:ascii="Arial" w:cs="Arial" w:eastAsia="Arial" w:hAnsi="Arial"/>
          <w:sz w:val="13"/>
          <w:szCs w:val="13"/>
          <w:color w:val="auto"/>
        </w:rPr>
      </w:pPr>
    </w:p>
    <w:p>
      <w:pPr>
        <w:ind w:left="2380" w:hanging="561"/>
        <w:spacing w:after="0"/>
        <w:tabs>
          <w:tab w:leader="none" w:pos="238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of any material change in accounting policies or financial reporting practices by any Loan Party or any Subsidiary thereof;</w:t>
      </w:r>
    </w:p>
    <w:p>
      <w:pPr>
        <w:spacing w:after="0" w:line="147" w:lineRule="exact"/>
        <w:rPr>
          <w:rFonts w:ascii="Arial" w:cs="Arial" w:eastAsia="Arial" w:hAnsi="Arial"/>
          <w:sz w:val="13"/>
          <w:szCs w:val="13"/>
          <w:color w:val="auto"/>
        </w:rPr>
      </w:pPr>
    </w:p>
    <w:p>
      <w:pPr>
        <w:ind w:left="2400" w:hanging="581"/>
        <w:spacing w:after="0"/>
        <w:tabs>
          <w:tab w:leader="none" w:pos="240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of any change in any Loan Party’s senior executive officers;</w:t>
      </w:r>
    </w:p>
    <w:p>
      <w:pPr>
        <w:spacing w:after="0" w:line="147" w:lineRule="exact"/>
        <w:rPr>
          <w:rFonts w:ascii="Arial" w:cs="Arial" w:eastAsia="Arial" w:hAnsi="Arial"/>
          <w:sz w:val="13"/>
          <w:szCs w:val="13"/>
          <w:color w:val="auto"/>
        </w:rPr>
      </w:pPr>
    </w:p>
    <w:p>
      <w:pPr>
        <w:ind w:left="2400" w:hanging="581"/>
        <w:spacing w:after="0"/>
        <w:tabs>
          <w:tab w:leader="none" w:pos="2400" w:val="left"/>
        </w:tabs>
        <w:numPr>
          <w:ilvl w:val="0"/>
          <w:numId w:val="134"/>
        </w:numPr>
        <w:rPr>
          <w:rFonts w:ascii="Arial" w:cs="Arial" w:eastAsia="Arial" w:hAnsi="Arial"/>
          <w:sz w:val="12"/>
          <w:szCs w:val="12"/>
          <w:color w:val="auto"/>
        </w:rPr>
      </w:pPr>
      <w:r>
        <w:rPr>
          <w:rFonts w:ascii="Arial" w:cs="Arial" w:eastAsia="Arial" w:hAnsi="Arial"/>
          <w:sz w:val="12"/>
          <w:szCs w:val="12"/>
          <w:color w:val="auto"/>
        </w:rPr>
        <w:t>of the discharge by any Loan Party of its present Registered Public Accounting Firm or any withdrawal or resignation by such Registered Public Accounting Firm;</w:t>
      </w:r>
    </w:p>
    <w:p>
      <w:pPr>
        <w:spacing w:after="0" w:line="159" w:lineRule="exact"/>
        <w:rPr>
          <w:rFonts w:ascii="Arial" w:cs="Arial" w:eastAsia="Arial" w:hAnsi="Arial"/>
          <w:sz w:val="12"/>
          <w:szCs w:val="12"/>
          <w:color w:val="auto"/>
        </w:rPr>
      </w:pPr>
    </w:p>
    <w:p>
      <w:pPr>
        <w:ind w:left="2380" w:hanging="561"/>
        <w:spacing w:after="0"/>
        <w:tabs>
          <w:tab w:leader="none" w:pos="2380" w:val="left"/>
        </w:tabs>
        <w:numPr>
          <w:ilvl w:val="0"/>
          <w:numId w:val="134"/>
        </w:numPr>
        <w:rPr>
          <w:rFonts w:ascii="Arial" w:cs="Arial" w:eastAsia="Arial" w:hAnsi="Arial"/>
          <w:sz w:val="12"/>
          <w:szCs w:val="12"/>
          <w:color w:val="auto"/>
        </w:rPr>
      </w:pPr>
      <w:r>
        <w:rPr>
          <w:rFonts w:ascii="Arial" w:cs="Arial" w:eastAsia="Arial" w:hAnsi="Arial"/>
          <w:sz w:val="12"/>
          <w:szCs w:val="12"/>
          <w:color w:val="auto"/>
        </w:rPr>
        <w:t>of any collective bargaining agreement or other labor contract to which a Loan Party becomes a party, or the application for the certification of a collective bargaining</w:t>
      </w:r>
    </w:p>
    <w:p>
      <w:pPr>
        <w:spacing w:after="0" w:line="25" w:lineRule="exact"/>
        <w:rPr>
          <w:rFonts w:ascii="Arial" w:cs="Arial" w:eastAsia="Arial" w:hAnsi="Arial"/>
          <w:sz w:val="12"/>
          <w:szCs w:val="12"/>
          <w:color w:val="auto"/>
        </w:rPr>
      </w:pPr>
    </w:p>
    <w:p>
      <w:pPr>
        <w:ind w:left="1080"/>
        <w:spacing w:after="0"/>
        <w:rPr>
          <w:rFonts w:ascii="Arial" w:cs="Arial" w:eastAsia="Arial" w:hAnsi="Arial"/>
          <w:sz w:val="12"/>
          <w:szCs w:val="12"/>
          <w:color w:val="auto"/>
        </w:rPr>
      </w:pPr>
      <w:r>
        <w:rPr>
          <w:rFonts w:ascii="Arial" w:cs="Arial" w:eastAsia="Arial" w:hAnsi="Arial"/>
          <w:sz w:val="13"/>
          <w:szCs w:val="13"/>
          <w:color w:val="auto"/>
        </w:rPr>
        <w:t>agent;</w:t>
      </w:r>
    </w:p>
    <w:p>
      <w:pPr>
        <w:spacing w:after="0" w:line="137" w:lineRule="exact"/>
        <w:rPr>
          <w:rFonts w:ascii="Arial" w:cs="Arial" w:eastAsia="Arial" w:hAnsi="Arial"/>
          <w:sz w:val="12"/>
          <w:szCs w:val="12"/>
          <w:color w:val="auto"/>
        </w:rPr>
      </w:pPr>
    </w:p>
    <w:p>
      <w:pPr>
        <w:ind w:left="2380" w:hanging="561"/>
        <w:spacing w:after="0"/>
        <w:tabs>
          <w:tab w:leader="none" w:pos="238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of the filing of any Lien for unpaid Taxes against any Loan Party;</w:t>
      </w:r>
    </w:p>
    <w:p>
      <w:pPr>
        <w:spacing w:after="0" w:line="147" w:lineRule="exact"/>
        <w:rPr>
          <w:rFonts w:ascii="Arial" w:cs="Arial" w:eastAsia="Arial" w:hAnsi="Arial"/>
          <w:sz w:val="13"/>
          <w:szCs w:val="13"/>
          <w:color w:val="auto"/>
        </w:rPr>
      </w:pPr>
    </w:p>
    <w:p>
      <w:pPr>
        <w:ind w:left="1080" w:firstLine="739"/>
        <w:spacing w:after="0" w:line="314" w:lineRule="auto"/>
        <w:tabs>
          <w:tab w:leader="none" w:pos="2410" w:val="left"/>
        </w:tabs>
        <w:numPr>
          <w:ilvl w:val="0"/>
          <w:numId w:val="134"/>
        </w:numPr>
        <w:rPr>
          <w:rFonts w:ascii="Arial" w:cs="Arial" w:eastAsia="Arial" w:hAnsi="Arial"/>
          <w:sz w:val="12"/>
          <w:szCs w:val="12"/>
          <w:color w:val="auto"/>
        </w:rPr>
      </w:pPr>
      <w:r>
        <w:rPr>
          <w:rFonts w:ascii="Arial" w:cs="Arial" w:eastAsia="Arial" w:hAnsi="Arial"/>
          <w:sz w:val="12"/>
          <w:szCs w:val="12"/>
          <w:color w:val="auto"/>
        </w:rPr>
        <w:t>of any casualty or other insured damage to any material portion of the Collateral or the commencement of any action or proceeding for the taking of any interest in a material portion of the Collateral under power of eminent domain or by condemnation or similar proceeding or if any material portion of the Collateral is damaged or destroyed;</w:t>
      </w:r>
    </w:p>
    <w:p>
      <w:pPr>
        <w:spacing w:after="0" w:line="89" w:lineRule="exact"/>
        <w:rPr>
          <w:rFonts w:ascii="Arial" w:cs="Arial" w:eastAsia="Arial" w:hAnsi="Arial"/>
          <w:sz w:val="12"/>
          <w:szCs w:val="12"/>
          <w:color w:val="auto"/>
        </w:rPr>
      </w:pPr>
    </w:p>
    <w:p>
      <w:pPr>
        <w:ind w:left="2380" w:hanging="561"/>
        <w:spacing w:after="0"/>
        <w:tabs>
          <w:tab w:leader="none" w:pos="238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 xml:space="preserve">of any transaction of the nature contained in </w:t>
      </w:r>
      <w:r>
        <w:rPr>
          <w:rFonts w:ascii="Arial" w:cs="Arial" w:eastAsia="Arial" w:hAnsi="Arial"/>
          <w:sz w:val="13"/>
          <w:szCs w:val="13"/>
          <w:u w:val="single" w:color="auto"/>
          <w:color w:val="auto"/>
        </w:rPr>
        <w:t>Article VII</w:t>
      </w:r>
      <w:r>
        <w:rPr>
          <w:rFonts w:ascii="Arial" w:cs="Arial" w:eastAsia="Arial" w:hAnsi="Arial"/>
          <w:sz w:val="13"/>
          <w:szCs w:val="13"/>
          <w:color w:val="auto"/>
        </w:rPr>
        <w:t xml:space="preserve"> hereof, occurring after the Closing Date; and</w:t>
      </w:r>
    </w:p>
    <w:p>
      <w:pPr>
        <w:spacing w:after="0" w:line="147" w:lineRule="exact"/>
        <w:rPr>
          <w:rFonts w:ascii="Arial" w:cs="Arial" w:eastAsia="Arial" w:hAnsi="Arial"/>
          <w:sz w:val="13"/>
          <w:szCs w:val="13"/>
          <w:color w:val="auto"/>
        </w:rPr>
      </w:pPr>
    </w:p>
    <w:p>
      <w:pPr>
        <w:ind w:left="1080" w:firstLine="739"/>
        <w:spacing w:after="0" w:line="271" w:lineRule="auto"/>
        <w:tabs>
          <w:tab w:leader="none" w:pos="2447" w:val="left"/>
        </w:tabs>
        <w:numPr>
          <w:ilvl w:val="0"/>
          <w:numId w:val="134"/>
        </w:numPr>
        <w:rPr>
          <w:rFonts w:ascii="Arial" w:cs="Arial" w:eastAsia="Arial" w:hAnsi="Arial"/>
          <w:sz w:val="13"/>
          <w:szCs w:val="13"/>
          <w:color w:val="auto"/>
        </w:rPr>
      </w:pPr>
      <w:r>
        <w:rPr>
          <w:rFonts w:ascii="Arial" w:cs="Arial" w:eastAsia="Arial" w:hAnsi="Arial"/>
          <w:sz w:val="13"/>
          <w:szCs w:val="13"/>
          <w:color w:val="auto"/>
        </w:rPr>
        <w:t>of any failure by any Loan Party to pay rent at (i) any of the Loan Parties’ distribution centers or warehouses or (ii) any of such Loan Party’s store locations if such failure would be reasonably likely to result in a Material Adverse Effect.</w:t>
      </w:r>
    </w:p>
    <w:p>
      <w:pPr>
        <w:spacing w:after="0" w:line="113" w:lineRule="exact"/>
        <w:rPr>
          <w:sz w:val="20"/>
          <w:szCs w:val="20"/>
          <w:color w:val="auto"/>
        </w:rPr>
      </w:pPr>
    </w:p>
    <w:p>
      <w:pPr>
        <w:jc w:val="both"/>
        <w:ind w:left="220"/>
        <w:spacing w:after="0" w:line="271" w:lineRule="auto"/>
        <w:rPr>
          <w:sz w:val="20"/>
          <w:szCs w:val="20"/>
          <w:color w:val="auto"/>
        </w:rPr>
      </w:pPr>
      <w:r>
        <w:rPr>
          <w:rFonts w:ascii="Arial" w:cs="Arial" w:eastAsia="Arial" w:hAnsi="Arial"/>
          <w:sz w:val="13"/>
          <w:szCs w:val="13"/>
          <w:color w:val="auto"/>
        </w:rPr>
        <w:t>Each notice pursuant to this Section shall be accompanied by a statement of a Responsible Officer of the Lead Borrower setting forth details of the occurrence referred to therein and stating what action the Lead Borrower has taken and proposes to take with respect thereto.</w:t>
      </w:r>
    </w:p>
    <w:p>
      <w:pPr>
        <w:spacing w:after="0" w:line="109" w:lineRule="exact"/>
        <w:rPr>
          <w:sz w:val="20"/>
          <w:szCs w:val="20"/>
          <w:color w:val="auto"/>
        </w:rPr>
      </w:pPr>
    </w:p>
    <w:p>
      <w:pPr>
        <w:jc w:val="both"/>
        <w:ind w:left="220" w:firstLine="808"/>
        <w:spacing w:after="0" w:line="253" w:lineRule="auto"/>
        <w:rPr>
          <w:sz w:val="20"/>
          <w:szCs w:val="20"/>
          <w:color w:val="auto"/>
        </w:rPr>
      </w:pPr>
      <w:r>
        <w:rPr>
          <w:rFonts w:ascii="Arial" w:cs="Arial" w:eastAsia="Arial" w:hAnsi="Arial"/>
          <w:sz w:val="13"/>
          <w:szCs w:val="13"/>
          <w:b w:val="1"/>
          <w:bCs w:val="1"/>
          <w:color w:val="auto"/>
        </w:rPr>
        <w:t>6.04 Payment of Obligations</w:t>
      </w:r>
      <w:r>
        <w:rPr>
          <w:rFonts w:ascii="Arial" w:cs="Arial" w:eastAsia="Arial" w:hAnsi="Arial"/>
          <w:sz w:val="13"/>
          <w:szCs w:val="13"/>
          <w:color w:val="auto"/>
        </w:rPr>
        <w:t>. Pay and discharge as the same shall become due and payable, all its obligations and liabilities, including (a) all tax liabilities, assessments and</w:t>
      </w:r>
      <w:r>
        <w:rPr>
          <w:rFonts w:ascii="Arial" w:cs="Arial" w:eastAsia="Arial" w:hAnsi="Arial"/>
          <w:sz w:val="13"/>
          <w:szCs w:val="13"/>
          <w:b w:val="1"/>
          <w:bCs w:val="1"/>
          <w:color w:val="auto"/>
        </w:rPr>
        <w:t xml:space="preserve"> </w:t>
      </w:r>
      <w:r>
        <w:rPr>
          <w:rFonts w:ascii="Arial" w:cs="Arial" w:eastAsia="Arial" w:hAnsi="Arial"/>
          <w:sz w:val="13"/>
          <w:szCs w:val="13"/>
          <w:color w:val="auto"/>
        </w:rPr>
        <w:t>governmental charges or levies upon it or its properties or assets, (b) all lawful claims (including, without limitation, claims of landlords, warehousemen, customs brokers, freight forwarders, consolidators, and carriers) which, if unpaid, would by Law become a Lien upon its property; and (c) all Material Indebtedness, as and when due and payable, but subject to any subordination provisions contained in any instrument or agreement evidencing such Indebtedness, except, in each case, where (a) the validity or amount thereof is being contested in good faith by appropriate proceedings, (b) such Loan Party has set aside on its books adequate reserves with respect thereto in accordance with GAAP, (c) such contest effectively suspends</w:t>
      </w:r>
    </w:p>
    <w:p>
      <w:pPr>
        <w:spacing w:after="0" w:line="273"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105" w:name="page106"/>
    <w:bookmarkEnd w:id="105"/>
    <w:p>
      <w:pPr>
        <w:jc w:val="both"/>
        <w:ind w:left="220"/>
        <w:spacing w:after="0" w:line="316" w:lineRule="auto"/>
        <w:rPr>
          <w:sz w:val="20"/>
          <w:szCs w:val="20"/>
          <w:color w:val="auto"/>
        </w:rPr>
      </w:pPr>
      <w:r>
        <w:rPr>
          <w:rFonts w:ascii="Arial" w:cs="Arial" w:eastAsia="Arial" w:hAnsi="Arial"/>
          <w:sz w:val="12"/>
          <w:szCs w:val="12"/>
          <w:color w:val="auto"/>
        </w:rPr>
        <w:t>collection of the contested obligation and enforcement of any Lien securing such obligation, (d) no Lien has been filed with respect thereto and (e) the failure to make payment pending such contest could not reasonably be expected to result in a Material Adverse Effect. Nothing contained herein shall be deemed to limit the rights of the Agent with respect to determining Reserves pursuant to this Agreement.</w:t>
      </w:r>
    </w:p>
    <w:p>
      <w:pPr>
        <w:spacing w:after="0" w:line="84" w:lineRule="exact"/>
        <w:rPr>
          <w:sz w:val="20"/>
          <w:szCs w:val="20"/>
          <w:color w:val="auto"/>
        </w:rPr>
      </w:pPr>
    </w:p>
    <w:p>
      <w:pPr>
        <w:jc w:val="both"/>
        <w:ind w:left="220" w:firstLine="808"/>
        <w:spacing w:after="0" w:line="256" w:lineRule="auto"/>
        <w:rPr>
          <w:sz w:val="20"/>
          <w:szCs w:val="20"/>
          <w:color w:val="auto"/>
        </w:rPr>
      </w:pPr>
      <w:r>
        <w:rPr>
          <w:rFonts w:ascii="Arial" w:cs="Arial" w:eastAsia="Arial" w:hAnsi="Arial"/>
          <w:sz w:val="13"/>
          <w:szCs w:val="13"/>
          <w:b w:val="1"/>
          <w:bCs w:val="1"/>
          <w:color w:val="auto"/>
        </w:rPr>
        <w:t xml:space="preserve">6.05 Preservation of Existence, Etc. </w:t>
      </w:r>
      <w:r>
        <w:rPr>
          <w:rFonts w:ascii="Arial" w:cs="Arial" w:eastAsia="Arial" w:hAnsi="Arial"/>
          <w:sz w:val="13"/>
          <w:szCs w:val="13"/>
          <w:color w:val="auto"/>
        </w:rPr>
        <w:t>(a) Preserve, renew and maintain in full force and effect its legal existence and good standing under the Laws of the jurisdiction of its organization</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or formation except in a transaction permitted by </w:t>
      </w:r>
      <w:r>
        <w:rPr>
          <w:rFonts w:ascii="Arial" w:cs="Arial" w:eastAsia="Arial" w:hAnsi="Arial"/>
          <w:sz w:val="13"/>
          <w:szCs w:val="13"/>
          <w:u w:val="single" w:color="auto"/>
          <w:color w:val="auto"/>
        </w:rPr>
        <w:t>Section 7.04</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7.05</w:t>
      </w:r>
      <w:r>
        <w:rPr>
          <w:rFonts w:ascii="Arial" w:cs="Arial" w:eastAsia="Arial" w:hAnsi="Arial"/>
          <w:sz w:val="13"/>
          <w:szCs w:val="13"/>
          <w:color w:val="auto"/>
        </w:rPr>
        <w:t>; (b) take all reasonable action to maintain all rights, privileges, permits, licenses and franchises necessary or desirable in the normal conduct of its business, except to the extent that failure to do so could not reasonably be expected to have a Material Adverse Effect; and (c) preserve or renew all of its Intellectual Property, except to the extent such Intellectual Property is no longer used or useful in the conduct of the business of the Loan Parties.</w:t>
      </w:r>
    </w:p>
    <w:p>
      <w:pPr>
        <w:spacing w:after="0" w:line="119" w:lineRule="exact"/>
        <w:rPr>
          <w:sz w:val="20"/>
          <w:szCs w:val="20"/>
          <w:color w:val="auto"/>
        </w:rPr>
      </w:pPr>
    </w:p>
    <w:p>
      <w:pPr>
        <w:jc w:val="both"/>
        <w:ind w:left="220" w:firstLine="808"/>
        <w:spacing w:after="0" w:line="261" w:lineRule="auto"/>
        <w:rPr>
          <w:sz w:val="20"/>
          <w:szCs w:val="20"/>
          <w:color w:val="auto"/>
        </w:rPr>
      </w:pPr>
      <w:r>
        <w:rPr>
          <w:rFonts w:ascii="Arial" w:cs="Arial" w:eastAsia="Arial" w:hAnsi="Arial"/>
          <w:sz w:val="13"/>
          <w:szCs w:val="13"/>
          <w:b w:val="1"/>
          <w:bCs w:val="1"/>
          <w:color w:val="auto"/>
        </w:rPr>
        <w:t>6.06 Maintenance of Properties</w:t>
      </w:r>
      <w:r>
        <w:rPr>
          <w:rFonts w:ascii="Arial" w:cs="Arial" w:eastAsia="Arial" w:hAnsi="Arial"/>
          <w:sz w:val="13"/>
          <w:szCs w:val="13"/>
          <w:color w:val="auto"/>
        </w:rPr>
        <w:t>. (a) Maintain, preserve and protect all of its material properties and equipment necessary in the operation of its business in good working order and</w:t>
      </w:r>
      <w:r>
        <w:rPr>
          <w:rFonts w:ascii="Arial" w:cs="Arial" w:eastAsia="Arial" w:hAnsi="Arial"/>
          <w:sz w:val="13"/>
          <w:szCs w:val="13"/>
          <w:b w:val="1"/>
          <w:bCs w:val="1"/>
          <w:color w:val="auto"/>
        </w:rPr>
        <w:t xml:space="preserve"> </w:t>
      </w:r>
      <w:r>
        <w:rPr>
          <w:rFonts w:ascii="Arial" w:cs="Arial" w:eastAsia="Arial" w:hAnsi="Arial"/>
          <w:sz w:val="13"/>
          <w:szCs w:val="13"/>
          <w:color w:val="auto"/>
        </w:rPr>
        <w:t>condition, ordinary wear and tear excepted; and (b) make all necessary repairs thereto and renewals and replacements thereof except where the failure to do so could not reasonably be expected to have a Material Adverse Effect.</w:t>
      </w:r>
    </w:p>
    <w:p>
      <w:pPr>
        <w:spacing w:after="0" w:line="116" w:lineRule="exact"/>
        <w:rPr>
          <w:sz w:val="20"/>
          <w:szCs w:val="20"/>
          <w:color w:val="auto"/>
        </w:rPr>
      </w:pPr>
    </w:p>
    <w:p>
      <w:pPr>
        <w:jc w:val="both"/>
        <w:ind w:left="220" w:firstLine="808"/>
        <w:spacing w:after="0" w:line="280" w:lineRule="auto"/>
        <w:rPr>
          <w:sz w:val="20"/>
          <w:szCs w:val="20"/>
          <w:color w:val="auto"/>
        </w:rPr>
      </w:pPr>
      <w:r>
        <w:rPr>
          <w:rFonts w:ascii="Arial" w:cs="Arial" w:eastAsia="Arial" w:hAnsi="Arial"/>
          <w:sz w:val="12"/>
          <w:szCs w:val="12"/>
          <w:b w:val="1"/>
          <w:bCs w:val="1"/>
          <w:color w:val="auto"/>
        </w:rPr>
        <w:t>6.07 Maintenance of Insurance</w:t>
      </w:r>
      <w:r>
        <w:rPr>
          <w:rFonts w:ascii="Arial" w:cs="Arial" w:eastAsia="Arial" w:hAnsi="Arial"/>
          <w:sz w:val="12"/>
          <w:szCs w:val="12"/>
          <w:color w:val="auto"/>
        </w:rPr>
        <w:t>. Maintain with financially sound and reputable insurance companies not Affiliates of the Loan Parties, insurance with respect to its properties and</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business against loss or damage of the kinds customarily insured against by Persons engaged in the same or similar business and operating in the same or similar locations or as is required by Law, of such types and in such amounts as are customarily carried under similar circumstances by such other Persons and as are reasonably acceptable to the Agent,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Agent acknowledges that pursuant to Section 10(G)(vii) of the Lease Agreement, dated February 1, 2006, by and between Spirit SPE Canton, LLC and Casual Male Retail Group, Inc., Spirit SPE Canton, LLC shall remain an “additional named insured” with respect to general liability insurance, an “additional named insured” with respect to real property and a “loss payee” with respect to all real property and rent value insurance.</w:t>
      </w:r>
    </w:p>
    <w:p>
      <w:pPr>
        <w:spacing w:after="0" w:line="109" w:lineRule="exact"/>
        <w:rPr>
          <w:sz w:val="20"/>
          <w:szCs w:val="20"/>
          <w:color w:val="auto"/>
        </w:rPr>
      </w:pPr>
    </w:p>
    <w:p>
      <w:pPr>
        <w:jc w:val="both"/>
        <w:ind w:left="1080" w:firstLine="738"/>
        <w:spacing w:after="0" w:line="290" w:lineRule="auto"/>
        <w:tabs>
          <w:tab w:leader="none" w:pos="2403" w:val="left"/>
        </w:tabs>
        <w:numPr>
          <w:ilvl w:val="0"/>
          <w:numId w:val="135"/>
        </w:numPr>
        <w:rPr>
          <w:rFonts w:ascii="Arial" w:cs="Arial" w:eastAsia="Arial" w:hAnsi="Arial"/>
          <w:sz w:val="12"/>
          <w:szCs w:val="12"/>
          <w:color w:val="auto"/>
        </w:rPr>
      </w:pPr>
      <w:r>
        <w:rPr>
          <w:rFonts w:ascii="Arial" w:cs="Arial" w:eastAsia="Arial" w:hAnsi="Arial"/>
          <w:sz w:val="12"/>
          <w:szCs w:val="12"/>
          <w:color w:val="auto"/>
        </w:rPr>
        <w:t>Maintain for themselves and their Subsidiaries, a Directors and Officers insurance policy, and a “Blanket Crime” policy including employee dishonesty, forgery or alteration, theft, disappearance and destruction, robbery and safe burglary, property, and computer fraud coverage with responsible companies in such amounts as are customarily carried by business entities engaged in similar businesses similarly situated, and will upon request by the Agent furnish the Agent certificates evidencing renewal of each such policy.</w:t>
      </w:r>
    </w:p>
    <w:p>
      <w:pPr>
        <w:spacing w:after="0" w:line="103" w:lineRule="exact"/>
        <w:rPr>
          <w:rFonts w:ascii="Arial" w:cs="Arial" w:eastAsia="Arial" w:hAnsi="Arial"/>
          <w:sz w:val="12"/>
          <w:szCs w:val="12"/>
          <w:color w:val="auto"/>
        </w:rPr>
      </w:pPr>
    </w:p>
    <w:p>
      <w:pPr>
        <w:jc w:val="both"/>
        <w:ind w:left="1080" w:firstLine="738"/>
        <w:spacing w:after="0" w:line="315" w:lineRule="auto"/>
        <w:tabs>
          <w:tab w:leader="none" w:pos="2410" w:val="left"/>
        </w:tabs>
        <w:numPr>
          <w:ilvl w:val="0"/>
          <w:numId w:val="135"/>
        </w:numPr>
        <w:rPr>
          <w:rFonts w:ascii="Arial" w:cs="Arial" w:eastAsia="Arial" w:hAnsi="Arial"/>
          <w:sz w:val="11"/>
          <w:szCs w:val="11"/>
          <w:color w:val="auto"/>
        </w:rPr>
      </w:pPr>
      <w:r>
        <w:rPr>
          <w:rFonts w:ascii="Arial" w:cs="Arial" w:eastAsia="Arial" w:hAnsi="Arial"/>
          <w:sz w:val="11"/>
          <w:szCs w:val="11"/>
          <w:color w:val="auto"/>
        </w:rPr>
        <w:t>Cause fire and extended coverage policies maintained with respect to any Collateral to be endorsed or otherwise amended to include (i) a non-contributing mortgage clause (regarding improvements to Real Estate) and lenders’ loss payable clause (regarding personal property), in form and substance satisfactory to the Agent, which endorsements or amendments shall provide that the insurer shall pay all proceeds otherwise payable to the Loan Parties under the policies directly to the Agent, (ii) a provision to the effect that none of the Loan Parties, Credit Parties or any other Person shall be a co-insurer and (iii) such other provisions as the Agent may reasonably require from time to time to protect the interests of the Credit Parties.</w:t>
      </w:r>
    </w:p>
    <w:p>
      <w:pPr>
        <w:spacing w:after="0" w:line="92" w:lineRule="exact"/>
        <w:rPr>
          <w:rFonts w:ascii="Arial" w:cs="Arial" w:eastAsia="Arial" w:hAnsi="Arial"/>
          <w:sz w:val="11"/>
          <w:szCs w:val="11"/>
          <w:color w:val="auto"/>
        </w:rPr>
      </w:pPr>
    </w:p>
    <w:p>
      <w:pPr>
        <w:ind w:left="2400" w:hanging="582"/>
        <w:spacing w:after="0"/>
        <w:tabs>
          <w:tab w:leader="none" w:pos="240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Cause commercial general liability policies to be endorsed to name the Agent as an additional insured.</w:t>
      </w:r>
    </w:p>
    <w:p>
      <w:pPr>
        <w:spacing w:after="0" w:line="147" w:lineRule="exact"/>
        <w:rPr>
          <w:rFonts w:ascii="Arial" w:cs="Arial" w:eastAsia="Arial" w:hAnsi="Arial"/>
          <w:sz w:val="13"/>
          <w:szCs w:val="13"/>
          <w:color w:val="auto"/>
        </w:rPr>
      </w:pPr>
    </w:p>
    <w:p>
      <w:pPr>
        <w:ind w:left="2400" w:hanging="582"/>
        <w:spacing w:after="0"/>
        <w:tabs>
          <w:tab w:leader="none" w:pos="2400" w:val="left"/>
        </w:tabs>
        <w:numPr>
          <w:ilvl w:val="0"/>
          <w:numId w:val="135"/>
        </w:numPr>
        <w:rPr>
          <w:rFonts w:ascii="Arial" w:cs="Arial" w:eastAsia="Arial" w:hAnsi="Arial"/>
          <w:sz w:val="11"/>
          <w:szCs w:val="11"/>
          <w:color w:val="auto"/>
        </w:rPr>
      </w:pPr>
      <w:r>
        <w:rPr>
          <w:rFonts w:ascii="Arial" w:cs="Arial" w:eastAsia="Arial" w:hAnsi="Arial"/>
          <w:sz w:val="11"/>
          <w:szCs w:val="11"/>
          <w:color w:val="auto"/>
        </w:rPr>
        <w:t>Cause business interruption policies to name the Agent as a loss payee and to be endorsed or amended to include (i) a provision that, from and after the Closing Date,</w:t>
      </w:r>
    </w:p>
    <w:p>
      <w:pPr>
        <w:spacing w:after="0" w:line="36" w:lineRule="exact"/>
        <w:rPr>
          <w:rFonts w:ascii="Arial" w:cs="Arial" w:eastAsia="Arial" w:hAnsi="Arial"/>
          <w:sz w:val="11"/>
          <w:szCs w:val="11"/>
          <w:color w:val="auto"/>
        </w:rPr>
      </w:pPr>
    </w:p>
    <w:p>
      <w:pPr>
        <w:ind w:left="1080"/>
        <w:spacing w:after="0"/>
        <w:rPr>
          <w:rFonts w:ascii="Arial" w:cs="Arial" w:eastAsia="Arial" w:hAnsi="Arial"/>
          <w:sz w:val="11"/>
          <w:szCs w:val="11"/>
          <w:color w:val="auto"/>
        </w:rPr>
      </w:pPr>
      <w:r>
        <w:rPr>
          <w:rFonts w:ascii="Arial" w:cs="Arial" w:eastAsia="Arial" w:hAnsi="Arial"/>
          <w:sz w:val="13"/>
          <w:szCs w:val="13"/>
          <w:color w:val="auto"/>
        </w:rPr>
        <w:t>the insurer</w:t>
      </w:r>
    </w:p>
    <w:p>
      <w:pPr>
        <w:spacing w:after="0" w:line="285"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106" w:name="page107"/>
    <w:bookmarkEnd w:id="106"/>
    <w:p>
      <w:pPr>
        <w:ind w:left="1080"/>
        <w:spacing w:after="0" w:line="274" w:lineRule="auto"/>
        <w:rPr>
          <w:sz w:val="20"/>
          <w:szCs w:val="20"/>
          <w:color w:val="auto"/>
        </w:rPr>
      </w:pPr>
      <w:r>
        <w:rPr>
          <w:rFonts w:ascii="Arial" w:cs="Arial" w:eastAsia="Arial" w:hAnsi="Arial"/>
          <w:sz w:val="13"/>
          <w:szCs w:val="13"/>
          <w:color w:val="auto"/>
        </w:rPr>
        <w:t>shall pay all proceeds otherwise payable to the Loan Parties under the policies directly to the Agent, (ii) a provision to the effect that none of the Loan Parties, the Agent, the Agent or any other party shall be a co-insurer and (iii) such other provisions as the Agent may reasonably require from time to time to protect the interests of the Credit Parties.</w:t>
      </w:r>
    </w:p>
    <w:p>
      <w:pPr>
        <w:spacing w:after="0" w:line="110" w:lineRule="exact"/>
        <w:rPr>
          <w:sz w:val="20"/>
          <w:szCs w:val="20"/>
          <w:color w:val="auto"/>
        </w:rPr>
      </w:pPr>
    </w:p>
    <w:p>
      <w:pPr>
        <w:jc w:val="both"/>
        <w:ind w:left="1080" w:firstLine="739"/>
        <w:spacing w:after="0" w:line="258" w:lineRule="auto"/>
        <w:tabs>
          <w:tab w:leader="none" w:pos="2403" w:val="left"/>
        </w:tabs>
        <w:numPr>
          <w:ilvl w:val="0"/>
          <w:numId w:val="136"/>
        </w:numPr>
        <w:rPr>
          <w:rFonts w:ascii="Arial" w:cs="Arial" w:eastAsia="Arial" w:hAnsi="Arial"/>
          <w:sz w:val="13"/>
          <w:szCs w:val="13"/>
          <w:color w:val="auto"/>
        </w:rPr>
      </w:pPr>
      <w:r>
        <w:rPr>
          <w:rFonts w:ascii="Arial" w:cs="Arial" w:eastAsia="Arial" w:hAnsi="Arial"/>
          <w:sz w:val="13"/>
          <w:szCs w:val="13"/>
          <w:color w:val="auto"/>
        </w:rPr>
        <w:t xml:space="preserve">Cause each such policy referred to in this </w:t>
      </w:r>
      <w:r>
        <w:rPr>
          <w:rFonts w:ascii="Arial" w:cs="Arial" w:eastAsia="Arial" w:hAnsi="Arial"/>
          <w:sz w:val="13"/>
          <w:szCs w:val="13"/>
          <w:u w:val="single" w:color="auto"/>
          <w:color w:val="auto"/>
        </w:rPr>
        <w:t>Section 6.07</w:t>
      </w:r>
      <w:r>
        <w:rPr>
          <w:rFonts w:ascii="Arial" w:cs="Arial" w:eastAsia="Arial" w:hAnsi="Arial"/>
          <w:sz w:val="13"/>
          <w:szCs w:val="13"/>
          <w:color w:val="auto"/>
        </w:rPr>
        <w:t xml:space="preserve"> to also provide that it shall not be canceled, modified or not renewed (i) by reason of nonpayment of premium except upon not less than ten (10) days’ prior written notice thereof by the insurer to the Agent (giving the Agent the right to cure defaults in the payment of premiums) or (ii) for any other reason except upon not less than thirty (30) days’ prior written notice thereof by the insurer to the Agent.</w:t>
      </w:r>
    </w:p>
    <w:p>
      <w:pPr>
        <w:spacing w:after="0" w:line="121" w:lineRule="exact"/>
        <w:rPr>
          <w:rFonts w:ascii="Arial" w:cs="Arial" w:eastAsia="Arial" w:hAnsi="Arial"/>
          <w:sz w:val="13"/>
          <w:szCs w:val="13"/>
          <w:color w:val="auto"/>
        </w:rPr>
      </w:pPr>
    </w:p>
    <w:p>
      <w:pPr>
        <w:ind w:left="1080" w:firstLine="738"/>
        <w:spacing w:after="0" w:line="271" w:lineRule="auto"/>
        <w:tabs>
          <w:tab w:leader="none" w:pos="2388" w:val="left"/>
        </w:tabs>
        <w:numPr>
          <w:ilvl w:val="0"/>
          <w:numId w:val="136"/>
        </w:numPr>
        <w:rPr>
          <w:rFonts w:ascii="Arial" w:cs="Arial" w:eastAsia="Arial" w:hAnsi="Arial"/>
          <w:sz w:val="13"/>
          <w:szCs w:val="13"/>
          <w:color w:val="auto"/>
        </w:rPr>
      </w:pPr>
      <w:r>
        <w:rPr>
          <w:rFonts w:ascii="Arial" w:cs="Arial" w:eastAsia="Arial" w:hAnsi="Arial"/>
          <w:sz w:val="13"/>
          <w:szCs w:val="13"/>
          <w:color w:val="auto"/>
        </w:rPr>
        <w:t>Deliver to the Agent, prior to the cancellation, modification or non-renewal of any such policy of insurance, a copy of a renewal or replacement policy (or other evidence of renewal of a policy previously delivered to the Agent, including an insurance binder) together with evidence satisfactory to the Agent.</w:t>
      </w:r>
    </w:p>
    <w:p>
      <w:pPr>
        <w:spacing w:after="0" w:line="112" w:lineRule="exact"/>
        <w:rPr>
          <w:rFonts w:ascii="Arial" w:cs="Arial" w:eastAsia="Arial" w:hAnsi="Arial"/>
          <w:sz w:val="13"/>
          <w:szCs w:val="13"/>
          <w:color w:val="auto"/>
        </w:rPr>
      </w:pPr>
    </w:p>
    <w:p>
      <w:pPr>
        <w:ind w:left="1080" w:firstLine="738"/>
        <w:spacing w:after="0" w:line="271" w:lineRule="auto"/>
        <w:tabs>
          <w:tab w:leader="none" w:pos="2410" w:val="left"/>
        </w:tabs>
        <w:numPr>
          <w:ilvl w:val="0"/>
          <w:numId w:val="136"/>
        </w:numPr>
        <w:rPr>
          <w:rFonts w:ascii="Arial" w:cs="Arial" w:eastAsia="Arial" w:hAnsi="Arial"/>
          <w:sz w:val="13"/>
          <w:szCs w:val="13"/>
          <w:color w:val="auto"/>
        </w:rPr>
      </w:pPr>
      <w:r>
        <w:rPr>
          <w:rFonts w:ascii="Arial" w:cs="Arial" w:eastAsia="Arial" w:hAnsi="Arial"/>
          <w:sz w:val="13"/>
          <w:szCs w:val="13"/>
          <w:color w:val="auto"/>
        </w:rPr>
        <w:t>Permit any representatives that are designated by the Agent to inspect the insurance policies maintained by or on behalf of the Loan Parties and to inspect books and records related thereto and any properties covered thereby.</w:t>
      </w:r>
    </w:p>
    <w:p>
      <w:pPr>
        <w:spacing w:after="0" w:line="113" w:lineRule="exact"/>
        <w:rPr>
          <w:sz w:val="20"/>
          <w:szCs w:val="20"/>
          <w:color w:val="auto"/>
        </w:rPr>
      </w:pPr>
    </w:p>
    <w:p>
      <w:pPr>
        <w:jc w:val="both"/>
        <w:ind w:left="220"/>
        <w:spacing w:after="0" w:line="251" w:lineRule="auto"/>
        <w:rPr>
          <w:sz w:val="20"/>
          <w:szCs w:val="20"/>
          <w:color w:val="auto"/>
        </w:rPr>
      </w:pPr>
      <w:r>
        <w:rPr>
          <w:rFonts w:ascii="Arial" w:cs="Arial" w:eastAsia="Arial" w:hAnsi="Arial"/>
          <w:sz w:val="13"/>
          <w:szCs w:val="13"/>
          <w:color w:val="auto"/>
        </w:rPr>
        <w:t xml:space="preserve">None of the Credit Parties, or their agents or employees shall be liable for any loss or damage insured by the insurance policies required to be maintained under this </w:t>
      </w:r>
      <w:r>
        <w:rPr>
          <w:rFonts w:ascii="Arial" w:cs="Arial" w:eastAsia="Arial" w:hAnsi="Arial"/>
          <w:sz w:val="13"/>
          <w:szCs w:val="13"/>
          <w:u w:val="single" w:color="auto"/>
          <w:color w:val="auto"/>
        </w:rPr>
        <w:t>Section 6.07</w:t>
      </w:r>
      <w:r>
        <w:rPr>
          <w:rFonts w:ascii="Arial" w:cs="Arial" w:eastAsia="Arial" w:hAnsi="Arial"/>
          <w:sz w:val="13"/>
          <w:szCs w:val="13"/>
          <w:color w:val="auto"/>
        </w:rPr>
        <w:t xml:space="preserve">. Each Loan Party shall look solely to its insurance companies or any other parties other than the Credit Parties for the recovery of such loss or damage and such insurance companies shall have no rights of subrogation against any Credit Party or its agents or employees. If, however, the insurance policies do not provide waiver of subrogation rights against such parties, as required above, then the Loan Parties hereby agree, to the extent permitted by law, to waive their right of recovery, if any, against the Credit Parties and their agents and employees. The designation of any form, type or amount of insurance coverage by any Credit Party under this </w:t>
      </w:r>
      <w:r>
        <w:rPr>
          <w:rFonts w:ascii="Arial" w:cs="Arial" w:eastAsia="Arial" w:hAnsi="Arial"/>
          <w:sz w:val="13"/>
          <w:szCs w:val="13"/>
          <w:u w:val="single" w:color="auto"/>
          <w:color w:val="auto"/>
        </w:rPr>
        <w:t>Section 6.07</w:t>
      </w:r>
      <w:r>
        <w:rPr>
          <w:rFonts w:ascii="Arial" w:cs="Arial" w:eastAsia="Arial" w:hAnsi="Arial"/>
          <w:sz w:val="13"/>
          <w:szCs w:val="13"/>
          <w:color w:val="auto"/>
        </w:rPr>
        <w:t xml:space="preserve"> shall in no event be deemed a representation, warranty or advice by such Credit Party that such insurance is adequate for the purposes of the business of the Loan Parties or the protection of their properties.</w:t>
      </w:r>
    </w:p>
    <w:p>
      <w:pPr>
        <w:spacing w:after="0" w:line="121" w:lineRule="exact"/>
        <w:rPr>
          <w:sz w:val="20"/>
          <w:szCs w:val="20"/>
          <w:color w:val="auto"/>
        </w:rPr>
      </w:pPr>
    </w:p>
    <w:p>
      <w:pPr>
        <w:jc w:val="both"/>
        <w:ind w:left="220" w:firstLine="808"/>
        <w:spacing w:after="0" w:line="256" w:lineRule="auto"/>
        <w:rPr>
          <w:sz w:val="20"/>
          <w:szCs w:val="20"/>
          <w:color w:val="auto"/>
        </w:rPr>
      </w:pPr>
      <w:r>
        <w:rPr>
          <w:rFonts w:ascii="Arial" w:cs="Arial" w:eastAsia="Arial" w:hAnsi="Arial"/>
          <w:sz w:val="13"/>
          <w:szCs w:val="13"/>
          <w:b w:val="1"/>
          <w:bCs w:val="1"/>
          <w:color w:val="auto"/>
        </w:rPr>
        <w:t>6.08 Compliance with Laws</w:t>
      </w:r>
      <w:r>
        <w:rPr>
          <w:rFonts w:ascii="Arial" w:cs="Arial" w:eastAsia="Arial" w:hAnsi="Arial"/>
          <w:sz w:val="13"/>
          <w:szCs w:val="13"/>
          <w:color w:val="auto"/>
        </w:rPr>
        <w:t>. Comply in all material respects with the requirements of all Laws and all orders, writs, injunctions and decrees applicable to it or to its business or</w:t>
      </w:r>
      <w:r>
        <w:rPr>
          <w:rFonts w:ascii="Arial" w:cs="Arial" w:eastAsia="Arial" w:hAnsi="Arial"/>
          <w:sz w:val="13"/>
          <w:szCs w:val="13"/>
          <w:b w:val="1"/>
          <w:bCs w:val="1"/>
          <w:color w:val="auto"/>
        </w:rPr>
        <w:t xml:space="preserve"> </w:t>
      </w:r>
      <w:r>
        <w:rPr>
          <w:rFonts w:ascii="Arial" w:cs="Arial" w:eastAsia="Arial" w:hAnsi="Arial"/>
          <w:sz w:val="13"/>
          <w:szCs w:val="13"/>
          <w:color w:val="auto"/>
        </w:rPr>
        <w:t>property, except in such instances in which (a) such requirement of Law or order, writ, injunction or decree is being contested in good faith by appropriate proceedings diligently conducted and with respect to which adequate reserves have been set aside and maintained by the Loan Parties in accordance with GAAP; (b) such contest effectively suspends enforcement of the contested Laws, and (c) the failure to comply therewith could not reasonably be expected to have a Material Adverse Effect.</w:t>
      </w:r>
    </w:p>
    <w:p>
      <w:pPr>
        <w:spacing w:after="0" w:line="119"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3"/>
          <w:szCs w:val="13"/>
          <w:b w:val="1"/>
          <w:bCs w:val="1"/>
          <w:color w:val="auto"/>
        </w:rPr>
        <w:t>6.09</w:t>
      </w:r>
      <w:r>
        <w:rPr>
          <w:sz w:val="20"/>
          <w:szCs w:val="20"/>
          <w:color w:val="auto"/>
        </w:rPr>
        <w:tab/>
      </w:r>
      <w:r>
        <w:rPr>
          <w:rFonts w:ascii="Arial" w:cs="Arial" w:eastAsia="Arial" w:hAnsi="Arial"/>
          <w:sz w:val="11"/>
          <w:szCs w:val="11"/>
          <w:b w:val="1"/>
          <w:bCs w:val="1"/>
          <w:color w:val="auto"/>
        </w:rPr>
        <w:t>Books and Records; Accountants.</w:t>
      </w:r>
    </w:p>
    <w:p>
      <w:pPr>
        <w:spacing w:after="0" w:line="152" w:lineRule="exact"/>
        <w:rPr>
          <w:sz w:val="20"/>
          <w:szCs w:val="20"/>
          <w:color w:val="auto"/>
        </w:rPr>
      </w:pPr>
    </w:p>
    <w:p>
      <w:pPr>
        <w:jc w:val="both"/>
        <w:ind w:left="220" w:firstLine="1624"/>
        <w:spacing w:after="0" w:line="258" w:lineRule="auto"/>
        <w:tabs>
          <w:tab w:leader="none" w:pos="2412" w:val="left"/>
        </w:tabs>
        <w:numPr>
          <w:ilvl w:val="0"/>
          <w:numId w:val="137"/>
        </w:numPr>
        <w:rPr>
          <w:rFonts w:ascii="Arial" w:cs="Arial" w:eastAsia="Arial" w:hAnsi="Arial"/>
          <w:sz w:val="13"/>
          <w:szCs w:val="13"/>
          <w:color w:val="auto"/>
        </w:rPr>
      </w:pPr>
      <w:r>
        <w:rPr>
          <w:rFonts w:ascii="Arial" w:cs="Arial" w:eastAsia="Arial" w:hAnsi="Arial"/>
          <w:sz w:val="13"/>
          <w:szCs w:val="13"/>
          <w:color w:val="auto"/>
        </w:rPr>
        <w:t>Maintain proper books of record and account, in which full, true and correct entries in conformity with GAAP consistently applied shall be made of all financial transactions and matters involving the assets and business of the Loan Parties or such Subsidiary, as the case may be; and (ii) maintain such books of record and account in material conformity with all applicable requirements of any Governmental Authority having regulatory jurisdiction over the Loan Parties or such Subsidiary, as the case may be.</w:t>
      </w:r>
    </w:p>
    <w:p>
      <w:pPr>
        <w:spacing w:after="0" w:line="121" w:lineRule="exact"/>
        <w:rPr>
          <w:rFonts w:ascii="Arial" w:cs="Arial" w:eastAsia="Arial" w:hAnsi="Arial"/>
          <w:sz w:val="13"/>
          <w:szCs w:val="13"/>
          <w:color w:val="auto"/>
        </w:rPr>
      </w:pPr>
    </w:p>
    <w:p>
      <w:pPr>
        <w:ind w:left="2420" w:hanging="576"/>
        <w:spacing w:after="0"/>
        <w:tabs>
          <w:tab w:leader="none" w:pos="2420" w:val="left"/>
        </w:tabs>
        <w:numPr>
          <w:ilvl w:val="0"/>
          <w:numId w:val="137"/>
        </w:numPr>
        <w:rPr>
          <w:rFonts w:ascii="Arial" w:cs="Arial" w:eastAsia="Arial" w:hAnsi="Arial"/>
          <w:sz w:val="12"/>
          <w:szCs w:val="12"/>
          <w:color w:val="auto"/>
        </w:rPr>
      </w:pPr>
      <w:r>
        <w:rPr>
          <w:rFonts w:ascii="Arial" w:cs="Arial" w:eastAsia="Arial" w:hAnsi="Arial"/>
          <w:sz w:val="12"/>
          <w:szCs w:val="12"/>
          <w:color w:val="auto"/>
        </w:rPr>
        <w:t>at all times retain a Registered Public Accounting Firm which is reasonably satisfactory to the Agent and instruct such Registered Public Accounting Firm to</w:t>
      </w:r>
    </w:p>
    <w:p>
      <w:pPr>
        <w:spacing w:after="0" w:line="25" w:lineRule="exact"/>
        <w:rPr>
          <w:rFonts w:ascii="Arial" w:cs="Arial" w:eastAsia="Arial" w:hAnsi="Arial"/>
          <w:sz w:val="12"/>
          <w:szCs w:val="12"/>
          <w:color w:val="auto"/>
        </w:rPr>
      </w:pPr>
    </w:p>
    <w:p>
      <w:pPr>
        <w:ind w:left="220"/>
        <w:spacing w:after="0"/>
        <w:rPr>
          <w:rFonts w:ascii="Arial" w:cs="Arial" w:eastAsia="Arial" w:hAnsi="Arial"/>
          <w:sz w:val="12"/>
          <w:szCs w:val="12"/>
          <w:color w:val="auto"/>
        </w:rPr>
      </w:pPr>
      <w:r>
        <w:rPr>
          <w:rFonts w:ascii="Arial" w:cs="Arial" w:eastAsia="Arial" w:hAnsi="Arial"/>
          <w:sz w:val="13"/>
          <w:szCs w:val="13"/>
          <w:color w:val="auto"/>
        </w:rPr>
        <w:t>cooperate with, and be</w:t>
      </w:r>
    </w:p>
    <w:p>
      <w:pPr>
        <w:spacing w:after="0" w:line="285"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107" w:name="page108"/>
    <w:bookmarkEnd w:id="107"/>
    <w:p>
      <w:pPr>
        <w:ind w:left="220"/>
        <w:spacing w:after="0" w:line="274" w:lineRule="auto"/>
        <w:rPr>
          <w:sz w:val="20"/>
          <w:szCs w:val="20"/>
          <w:color w:val="auto"/>
        </w:rPr>
      </w:pPr>
      <w:r>
        <w:rPr>
          <w:rFonts w:ascii="Arial" w:cs="Arial" w:eastAsia="Arial" w:hAnsi="Arial"/>
          <w:sz w:val="13"/>
          <w:szCs w:val="13"/>
          <w:color w:val="auto"/>
        </w:rPr>
        <w:t>available to, the Agent or its representatives to discuss the Loan Parties’ financial performance, financial condition, operating results, controls, and such other matters, within the scope of the retention of such Registered Public Accounting Firm, as may be raised by the Agent.</w:t>
      </w:r>
    </w:p>
    <w:p>
      <w:pPr>
        <w:spacing w:after="0" w:line="106"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3"/>
          <w:szCs w:val="13"/>
          <w:b w:val="1"/>
          <w:bCs w:val="1"/>
          <w:color w:val="auto"/>
        </w:rPr>
        <w:t>6.10</w:t>
      </w:r>
      <w:r>
        <w:rPr>
          <w:sz w:val="20"/>
          <w:szCs w:val="20"/>
          <w:color w:val="auto"/>
        </w:rPr>
        <w:tab/>
      </w:r>
      <w:r>
        <w:rPr>
          <w:rFonts w:ascii="Arial" w:cs="Arial" w:eastAsia="Arial" w:hAnsi="Arial"/>
          <w:sz w:val="11"/>
          <w:szCs w:val="11"/>
          <w:b w:val="1"/>
          <w:bCs w:val="1"/>
          <w:color w:val="auto"/>
        </w:rPr>
        <w:t>Inspection Rights.</w:t>
      </w:r>
    </w:p>
    <w:p>
      <w:pPr>
        <w:spacing w:after="0" w:line="152" w:lineRule="exact"/>
        <w:rPr>
          <w:sz w:val="20"/>
          <w:szCs w:val="20"/>
          <w:color w:val="auto"/>
        </w:rPr>
      </w:pPr>
    </w:p>
    <w:p>
      <w:pPr>
        <w:jc w:val="both"/>
        <w:ind w:left="220" w:firstLine="1624"/>
        <w:spacing w:after="0" w:line="252" w:lineRule="auto"/>
        <w:tabs>
          <w:tab w:leader="none" w:pos="2412" w:val="left"/>
        </w:tabs>
        <w:numPr>
          <w:ilvl w:val="0"/>
          <w:numId w:val="138"/>
        </w:numPr>
        <w:rPr>
          <w:rFonts w:ascii="Arial" w:cs="Arial" w:eastAsia="Arial" w:hAnsi="Arial"/>
          <w:sz w:val="13"/>
          <w:szCs w:val="13"/>
          <w:color w:val="auto"/>
        </w:rPr>
      </w:pPr>
      <w:r>
        <w:rPr>
          <w:rFonts w:ascii="Arial" w:cs="Arial" w:eastAsia="Arial" w:hAnsi="Arial"/>
          <w:sz w:val="13"/>
          <w:szCs w:val="13"/>
          <w:color w:val="auto"/>
        </w:rPr>
        <w:t xml:space="preserve">Permit representatives and independent contractors of the Agent to visit and inspect any of its properties, to examine its corporate, financial and operating records, and make copies thereof or abstracts therefrom, and to discuss its affairs, finances and accounts with its directors, officers, and Registered Public Accounting Firm, all at the reasonable expense of the Loan Parties and at such reasonable times during normal business hours and as often as may be reasonably desired, upon reasonable advance notice to the Lead Borrower;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when a Default or an Event of Default exists the Agent (or any of its representatives or independent contractors) may do any of the foregoing at the expense of the Loan Parties at any time during normal business hours and without advance notice.</w:t>
      </w:r>
    </w:p>
    <w:p>
      <w:pPr>
        <w:spacing w:after="0" w:line="124" w:lineRule="exact"/>
        <w:rPr>
          <w:rFonts w:ascii="Arial" w:cs="Arial" w:eastAsia="Arial" w:hAnsi="Arial"/>
          <w:sz w:val="13"/>
          <w:szCs w:val="13"/>
          <w:color w:val="auto"/>
        </w:rPr>
      </w:pPr>
    </w:p>
    <w:p>
      <w:pPr>
        <w:jc w:val="both"/>
        <w:ind w:left="220" w:firstLine="1624"/>
        <w:spacing w:after="0" w:line="249" w:lineRule="auto"/>
        <w:tabs>
          <w:tab w:leader="none" w:pos="2419" w:val="left"/>
        </w:tabs>
        <w:numPr>
          <w:ilvl w:val="0"/>
          <w:numId w:val="138"/>
        </w:numPr>
        <w:rPr>
          <w:rFonts w:ascii="Arial" w:cs="Arial" w:eastAsia="Arial" w:hAnsi="Arial"/>
          <w:sz w:val="13"/>
          <w:szCs w:val="13"/>
          <w:color w:val="auto"/>
        </w:rPr>
      </w:pPr>
      <w:r>
        <w:rPr>
          <w:rFonts w:ascii="Arial" w:cs="Arial" w:eastAsia="Arial" w:hAnsi="Arial"/>
          <w:sz w:val="13"/>
          <w:szCs w:val="13"/>
          <w:color w:val="auto"/>
        </w:rPr>
        <w:t xml:space="preserve">Upon the request of the Agent after reasonable prior notice, permit the Agent or professionals (including investment bankers, consultants, accountants, and lawyers) retained by the Agent to conduct commercial finance examinations and other evaluations of the Loan Parties, including, without limitation, of (i) the Lead Borrower’s practices in the computation of the Borrowing Base and the FILO Borrowing Base (ii) the assets included in the Borrowing Base or the FILO Borrowing Base and related financial information such as, but not limited to, sales, gross margins, payables, accruals and reserves, and (iii) the Loan Parties’ business plan, forecasts and cash flows. The Loan Parties acknowledge that the Agent may, in its discretion, undertake up to one (1) commercial finance examinations in each twelve month period at the Loan Parties’ reasonable expense;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Availability is less than twenty percent (20%) of the Revolving Loan Cap at any at any time, the Agent may, in its discretion, undertake up to two (2) commercial finance examinations in the immediately succeeding twelve month period. Notwithstanding the foregoing, the Agent may cause additional commercial finance examinations to be undertaken (i) as it in its discretion deems necessary or appropriate, at the Credit Parties’ expense or, (ii) if required by Law or if a Default or Event of Default shall have occurred and be continuing, at the expense of the Loan Parties.</w:t>
      </w:r>
    </w:p>
    <w:p>
      <w:pPr>
        <w:spacing w:after="0" w:line="128" w:lineRule="exact"/>
        <w:rPr>
          <w:rFonts w:ascii="Arial" w:cs="Arial" w:eastAsia="Arial" w:hAnsi="Arial"/>
          <w:sz w:val="13"/>
          <w:szCs w:val="13"/>
          <w:color w:val="auto"/>
        </w:rPr>
      </w:pPr>
    </w:p>
    <w:p>
      <w:pPr>
        <w:jc w:val="both"/>
        <w:ind w:left="220" w:firstLine="1624"/>
        <w:spacing w:after="0" w:line="275" w:lineRule="auto"/>
        <w:tabs>
          <w:tab w:leader="none" w:pos="2412" w:val="left"/>
        </w:tabs>
        <w:numPr>
          <w:ilvl w:val="0"/>
          <w:numId w:val="138"/>
        </w:numPr>
        <w:rPr>
          <w:rFonts w:ascii="Arial" w:cs="Arial" w:eastAsia="Arial" w:hAnsi="Arial"/>
          <w:sz w:val="12"/>
          <w:szCs w:val="12"/>
          <w:color w:val="auto"/>
        </w:rPr>
      </w:pPr>
      <w:r>
        <w:rPr>
          <w:rFonts w:ascii="Arial" w:cs="Arial" w:eastAsia="Arial" w:hAnsi="Arial"/>
          <w:sz w:val="12"/>
          <w:szCs w:val="12"/>
          <w:color w:val="auto"/>
        </w:rPr>
        <w:t xml:space="preserve">Upon the request of the Agent after reasonable prior notice, permit the Agent or professionals (including appraisers) retained by the Agent to conduct appraisals of the Collateral, including, without limitation, the Inventory and trade names included in the included in the Borrowing Base and the FILO Borrowing Base. The Loan Parties acknowledge that the Agent may, in its discretion, undertake up to one (1) such Inventory appraisal and one (1) such trade name appraisal in each twelve month period at the Loan Parties’ reasonable expense;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Availability is less than twenty percent (20%) of the Revolving Loan Cap at any at any time, the Agent may, in its discretion, undertake up to two (2) Inventory appraisals and two (2) trade name appraisals in the immediately succeeding twelve month period. Notwithstanding the foregoing, the Agent may cause additional appraisals to be undertaken (i) as it in its discretion deems necessary or appropriate, at the Credit Parties’ expense or, (ii) if required by Law or if a Default or Event of Default shall have occurred and be continuing, at the expense of the Loan Parties.</w:t>
      </w:r>
    </w:p>
    <w:p>
      <w:pPr>
        <w:spacing w:after="0" w:line="110" w:lineRule="exact"/>
        <w:rPr>
          <w:sz w:val="20"/>
          <w:szCs w:val="20"/>
          <w:color w:val="auto"/>
        </w:rPr>
      </w:pPr>
    </w:p>
    <w:p>
      <w:pPr>
        <w:jc w:val="both"/>
        <w:ind w:left="220" w:firstLine="808"/>
        <w:spacing w:after="0" w:line="256" w:lineRule="auto"/>
        <w:rPr>
          <w:sz w:val="20"/>
          <w:szCs w:val="20"/>
          <w:color w:val="auto"/>
        </w:rPr>
      </w:pPr>
      <w:r>
        <w:rPr>
          <w:rFonts w:ascii="Arial" w:cs="Arial" w:eastAsia="Arial" w:hAnsi="Arial"/>
          <w:sz w:val="13"/>
          <w:szCs w:val="13"/>
          <w:b w:val="1"/>
          <w:bCs w:val="1"/>
          <w:color w:val="auto"/>
        </w:rPr>
        <w:t>6.11 Additional Loan Parties</w:t>
      </w:r>
      <w:r>
        <w:rPr>
          <w:rFonts w:ascii="Arial" w:cs="Arial" w:eastAsia="Arial" w:hAnsi="Arial"/>
          <w:sz w:val="13"/>
          <w:szCs w:val="13"/>
          <w:color w:val="auto"/>
        </w:rPr>
        <w:t>. Notify the Agent at the time that any Person becomes a Domestic Subsidiary, and promptly thereafter (and in any event within thirty (30) days), cause</w:t>
      </w:r>
      <w:r>
        <w:rPr>
          <w:rFonts w:ascii="Arial" w:cs="Arial" w:eastAsia="Arial" w:hAnsi="Arial"/>
          <w:sz w:val="13"/>
          <w:szCs w:val="13"/>
          <w:b w:val="1"/>
          <w:bCs w:val="1"/>
          <w:color w:val="auto"/>
        </w:rPr>
        <w:t xml:space="preserve"> </w:t>
      </w:r>
      <w:r>
        <w:rPr>
          <w:rFonts w:ascii="Arial" w:cs="Arial" w:eastAsia="Arial" w:hAnsi="Arial"/>
          <w:sz w:val="13"/>
          <w:szCs w:val="13"/>
          <w:color w:val="auto"/>
        </w:rPr>
        <w:t>any such Person (a) which is not a CFC or the Immaterial Subsidiary to (i) become a Loan Party by executing and delivering to the Agent a Joinder Agreement to this Agreement or a Joinder Agreement to the Facility Guaranty or such other documents as the Agent shall deem appropriate for such purpose, (ii) grant a Lien to the Agent on such Person’s assets of the same type that constitute Collateral to secure the Obligations,</w:t>
      </w:r>
    </w:p>
    <w:p>
      <w:pPr>
        <w:spacing w:after="0" w:line="270"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108" w:name="page109"/>
    <w:bookmarkEnd w:id="108"/>
    <w:p>
      <w:pPr>
        <w:jc w:val="both"/>
        <w:ind w:left="220"/>
        <w:spacing w:after="0" w:line="250" w:lineRule="auto"/>
        <w:rPr>
          <w:sz w:val="20"/>
          <w:szCs w:val="20"/>
          <w:color w:val="auto"/>
        </w:rPr>
      </w:pPr>
      <w:r>
        <w:rPr>
          <w:rFonts w:ascii="Arial" w:cs="Arial" w:eastAsia="Arial" w:hAnsi="Arial"/>
          <w:sz w:val="13"/>
          <w:szCs w:val="13"/>
          <w:color w:val="auto"/>
        </w:rPr>
        <w:t xml:space="preserve">and (iii) deliver to the Agent documents of the types referred to in clauses (iii) and (iv) of </w:t>
      </w:r>
      <w:r>
        <w:rPr>
          <w:rFonts w:ascii="Arial" w:cs="Arial" w:eastAsia="Arial" w:hAnsi="Arial"/>
          <w:sz w:val="13"/>
          <w:szCs w:val="13"/>
          <w:u w:val="single" w:color="auto"/>
          <w:color w:val="auto"/>
        </w:rPr>
        <w:t>Section 4.01(a)</w:t>
      </w:r>
      <w:r>
        <w:rPr>
          <w:rFonts w:ascii="Arial" w:cs="Arial" w:eastAsia="Arial" w:hAnsi="Arial"/>
          <w:sz w:val="13"/>
          <w:szCs w:val="13"/>
          <w:color w:val="auto"/>
        </w:rPr>
        <w:t xml:space="preserve"> and favorable opinions of counsel to such Person (which shall cover, among other things, the legality, validity, binding effect and enforceability of the documentation referred to in clause (a)), and (b) if any Equity Interests or Indebtedness of such Person are owned by or on behalf of any Loan Party, to pledge such Equity Interests and promissory notes evidencing such Indebtedness (except that, if such Subsidiary is a CFC), the Equity Interests of such Subsidiary to be pledged may be limited to 65% of the outstanding voting Equity Interests of such Subsidiary and 100% of the non-voting Equity Interests of such Subsidiary, in each case in form, content and scope reasonably satisfactory to the Agent. In no event shall compliance with this </w:t>
      </w:r>
      <w:r>
        <w:rPr>
          <w:rFonts w:ascii="Arial" w:cs="Arial" w:eastAsia="Arial" w:hAnsi="Arial"/>
          <w:sz w:val="13"/>
          <w:szCs w:val="13"/>
          <w:u w:val="single" w:color="auto"/>
          <w:color w:val="auto"/>
        </w:rPr>
        <w:t>Section 6.11</w:t>
      </w:r>
      <w:r>
        <w:rPr>
          <w:rFonts w:ascii="Arial" w:cs="Arial" w:eastAsia="Arial" w:hAnsi="Arial"/>
          <w:sz w:val="13"/>
          <w:szCs w:val="13"/>
          <w:color w:val="auto"/>
        </w:rPr>
        <w:t xml:space="preserve"> waive or be deemed a waiver or Consent to any transaction giving rise to the need to comply with this </w:t>
      </w:r>
      <w:r>
        <w:rPr>
          <w:rFonts w:ascii="Arial" w:cs="Arial" w:eastAsia="Arial" w:hAnsi="Arial"/>
          <w:sz w:val="13"/>
          <w:szCs w:val="13"/>
          <w:u w:val="single" w:color="auto"/>
          <w:color w:val="auto"/>
        </w:rPr>
        <w:t>Section 6.11</w:t>
      </w:r>
      <w:r>
        <w:rPr>
          <w:rFonts w:ascii="Arial" w:cs="Arial" w:eastAsia="Arial" w:hAnsi="Arial"/>
          <w:sz w:val="13"/>
          <w:szCs w:val="13"/>
          <w:color w:val="auto"/>
        </w:rPr>
        <w:t xml:space="preserve"> if such transaction was not otherwise expressly permitted by this Agreement or constitute or be deemed to constitute, with respect to any Subsidiary, an approval of such Person as a Borrower or Guarantor hereunder or permit the inclusion of any acquired assets in the computation of the Borrowing Base and/or the FILO Borrowing Base.</w:t>
      </w:r>
    </w:p>
    <w:p>
      <w:pPr>
        <w:spacing w:after="0" w:line="123"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3"/>
          <w:szCs w:val="13"/>
          <w:b w:val="1"/>
          <w:bCs w:val="1"/>
          <w:color w:val="auto"/>
        </w:rPr>
        <w:t>6.12</w:t>
      </w:r>
      <w:r>
        <w:rPr>
          <w:sz w:val="20"/>
          <w:szCs w:val="20"/>
          <w:color w:val="auto"/>
        </w:rPr>
        <w:tab/>
      </w:r>
      <w:r>
        <w:rPr>
          <w:rFonts w:ascii="Arial" w:cs="Arial" w:eastAsia="Arial" w:hAnsi="Arial"/>
          <w:sz w:val="11"/>
          <w:szCs w:val="11"/>
          <w:b w:val="1"/>
          <w:bCs w:val="1"/>
          <w:color w:val="auto"/>
        </w:rPr>
        <w:t>Cash Management</w:t>
      </w:r>
      <w:r>
        <w:rPr>
          <w:rFonts w:ascii="Arial" w:cs="Arial" w:eastAsia="Arial" w:hAnsi="Arial"/>
          <w:sz w:val="11"/>
          <w:szCs w:val="11"/>
          <w:color w:val="auto"/>
        </w:rPr>
        <w:t>.</w:t>
      </w:r>
    </w:p>
    <w:p>
      <w:pPr>
        <w:spacing w:after="0" w:line="152" w:lineRule="exact"/>
        <w:rPr>
          <w:sz w:val="20"/>
          <w:szCs w:val="20"/>
          <w:color w:val="auto"/>
        </w:rPr>
      </w:pPr>
    </w:p>
    <w:p>
      <w:pPr>
        <w:ind w:left="2460" w:hanging="582"/>
        <w:spacing w:after="0"/>
        <w:tabs>
          <w:tab w:leader="none" w:pos="2460" w:val="left"/>
        </w:tabs>
        <w:numPr>
          <w:ilvl w:val="1"/>
          <w:numId w:val="139"/>
        </w:numPr>
        <w:rPr>
          <w:rFonts w:ascii="Arial" w:cs="Arial" w:eastAsia="Arial" w:hAnsi="Arial"/>
          <w:sz w:val="13"/>
          <w:szCs w:val="13"/>
          <w:color w:val="auto"/>
        </w:rPr>
      </w:pPr>
      <w:r>
        <w:rPr>
          <w:rFonts w:ascii="Arial" w:cs="Arial" w:eastAsia="Arial" w:hAnsi="Arial"/>
          <w:sz w:val="13"/>
          <w:szCs w:val="13"/>
          <w:color w:val="auto"/>
        </w:rPr>
        <w:t>On or prior to the Closing Date:</w:t>
      </w:r>
    </w:p>
    <w:p>
      <w:pPr>
        <w:spacing w:after="0" w:line="147" w:lineRule="exact"/>
        <w:rPr>
          <w:rFonts w:ascii="Arial" w:cs="Arial" w:eastAsia="Arial" w:hAnsi="Arial"/>
          <w:sz w:val="13"/>
          <w:szCs w:val="13"/>
          <w:color w:val="auto"/>
        </w:rPr>
      </w:pPr>
    </w:p>
    <w:p>
      <w:pPr>
        <w:ind w:left="1080" w:firstLine="1484"/>
        <w:spacing w:after="0" w:line="271" w:lineRule="auto"/>
        <w:tabs>
          <w:tab w:leader="none" w:pos="3129" w:val="left"/>
        </w:tabs>
        <w:numPr>
          <w:ilvl w:val="2"/>
          <w:numId w:val="139"/>
        </w:numPr>
        <w:rPr>
          <w:rFonts w:ascii="Arial" w:cs="Arial" w:eastAsia="Arial" w:hAnsi="Arial"/>
          <w:sz w:val="13"/>
          <w:szCs w:val="13"/>
          <w:color w:val="auto"/>
        </w:rPr>
      </w:pPr>
      <w:r>
        <w:rPr>
          <w:rFonts w:ascii="Arial" w:cs="Arial" w:eastAsia="Arial" w:hAnsi="Arial"/>
          <w:sz w:val="13"/>
          <w:szCs w:val="13"/>
          <w:color w:val="auto"/>
        </w:rPr>
        <w:t xml:space="preserve">deliver to the Agent copies of notifications (each, a “Credit Card Notification”) reasonably satisfactory in form and substance to the Agent, which have been executed on behalf of such Loan Party and delivered to such Loan Party’s credit card clearinghouses and processors listed on </w:t>
      </w:r>
      <w:r>
        <w:rPr>
          <w:rFonts w:ascii="Arial" w:cs="Arial" w:eastAsia="Arial" w:hAnsi="Arial"/>
          <w:sz w:val="13"/>
          <w:szCs w:val="13"/>
          <w:u w:val="single" w:color="auto"/>
          <w:color w:val="auto"/>
        </w:rPr>
        <w:t>Schedule 5.21(b)</w:t>
      </w:r>
      <w:r>
        <w:rPr>
          <w:rFonts w:ascii="Arial" w:cs="Arial" w:eastAsia="Arial" w:hAnsi="Arial"/>
          <w:sz w:val="13"/>
          <w:szCs w:val="13"/>
          <w:color w:val="auto"/>
        </w:rPr>
        <w:t>; and</w:t>
      </w:r>
    </w:p>
    <w:p>
      <w:pPr>
        <w:spacing w:after="0" w:line="112" w:lineRule="exact"/>
        <w:rPr>
          <w:rFonts w:ascii="Arial" w:cs="Arial" w:eastAsia="Arial" w:hAnsi="Arial"/>
          <w:sz w:val="13"/>
          <w:szCs w:val="13"/>
          <w:color w:val="auto"/>
        </w:rPr>
      </w:pPr>
    </w:p>
    <w:p>
      <w:pPr>
        <w:ind w:left="3160" w:hanging="596"/>
        <w:spacing w:after="0"/>
        <w:tabs>
          <w:tab w:leader="none" w:pos="3160" w:val="left"/>
        </w:tabs>
        <w:numPr>
          <w:ilvl w:val="2"/>
          <w:numId w:val="139"/>
        </w:numPr>
        <w:rPr>
          <w:rFonts w:ascii="Arial" w:cs="Arial" w:eastAsia="Arial" w:hAnsi="Arial"/>
          <w:sz w:val="12"/>
          <w:szCs w:val="12"/>
          <w:color w:val="auto"/>
        </w:rPr>
      </w:pPr>
      <w:r>
        <w:rPr>
          <w:rFonts w:ascii="Arial" w:cs="Arial" w:eastAsia="Arial" w:hAnsi="Arial"/>
          <w:sz w:val="12"/>
          <w:szCs w:val="12"/>
          <w:color w:val="auto"/>
        </w:rPr>
        <w:t>enter into an Account Control Agreement satisfactory in form and substance to the Agent with each Controlled Account Bank (collectively, the</w:t>
      </w:r>
    </w:p>
    <w:p>
      <w:pPr>
        <w:spacing w:after="0" w:line="25" w:lineRule="exact"/>
        <w:rPr>
          <w:rFonts w:ascii="Arial" w:cs="Arial" w:eastAsia="Arial" w:hAnsi="Arial"/>
          <w:sz w:val="12"/>
          <w:szCs w:val="12"/>
          <w:color w:val="auto"/>
        </w:rPr>
      </w:pPr>
    </w:p>
    <w:p>
      <w:pPr>
        <w:ind w:left="1080"/>
        <w:spacing w:after="0"/>
        <w:rPr>
          <w:rFonts w:ascii="Arial" w:cs="Arial" w:eastAsia="Arial" w:hAnsi="Arial"/>
          <w:sz w:val="12"/>
          <w:szCs w:val="12"/>
          <w:color w:val="auto"/>
        </w:rPr>
      </w:pPr>
      <w:r>
        <w:rPr>
          <w:rFonts w:ascii="Arial" w:cs="Arial" w:eastAsia="Arial" w:hAnsi="Arial"/>
          <w:sz w:val="13"/>
          <w:szCs w:val="13"/>
          <w:color w:val="auto"/>
        </w:rPr>
        <w:t>“Controlled Accounts”).</w:t>
      </w:r>
    </w:p>
    <w:p>
      <w:pPr>
        <w:spacing w:after="0" w:line="137" w:lineRule="exact"/>
        <w:rPr>
          <w:rFonts w:ascii="Arial" w:cs="Arial" w:eastAsia="Arial" w:hAnsi="Arial"/>
          <w:sz w:val="12"/>
          <w:szCs w:val="12"/>
          <w:color w:val="auto"/>
        </w:rPr>
      </w:pPr>
    </w:p>
    <w:p>
      <w:pPr>
        <w:jc w:val="both"/>
        <w:ind w:left="220" w:firstLine="1623"/>
        <w:spacing w:after="0" w:line="258" w:lineRule="auto"/>
        <w:tabs>
          <w:tab w:leader="none" w:pos="2419" w:val="left"/>
        </w:tabs>
        <w:numPr>
          <w:ilvl w:val="0"/>
          <w:numId w:val="140"/>
        </w:numPr>
        <w:rPr>
          <w:rFonts w:ascii="Arial" w:cs="Arial" w:eastAsia="Arial" w:hAnsi="Arial"/>
          <w:sz w:val="13"/>
          <w:szCs w:val="13"/>
          <w:color w:val="auto"/>
        </w:rPr>
      </w:pPr>
      <w:r>
        <w:rPr>
          <w:rFonts w:ascii="Arial" w:cs="Arial" w:eastAsia="Arial" w:hAnsi="Arial"/>
          <w:sz w:val="13"/>
          <w:szCs w:val="13"/>
          <w:color w:val="auto"/>
        </w:rPr>
        <w:t>ACH or wire transfer no less frequently than daily (and whether or not there are then any outstanding Obligations) to a Controlled Account all amounts on deposit in each DDA (net of any minimum balance, not to exceed $2,500.00, as may be required to be kept in the subject DDA by the depository institution at which such DDA is maintained) and all payments due from all Credit Card Issuers and Credit Card Processors.</w:t>
      </w:r>
    </w:p>
    <w:p>
      <w:pPr>
        <w:spacing w:after="0" w:line="121" w:lineRule="exact"/>
        <w:rPr>
          <w:rFonts w:ascii="Arial" w:cs="Arial" w:eastAsia="Arial" w:hAnsi="Arial"/>
          <w:sz w:val="13"/>
          <w:szCs w:val="13"/>
          <w:color w:val="auto"/>
        </w:rPr>
      </w:pPr>
    </w:p>
    <w:p>
      <w:pPr>
        <w:jc w:val="both"/>
        <w:ind w:left="220" w:firstLine="1623"/>
        <w:spacing w:after="0" w:line="258" w:lineRule="auto"/>
        <w:tabs>
          <w:tab w:leader="none" w:pos="2411" w:val="left"/>
        </w:tabs>
        <w:numPr>
          <w:ilvl w:val="0"/>
          <w:numId w:val="140"/>
        </w:numPr>
        <w:rPr>
          <w:rFonts w:ascii="Arial" w:cs="Arial" w:eastAsia="Arial" w:hAnsi="Arial"/>
          <w:sz w:val="13"/>
          <w:szCs w:val="13"/>
          <w:color w:val="auto"/>
        </w:rPr>
      </w:pPr>
      <w:r>
        <w:rPr>
          <w:rFonts w:ascii="Arial" w:cs="Arial" w:eastAsia="Arial" w:hAnsi="Arial"/>
          <w:sz w:val="13"/>
          <w:szCs w:val="13"/>
          <w:color w:val="auto"/>
        </w:rPr>
        <w:t>After the occurrence and during the continuance of a Cash Dominion Event, cause the ACH or wire transfer to the collection account maintained by the Agent at Bank of America (the “Collection Account”), no less frequently than daily (and whether or not there are then any outstanding Obligations), all cash receipts and collections received by each Loan Party from all sources, including, without limitation, the following:</w:t>
      </w:r>
    </w:p>
    <w:p>
      <w:pPr>
        <w:spacing w:after="0" w:line="121" w:lineRule="exact"/>
        <w:rPr>
          <w:rFonts w:ascii="Arial" w:cs="Arial" w:eastAsia="Arial" w:hAnsi="Arial"/>
          <w:sz w:val="13"/>
          <w:szCs w:val="13"/>
          <w:color w:val="auto"/>
        </w:rPr>
      </w:pPr>
    </w:p>
    <w:p>
      <w:pPr>
        <w:ind w:left="3120" w:hanging="556"/>
        <w:spacing w:after="0"/>
        <w:tabs>
          <w:tab w:leader="none" w:pos="3120" w:val="left"/>
        </w:tabs>
        <w:numPr>
          <w:ilvl w:val="2"/>
          <w:numId w:val="140"/>
        </w:numPr>
        <w:rPr>
          <w:rFonts w:ascii="Arial" w:cs="Arial" w:eastAsia="Arial" w:hAnsi="Arial"/>
          <w:sz w:val="12"/>
          <w:szCs w:val="12"/>
          <w:color w:val="auto"/>
        </w:rPr>
      </w:pPr>
      <w:r>
        <w:rPr>
          <w:rFonts w:ascii="Arial" w:cs="Arial" w:eastAsia="Arial" w:hAnsi="Arial"/>
          <w:sz w:val="12"/>
          <w:szCs w:val="12"/>
          <w:color w:val="auto"/>
        </w:rPr>
        <w:t>all available cash receipts from the sale of Inventory (including without limitation, proceeds of credit card charges) and other assets (whether or not</w:t>
      </w:r>
    </w:p>
    <w:p>
      <w:pPr>
        <w:spacing w:after="0" w:line="25" w:lineRule="exact"/>
        <w:rPr>
          <w:rFonts w:ascii="Arial" w:cs="Arial" w:eastAsia="Arial" w:hAnsi="Arial"/>
          <w:sz w:val="12"/>
          <w:szCs w:val="12"/>
          <w:color w:val="auto"/>
        </w:rPr>
      </w:pPr>
    </w:p>
    <w:p>
      <w:pPr>
        <w:ind w:left="1080"/>
        <w:spacing w:after="0"/>
        <w:rPr>
          <w:rFonts w:ascii="Arial" w:cs="Arial" w:eastAsia="Arial" w:hAnsi="Arial"/>
          <w:sz w:val="12"/>
          <w:szCs w:val="12"/>
          <w:color w:val="auto"/>
        </w:rPr>
      </w:pPr>
      <w:r>
        <w:rPr>
          <w:rFonts w:ascii="Arial" w:cs="Arial" w:eastAsia="Arial" w:hAnsi="Arial"/>
          <w:sz w:val="13"/>
          <w:szCs w:val="13"/>
          <w:color w:val="auto"/>
        </w:rPr>
        <w:t>constituting Collateral);</w:t>
      </w:r>
    </w:p>
    <w:p>
      <w:pPr>
        <w:spacing w:after="0" w:line="137" w:lineRule="exact"/>
        <w:rPr>
          <w:rFonts w:ascii="Arial" w:cs="Arial" w:eastAsia="Arial" w:hAnsi="Arial"/>
          <w:sz w:val="12"/>
          <w:szCs w:val="12"/>
          <w:color w:val="auto"/>
        </w:rPr>
      </w:pPr>
    </w:p>
    <w:p>
      <w:pPr>
        <w:ind w:left="3160" w:hanging="596"/>
        <w:spacing w:after="0"/>
        <w:tabs>
          <w:tab w:leader="none" w:pos="3160" w:val="left"/>
        </w:tabs>
        <w:numPr>
          <w:ilvl w:val="2"/>
          <w:numId w:val="140"/>
        </w:numPr>
        <w:rPr>
          <w:rFonts w:ascii="Arial" w:cs="Arial" w:eastAsia="Arial" w:hAnsi="Arial"/>
          <w:sz w:val="13"/>
          <w:szCs w:val="13"/>
          <w:color w:val="auto"/>
        </w:rPr>
      </w:pPr>
      <w:r>
        <w:rPr>
          <w:rFonts w:ascii="Arial" w:cs="Arial" w:eastAsia="Arial" w:hAnsi="Arial"/>
          <w:sz w:val="13"/>
          <w:szCs w:val="13"/>
          <w:color w:val="auto"/>
        </w:rPr>
        <w:t>all proceeds of collections of Accounts;</w:t>
      </w:r>
    </w:p>
    <w:p>
      <w:pPr>
        <w:spacing w:after="0" w:line="147" w:lineRule="exact"/>
        <w:rPr>
          <w:rFonts w:ascii="Arial" w:cs="Arial" w:eastAsia="Arial" w:hAnsi="Arial"/>
          <w:sz w:val="13"/>
          <w:szCs w:val="13"/>
          <w:color w:val="auto"/>
        </w:rPr>
      </w:pPr>
    </w:p>
    <w:p>
      <w:pPr>
        <w:ind w:left="3200" w:hanging="636"/>
        <w:spacing w:after="0"/>
        <w:tabs>
          <w:tab w:leader="none" w:pos="3200" w:val="left"/>
        </w:tabs>
        <w:numPr>
          <w:ilvl w:val="2"/>
          <w:numId w:val="140"/>
        </w:numPr>
        <w:rPr>
          <w:rFonts w:ascii="Arial" w:cs="Arial" w:eastAsia="Arial" w:hAnsi="Arial"/>
          <w:sz w:val="12"/>
          <w:szCs w:val="12"/>
          <w:color w:val="auto"/>
        </w:rPr>
      </w:pPr>
      <w:r>
        <w:rPr>
          <w:rFonts w:ascii="Arial" w:cs="Arial" w:eastAsia="Arial" w:hAnsi="Arial"/>
          <w:sz w:val="12"/>
          <w:szCs w:val="12"/>
          <w:color w:val="auto"/>
        </w:rPr>
        <w:t>all Net Proceeds, and all other cash payments received by a Loan Party from any Person or from any source or on account of any Disposition or other</w:t>
      </w:r>
    </w:p>
    <w:p>
      <w:pPr>
        <w:spacing w:after="0" w:line="25" w:lineRule="exact"/>
        <w:rPr>
          <w:rFonts w:ascii="Arial" w:cs="Arial" w:eastAsia="Arial" w:hAnsi="Arial"/>
          <w:sz w:val="12"/>
          <w:szCs w:val="12"/>
          <w:color w:val="auto"/>
        </w:rPr>
      </w:pPr>
    </w:p>
    <w:p>
      <w:pPr>
        <w:ind w:left="1080"/>
        <w:spacing w:after="0"/>
        <w:rPr>
          <w:rFonts w:ascii="Arial" w:cs="Arial" w:eastAsia="Arial" w:hAnsi="Arial"/>
          <w:sz w:val="12"/>
          <w:szCs w:val="12"/>
          <w:color w:val="auto"/>
        </w:rPr>
      </w:pPr>
      <w:r>
        <w:rPr>
          <w:rFonts w:ascii="Arial" w:cs="Arial" w:eastAsia="Arial" w:hAnsi="Arial"/>
          <w:sz w:val="13"/>
          <w:szCs w:val="13"/>
          <w:color w:val="auto"/>
        </w:rPr>
        <w:t>transaction or event;</w:t>
      </w:r>
    </w:p>
    <w:p>
      <w:pPr>
        <w:spacing w:after="0" w:line="285"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109" w:name="page110"/>
    <w:bookmarkEnd w:id="109"/>
    <w:p>
      <w:pPr>
        <w:ind w:left="1080" w:firstLine="1484"/>
        <w:spacing w:after="0" w:line="273" w:lineRule="auto"/>
        <w:tabs>
          <w:tab w:leader="none" w:pos="3194" w:val="left"/>
        </w:tabs>
        <w:numPr>
          <w:ilvl w:val="1"/>
          <w:numId w:val="141"/>
        </w:numPr>
        <w:rPr>
          <w:rFonts w:ascii="Arial" w:cs="Arial" w:eastAsia="Arial" w:hAnsi="Arial"/>
          <w:sz w:val="13"/>
          <w:szCs w:val="13"/>
          <w:color w:val="auto"/>
        </w:rPr>
      </w:pPr>
      <w:r>
        <w:rPr>
          <w:rFonts w:ascii="Arial" w:cs="Arial" w:eastAsia="Arial" w:hAnsi="Arial"/>
          <w:sz w:val="13"/>
          <w:szCs w:val="13"/>
          <w:color w:val="auto"/>
        </w:rPr>
        <w:t>the then contents of each DDA (net of any minimum balance, not to exceed $2,500.00, as may be required to be kept in the subject DDA by the depository institution at which such DDA is maintained); and</w:t>
      </w:r>
    </w:p>
    <w:p>
      <w:pPr>
        <w:spacing w:after="0" w:line="111" w:lineRule="exact"/>
        <w:rPr>
          <w:rFonts w:ascii="Arial" w:cs="Arial" w:eastAsia="Arial" w:hAnsi="Arial"/>
          <w:sz w:val="13"/>
          <w:szCs w:val="13"/>
          <w:color w:val="auto"/>
        </w:rPr>
      </w:pPr>
    </w:p>
    <w:p>
      <w:pPr>
        <w:ind w:left="1080" w:firstLine="1484"/>
        <w:spacing w:after="0" w:line="271" w:lineRule="auto"/>
        <w:tabs>
          <w:tab w:leader="none" w:pos="3157" w:val="left"/>
        </w:tabs>
        <w:numPr>
          <w:ilvl w:val="1"/>
          <w:numId w:val="141"/>
        </w:numPr>
        <w:rPr>
          <w:rFonts w:ascii="Arial" w:cs="Arial" w:eastAsia="Arial" w:hAnsi="Arial"/>
          <w:sz w:val="13"/>
          <w:szCs w:val="13"/>
          <w:color w:val="auto"/>
        </w:rPr>
      </w:pPr>
      <w:r>
        <w:rPr>
          <w:rFonts w:ascii="Arial" w:cs="Arial" w:eastAsia="Arial" w:hAnsi="Arial"/>
          <w:sz w:val="13"/>
          <w:szCs w:val="13"/>
          <w:color w:val="auto"/>
        </w:rPr>
        <w:t>the then entire ledger balance of each Controlled Account (net of any minimum balance, not to exceed $2,500.00, as may be required to be kept in the subject Controlled Account by the Controlled Account Bank).</w:t>
      </w:r>
    </w:p>
    <w:p>
      <w:pPr>
        <w:spacing w:after="0" w:line="112" w:lineRule="exact"/>
        <w:rPr>
          <w:rFonts w:ascii="Arial" w:cs="Arial" w:eastAsia="Arial" w:hAnsi="Arial"/>
          <w:sz w:val="13"/>
          <w:szCs w:val="13"/>
          <w:color w:val="auto"/>
        </w:rPr>
      </w:pPr>
    </w:p>
    <w:p>
      <w:pPr>
        <w:jc w:val="both"/>
        <w:ind w:left="220" w:firstLine="1624"/>
        <w:spacing w:after="0" w:line="275" w:lineRule="auto"/>
        <w:tabs>
          <w:tab w:leader="none" w:pos="2420" w:val="left"/>
        </w:tabs>
        <w:numPr>
          <w:ilvl w:val="0"/>
          <w:numId w:val="142"/>
        </w:numPr>
        <w:rPr>
          <w:rFonts w:ascii="Arial" w:cs="Arial" w:eastAsia="Arial" w:hAnsi="Arial"/>
          <w:sz w:val="12"/>
          <w:szCs w:val="12"/>
          <w:color w:val="auto"/>
        </w:rPr>
      </w:pPr>
      <w:r>
        <w:rPr>
          <w:rFonts w:ascii="Arial" w:cs="Arial" w:eastAsia="Arial" w:hAnsi="Arial"/>
          <w:sz w:val="12"/>
          <w:szCs w:val="12"/>
          <w:color w:val="auto"/>
        </w:rPr>
        <w:t xml:space="preserve">The Collection Account shall at all times during the continuance of a Cash Dominion Event be under the sole dominion and control of the Agent. The Loan Parties hereby acknowledge and agree that (i) during the continuance of a Cash Dominion Event, the Loan Parties have no right of withdrawal from the Collection Account, (ii) the funds on deposit in the Collection Account shall at all times be collateral security for all of the Obligations and (iii) during the continuance of a Cash Dominion Event, the funds on deposit in the Collection Account shall be applied to the Obligations as provided in this Agreement. In the event that, notwithstanding the provisions of this </w:t>
      </w:r>
      <w:r>
        <w:rPr>
          <w:rFonts w:ascii="Arial" w:cs="Arial" w:eastAsia="Arial" w:hAnsi="Arial"/>
          <w:sz w:val="12"/>
          <w:szCs w:val="12"/>
          <w:u w:val="single" w:color="auto"/>
          <w:color w:val="auto"/>
        </w:rPr>
        <w:t>Section 6.12</w:t>
      </w:r>
      <w:r>
        <w:rPr>
          <w:rFonts w:ascii="Arial" w:cs="Arial" w:eastAsia="Arial" w:hAnsi="Arial"/>
          <w:sz w:val="12"/>
          <w:szCs w:val="12"/>
          <w:color w:val="auto"/>
        </w:rPr>
        <w:t>, any Loan Party receives or otherwise has dominion and control of any such cash receipts or collections, such receipts and collections shall be held in trust by such Loan Party for the Agent, shall not be commingled with any of such Loan Party’s other funds or deposited in any account of such Loan Party and shall, not later than the Business Day after receipt thereof, be deposited into the Collection Account or dealt with in such other fashion as such Loan Party may be instructed by the Agent.</w:t>
      </w:r>
    </w:p>
    <w:p>
      <w:pPr>
        <w:spacing w:after="0" w:line="114" w:lineRule="exact"/>
        <w:rPr>
          <w:rFonts w:ascii="Arial" w:cs="Arial" w:eastAsia="Arial" w:hAnsi="Arial"/>
          <w:sz w:val="12"/>
          <w:szCs w:val="12"/>
          <w:color w:val="auto"/>
        </w:rPr>
      </w:pPr>
    </w:p>
    <w:p>
      <w:pPr>
        <w:ind w:left="220" w:firstLine="1623"/>
        <w:spacing w:after="0" w:line="271" w:lineRule="auto"/>
        <w:tabs>
          <w:tab w:leader="none" w:pos="2412" w:val="left"/>
        </w:tabs>
        <w:numPr>
          <w:ilvl w:val="0"/>
          <w:numId w:val="142"/>
        </w:numPr>
        <w:rPr>
          <w:rFonts w:ascii="Arial" w:cs="Arial" w:eastAsia="Arial" w:hAnsi="Arial"/>
          <w:sz w:val="13"/>
          <w:szCs w:val="13"/>
          <w:color w:val="auto"/>
        </w:rPr>
      </w:pPr>
      <w:r>
        <w:rPr>
          <w:rFonts w:ascii="Arial" w:cs="Arial" w:eastAsia="Arial" w:hAnsi="Arial"/>
          <w:sz w:val="13"/>
          <w:szCs w:val="13"/>
          <w:color w:val="auto"/>
        </w:rPr>
        <w:t>Upon the request of the Agent, cause bank statements and/or other reports to be delivered to the Agent not less often than monthly, accurately setting forth all amounts deposited in each Controlled Account to ensure the proper transfer of funds as set forth above.</w:t>
      </w:r>
    </w:p>
    <w:p>
      <w:pPr>
        <w:spacing w:after="0" w:line="109"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3"/>
          <w:szCs w:val="13"/>
          <w:b w:val="1"/>
          <w:bCs w:val="1"/>
          <w:color w:val="auto"/>
        </w:rPr>
        <w:t>6.13</w:t>
      </w:r>
      <w:r>
        <w:rPr>
          <w:sz w:val="20"/>
          <w:szCs w:val="20"/>
          <w:color w:val="auto"/>
        </w:rPr>
        <w:tab/>
      </w:r>
      <w:r>
        <w:rPr>
          <w:rFonts w:ascii="Arial" w:cs="Arial" w:eastAsia="Arial" w:hAnsi="Arial"/>
          <w:sz w:val="12"/>
          <w:szCs w:val="12"/>
          <w:b w:val="1"/>
          <w:bCs w:val="1"/>
          <w:color w:val="auto"/>
        </w:rPr>
        <w:t>Information Regarding the Collateral</w:t>
      </w:r>
      <w:r>
        <w:rPr>
          <w:rFonts w:ascii="Arial" w:cs="Arial" w:eastAsia="Arial" w:hAnsi="Arial"/>
          <w:sz w:val="12"/>
          <w:szCs w:val="12"/>
          <w:color w:val="auto"/>
        </w:rPr>
        <w:t>.</w:t>
      </w:r>
    </w:p>
    <w:p>
      <w:pPr>
        <w:spacing w:after="0" w:line="152" w:lineRule="exact"/>
        <w:rPr>
          <w:sz w:val="20"/>
          <w:szCs w:val="20"/>
          <w:color w:val="auto"/>
        </w:rPr>
      </w:pPr>
    </w:p>
    <w:p>
      <w:pPr>
        <w:jc w:val="both"/>
        <w:ind w:left="220" w:firstLine="808"/>
        <w:spacing w:after="0" w:line="249" w:lineRule="auto"/>
        <w:rPr>
          <w:sz w:val="20"/>
          <w:szCs w:val="20"/>
          <w:color w:val="auto"/>
        </w:rPr>
      </w:pPr>
      <w:r>
        <w:rPr>
          <w:rFonts w:ascii="Arial" w:cs="Arial" w:eastAsia="Arial" w:hAnsi="Arial"/>
          <w:sz w:val="13"/>
          <w:szCs w:val="13"/>
          <w:color w:val="auto"/>
        </w:rPr>
        <w:t>Furnish to the Agent at least thirty (30) days prior written notice of any change in: (i) any Loan Party’s name or in any trade name used to identify it in the conduct of its business or in the ownership of its properties; (ii) the location of any Loan Party’s chief executive office, its principal place of business, any office in which it maintains books or records relating to Collateral owned by it or any office or facility at which Collateral owned by it is located (including the establishment of any such new office or facility); (iii) any Loan Party’s organizational structure or jurisdiction of incorporation or formation; or</w:t>
      </w:r>
    </w:p>
    <w:p>
      <w:pPr>
        <w:spacing w:after="0" w:line="2" w:lineRule="exact"/>
        <w:rPr>
          <w:sz w:val="20"/>
          <w:szCs w:val="20"/>
          <w:color w:val="auto"/>
        </w:rPr>
      </w:pPr>
    </w:p>
    <w:p>
      <w:pPr>
        <w:jc w:val="both"/>
        <w:ind w:left="220" w:firstLine="9"/>
        <w:spacing w:after="0" w:line="250" w:lineRule="auto"/>
        <w:tabs>
          <w:tab w:leader="none" w:pos="783" w:val="left"/>
        </w:tabs>
        <w:numPr>
          <w:ilvl w:val="0"/>
          <w:numId w:val="143"/>
        </w:numPr>
        <w:rPr>
          <w:rFonts w:ascii="Arial" w:cs="Arial" w:eastAsia="Arial" w:hAnsi="Arial"/>
          <w:sz w:val="13"/>
          <w:szCs w:val="13"/>
          <w:color w:val="auto"/>
        </w:rPr>
      </w:pPr>
      <w:r>
        <w:rPr>
          <w:rFonts w:ascii="Arial" w:cs="Arial" w:eastAsia="Arial" w:hAnsi="Arial"/>
          <w:sz w:val="13"/>
          <w:szCs w:val="13"/>
          <w:color w:val="auto"/>
        </w:rPr>
        <w:t>any Loan Party’s Federal Taxpayer Identification Number or organizational identification number assigned to it by its state of organization. The Loan Parties shall not effect or permit any change referred to in the preceding sentence unless all filings have been made under the UCC or otherwise that are required in order for the Agent to continue at all times following such change to have a valid, legal and perfected first priority security interest in all the Collateral for its own benefit and the benefit of the other Credit Parties.</w:t>
      </w:r>
    </w:p>
    <w:p>
      <w:pPr>
        <w:spacing w:after="0" w:line="122"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3"/>
          <w:szCs w:val="13"/>
          <w:b w:val="1"/>
          <w:bCs w:val="1"/>
          <w:color w:val="auto"/>
        </w:rPr>
        <w:t>6.14</w:t>
      </w:r>
      <w:r>
        <w:rPr>
          <w:sz w:val="20"/>
          <w:szCs w:val="20"/>
          <w:color w:val="auto"/>
        </w:rPr>
        <w:tab/>
      </w:r>
      <w:r>
        <w:rPr>
          <w:rFonts w:ascii="Arial" w:cs="Arial" w:eastAsia="Arial" w:hAnsi="Arial"/>
          <w:sz w:val="11"/>
          <w:szCs w:val="11"/>
          <w:b w:val="1"/>
          <w:bCs w:val="1"/>
          <w:color w:val="auto"/>
        </w:rPr>
        <w:t>Physical Inventories</w:t>
      </w:r>
      <w:r>
        <w:rPr>
          <w:rFonts w:ascii="Arial" w:cs="Arial" w:eastAsia="Arial" w:hAnsi="Arial"/>
          <w:sz w:val="11"/>
          <w:szCs w:val="11"/>
          <w:color w:val="auto"/>
        </w:rPr>
        <w:t>.</w:t>
      </w:r>
    </w:p>
    <w:p>
      <w:pPr>
        <w:spacing w:after="0" w:line="152" w:lineRule="exact"/>
        <w:rPr>
          <w:sz w:val="20"/>
          <w:szCs w:val="20"/>
          <w:color w:val="auto"/>
        </w:rPr>
      </w:pPr>
    </w:p>
    <w:p>
      <w:pPr>
        <w:jc w:val="both"/>
        <w:ind w:left="220" w:firstLine="1624"/>
        <w:spacing w:after="0" w:line="252" w:lineRule="auto"/>
        <w:tabs>
          <w:tab w:leader="none" w:pos="2412" w:val="left"/>
        </w:tabs>
        <w:numPr>
          <w:ilvl w:val="0"/>
          <w:numId w:val="144"/>
        </w:numPr>
        <w:rPr>
          <w:rFonts w:ascii="Arial" w:cs="Arial" w:eastAsia="Arial" w:hAnsi="Arial"/>
          <w:sz w:val="13"/>
          <w:szCs w:val="13"/>
          <w:color w:val="auto"/>
        </w:rPr>
      </w:pPr>
      <w:r>
        <w:rPr>
          <w:rFonts w:ascii="Arial" w:cs="Arial" w:eastAsia="Arial" w:hAnsi="Arial"/>
          <w:sz w:val="13"/>
          <w:szCs w:val="13"/>
          <w:color w:val="auto"/>
        </w:rPr>
        <w:t>Cause not less than one (1) physical inventory per any Store to be undertaken, at the expense of the Loan Parties, in each Fiscal Year and one (1) periodic cycle count per any warehouse, in each case consistent with past practices, conducted by such inventory takers as are satisfactory to the Agent and following such methodology as is consistent with the methodology used in the immediately preceding inventory or as otherwise may be satisfactory to the Agent. The Agent, at the expense of the Loan Parties, may participate in and/or observe each scheduled physical count of Inventory which is undertaken on behalf of any Loan Party. The Lead Borrower, within thirty (30) days following the completion of such inventory, shall provide the Agent with a reconciliation of the results of such</w:t>
      </w:r>
    </w:p>
    <w:p>
      <w:pPr>
        <w:spacing w:after="0" w:line="272"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110" w:name="page111"/>
    <w:bookmarkEnd w:id="110"/>
    <w:p>
      <w:pPr>
        <w:ind w:left="220"/>
        <w:spacing w:after="0"/>
        <w:rPr>
          <w:sz w:val="20"/>
          <w:szCs w:val="20"/>
          <w:color w:val="auto"/>
        </w:rPr>
      </w:pPr>
      <w:r>
        <w:rPr>
          <w:rFonts w:ascii="Arial" w:cs="Arial" w:eastAsia="Arial" w:hAnsi="Arial"/>
          <w:sz w:val="12"/>
          <w:szCs w:val="12"/>
          <w:color w:val="auto"/>
        </w:rPr>
        <w:t>inventory (as well as of any other physical inventory or cycle counts undertaken by a Loan Party) and shall post such results to the Loan Parties’ stock ledgers and general ledgers, as applicable.</w:t>
      </w:r>
    </w:p>
    <w:p>
      <w:pPr>
        <w:spacing w:after="0" w:line="161" w:lineRule="exact"/>
        <w:rPr>
          <w:sz w:val="20"/>
          <w:szCs w:val="20"/>
          <w:color w:val="auto"/>
        </w:rPr>
      </w:pPr>
    </w:p>
    <w:p>
      <w:pPr>
        <w:ind w:left="2420" w:hanging="576"/>
        <w:spacing w:after="0"/>
        <w:tabs>
          <w:tab w:leader="none" w:pos="2420" w:val="left"/>
        </w:tabs>
        <w:numPr>
          <w:ilvl w:val="0"/>
          <w:numId w:val="145"/>
        </w:numPr>
        <w:rPr>
          <w:rFonts w:ascii="Arial" w:cs="Arial" w:eastAsia="Arial" w:hAnsi="Arial"/>
          <w:sz w:val="12"/>
          <w:szCs w:val="12"/>
          <w:color w:val="auto"/>
        </w:rPr>
      </w:pPr>
      <w:r>
        <w:rPr>
          <w:rFonts w:ascii="Arial" w:cs="Arial" w:eastAsia="Arial" w:hAnsi="Arial"/>
          <w:sz w:val="12"/>
          <w:szCs w:val="12"/>
          <w:color w:val="auto"/>
        </w:rPr>
        <w:t>Permit the Agent, in its discretion, if any Default or Event of Default exists, to cause additional such inventories to be taken as the Agent determines (each, at the</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3"/>
          <w:szCs w:val="13"/>
          <w:color w:val="auto"/>
        </w:rPr>
        <w:t>expense of the Loan Parties).</w:t>
      </w:r>
    </w:p>
    <w:p>
      <w:pPr>
        <w:spacing w:after="0" w:line="134"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3"/>
          <w:szCs w:val="13"/>
          <w:b w:val="1"/>
          <w:bCs w:val="1"/>
          <w:color w:val="auto"/>
        </w:rPr>
        <w:t>6.15</w:t>
      </w:r>
      <w:r>
        <w:rPr>
          <w:sz w:val="20"/>
          <w:szCs w:val="20"/>
          <w:color w:val="auto"/>
        </w:rPr>
        <w:tab/>
      </w:r>
      <w:r>
        <w:rPr>
          <w:rFonts w:ascii="Arial" w:cs="Arial" w:eastAsia="Arial" w:hAnsi="Arial"/>
          <w:sz w:val="11"/>
          <w:szCs w:val="11"/>
          <w:b w:val="1"/>
          <w:bCs w:val="1"/>
          <w:color w:val="auto"/>
        </w:rPr>
        <w:t>Environmental Laws</w:t>
      </w:r>
      <w:r>
        <w:rPr>
          <w:rFonts w:ascii="Arial" w:cs="Arial" w:eastAsia="Arial" w:hAnsi="Arial"/>
          <w:sz w:val="11"/>
          <w:szCs w:val="11"/>
          <w:color w:val="auto"/>
        </w:rPr>
        <w:t>.</w:t>
      </w:r>
    </w:p>
    <w:p>
      <w:pPr>
        <w:spacing w:after="0" w:line="152" w:lineRule="exact"/>
        <w:rPr>
          <w:sz w:val="20"/>
          <w:szCs w:val="20"/>
          <w:color w:val="auto"/>
        </w:rPr>
      </w:pPr>
    </w:p>
    <w:p>
      <w:pPr>
        <w:jc w:val="both"/>
        <w:ind w:left="220" w:firstLine="1624"/>
        <w:spacing w:after="0" w:line="251" w:lineRule="auto"/>
        <w:tabs>
          <w:tab w:leader="none" w:pos="2412" w:val="left"/>
        </w:tabs>
        <w:numPr>
          <w:ilvl w:val="0"/>
          <w:numId w:val="146"/>
        </w:numPr>
        <w:rPr>
          <w:rFonts w:ascii="Arial" w:cs="Arial" w:eastAsia="Arial" w:hAnsi="Arial"/>
          <w:sz w:val="13"/>
          <w:szCs w:val="13"/>
          <w:color w:val="auto"/>
        </w:rPr>
      </w:pPr>
      <w:r>
        <w:rPr>
          <w:rFonts w:ascii="Arial" w:cs="Arial" w:eastAsia="Arial" w:hAnsi="Arial"/>
          <w:sz w:val="13"/>
          <w:szCs w:val="13"/>
          <w:color w:val="auto"/>
        </w:rPr>
        <w:t xml:space="preserve">Conduct its operations and keep and maintain its Real Estate in material compliance with all Environmental Laws; (b) obtain and renew all environmental permits necessary for its operations and properties; and (c) implement any and all investigation, remediation, removal and response actions that are appropriate or necessary to maintain the value and marketability of the Real Estate or to otherwise comply with Environmental Laws pertaining to the presence, generation, treatment, storage, use, disposal, transportation or release of any Hazardous Materials on, at, in, under, above, to, from or about any of its Real Estate,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neither a Loan Party nor any of its Subsidiaries shall be required to undertake any such cleanup, removal, remedial or other action to the extent that its obligation to do so is being contested in good faith and by proper proceedings and adequate reserves have been set aside and are being maintained by the Loan Parties with respect to such circumstances in accordance with GAAP.</w:t>
      </w:r>
    </w:p>
    <w:p>
      <w:pPr>
        <w:spacing w:after="0" w:line="121"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3"/>
          <w:szCs w:val="13"/>
          <w:b w:val="1"/>
          <w:bCs w:val="1"/>
          <w:color w:val="auto"/>
        </w:rPr>
        <w:t>6.16</w:t>
      </w:r>
      <w:r>
        <w:rPr>
          <w:sz w:val="20"/>
          <w:szCs w:val="20"/>
          <w:color w:val="auto"/>
        </w:rPr>
        <w:tab/>
      </w:r>
      <w:r>
        <w:rPr>
          <w:rFonts w:ascii="Arial" w:cs="Arial" w:eastAsia="Arial" w:hAnsi="Arial"/>
          <w:sz w:val="11"/>
          <w:szCs w:val="11"/>
          <w:b w:val="1"/>
          <w:bCs w:val="1"/>
          <w:color w:val="auto"/>
        </w:rPr>
        <w:t>Further Assurances.</w:t>
      </w:r>
    </w:p>
    <w:p>
      <w:pPr>
        <w:spacing w:after="0" w:line="152" w:lineRule="exact"/>
        <w:rPr>
          <w:sz w:val="20"/>
          <w:szCs w:val="20"/>
          <w:color w:val="auto"/>
        </w:rPr>
      </w:pPr>
    </w:p>
    <w:p>
      <w:pPr>
        <w:jc w:val="both"/>
        <w:ind w:left="220" w:firstLine="1624"/>
        <w:spacing w:after="0" w:line="282" w:lineRule="auto"/>
        <w:tabs>
          <w:tab w:leader="none" w:pos="2412" w:val="left"/>
        </w:tabs>
        <w:numPr>
          <w:ilvl w:val="0"/>
          <w:numId w:val="147"/>
        </w:numPr>
        <w:rPr>
          <w:rFonts w:ascii="Arial" w:cs="Arial" w:eastAsia="Arial" w:hAnsi="Arial"/>
          <w:sz w:val="12"/>
          <w:szCs w:val="12"/>
          <w:color w:val="auto"/>
        </w:rPr>
      </w:pPr>
      <w:r>
        <w:rPr>
          <w:rFonts w:ascii="Arial" w:cs="Arial" w:eastAsia="Arial" w:hAnsi="Arial"/>
          <w:sz w:val="12"/>
          <w:szCs w:val="12"/>
          <w:color w:val="auto"/>
        </w:rPr>
        <w:t>Execute any and all further documents, financing statements, agreements and instruments, and take all such further actions (including the filing and recording of financing statements and other documents), that may be required under any Law, or which any Agent may request, to effectuate the transactions contemplated by the Loan Documents or to grant, preserve, protect or perfect the Liens created or intended to be created by the Security Documents or the validity or priority of any such Lien, all at the expense of the Loan Parties. The Loan Parties also agree to provide to the Agent, from time to time upon request, evidence satisfactory to the Agent as to the perfection and priority of the Liens created or intended to be created by the Security Documents.</w:t>
      </w:r>
    </w:p>
    <w:p>
      <w:pPr>
        <w:spacing w:after="0" w:line="108" w:lineRule="exact"/>
        <w:rPr>
          <w:rFonts w:ascii="Arial" w:cs="Arial" w:eastAsia="Arial" w:hAnsi="Arial"/>
          <w:sz w:val="12"/>
          <w:szCs w:val="12"/>
          <w:color w:val="auto"/>
        </w:rPr>
      </w:pPr>
    </w:p>
    <w:p>
      <w:pPr>
        <w:jc w:val="both"/>
        <w:ind w:left="220" w:firstLine="1624"/>
        <w:spacing w:after="0" w:line="309" w:lineRule="auto"/>
        <w:tabs>
          <w:tab w:leader="none" w:pos="2419" w:val="left"/>
        </w:tabs>
        <w:numPr>
          <w:ilvl w:val="0"/>
          <w:numId w:val="147"/>
        </w:numPr>
        <w:rPr>
          <w:rFonts w:ascii="Arial" w:cs="Arial" w:eastAsia="Arial" w:hAnsi="Arial"/>
          <w:sz w:val="11"/>
          <w:szCs w:val="11"/>
          <w:color w:val="auto"/>
        </w:rPr>
      </w:pPr>
      <w:r>
        <w:rPr>
          <w:rFonts w:ascii="Arial" w:cs="Arial" w:eastAsia="Arial" w:hAnsi="Arial"/>
          <w:sz w:val="11"/>
          <w:szCs w:val="11"/>
          <w:color w:val="auto"/>
        </w:rPr>
        <w:t xml:space="preserve">If any material assets are acquired by any Loan Party after the Closing Date (other than assets constituting Collateral under the Security Documents that become subject to the perfected first-priority Lien under the Security Documents upon acquisition thereof), notify the Agent thereof, and the Loan Parties will cause such assets to be subjected to a Lien securing the Obligations and will take such actions as shall be necessary or shall be requested by any Agent to grant and perfect such Liens, including actions described in paragraph (a) of this </w:t>
      </w:r>
      <w:r>
        <w:rPr>
          <w:rFonts w:ascii="Arial" w:cs="Arial" w:eastAsia="Arial" w:hAnsi="Arial"/>
          <w:sz w:val="11"/>
          <w:szCs w:val="11"/>
          <w:u w:val="single" w:color="auto"/>
          <w:color w:val="auto"/>
        </w:rPr>
        <w:t>Section 6.16</w:t>
      </w:r>
      <w:r>
        <w:rPr>
          <w:rFonts w:ascii="Arial" w:cs="Arial" w:eastAsia="Arial" w:hAnsi="Arial"/>
          <w:sz w:val="11"/>
          <w:szCs w:val="11"/>
          <w:color w:val="auto"/>
        </w:rPr>
        <w:t xml:space="preserve">, all at the expense of the Loan Parties. In no event shall compliance with this </w:t>
      </w:r>
      <w:r>
        <w:rPr>
          <w:rFonts w:ascii="Arial" w:cs="Arial" w:eastAsia="Arial" w:hAnsi="Arial"/>
          <w:sz w:val="11"/>
          <w:szCs w:val="11"/>
          <w:u w:val="single" w:color="auto"/>
          <w:color w:val="auto"/>
        </w:rPr>
        <w:t>Section 6.16(b)</w:t>
      </w:r>
      <w:r>
        <w:rPr>
          <w:rFonts w:ascii="Arial" w:cs="Arial" w:eastAsia="Arial" w:hAnsi="Arial"/>
          <w:sz w:val="11"/>
          <w:szCs w:val="11"/>
          <w:color w:val="auto"/>
        </w:rPr>
        <w:t xml:space="preserve"> waive or be deemed a waiver or Consent to any transaction giving rise to the need to comply with this </w:t>
      </w:r>
      <w:r>
        <w:rPr>
          <w:rFonts w:ascii="Arial" w:cs="Arial" w:eastAsia="Arial" w:hAnsi="Arial"/>
          <w:sz w:val="11"/>
          <w:szCs w:val="11"/>
          <w:u w:val="single" w:color="auto"/>
          <w:color w:val="auto"/>
        </w:rPr>
        <w:t>Section 6.16(b)</w:t>
      </w:r>
      <w:r>
        <w:rPr>
          <w:rFonts w:ascii="Arial" w:cs="Arial" w:eastAsia="Arial" w:hAnsi="Arial"/>
          <w:sz w:val="11"/>
          <w:szCs w:val="11"/>
          <w:color w:val="auto"/>
        </w:rPr>
        <w:t xml:space="preserve"> if such transaction was not otherwise expressly permitted by this Agreement or constitute or be deemed to constitute Consent to the inclusion of any acquired assets in the computation of the Borrowing Base or the FILO Borrowing Base.</w:t>
      </w:r>
    </w:p>
    <w:p>
      <w:pPr>
        <w:spacing w:after="0" w:line="95" w:lineRule="exact"/>
        <w:rPr>
          <w:rFonts w:ascii="Arial" w:cs="Arial" w:eastAsia="Arial" w:hAnsi="Arial"/>
          <w:sz w:val="11"/>
          <w:szCs w:val="11"/>
          <w:color w:val="auto"/>
        </w:rPr>
      </w:pPr>
    </w:p>
    <w:p>
      <w:pPr>
        <w:ind w:left="220" w:firstLine="1623"/>
        <w:spacing w:after="0" w:line="271" w:lineRule="auto"/>
        <w:tabs>
          <w:tab w:leader="none" w:pos="2412" w:val="left"/>
        </w:tabs>
        <w:numPr>
          <w:ilvl w:val="0"/>
          <w:numId w:val="147"/>
        </w:numPr>
        <w:rPr>
          <w:rFonts w:ascii="Arial" w:cs="Arial" w:eastAsia="Arial" w:hAnsi="Arial"/>
          <w:sz w:val="13"/>
          <w:szCs w:val="13"/>
          <w:color w:val="auto"/>
        </w:rPr>
      </w:pPr>
      <w:r>
        <w:rPr>
          <w:rFonts w:ascii="Arial" w:cs="Arial" w:eastAsia="Arial" w:hAnsi="Arial"/>
          <w:sz w:val="13"/>
          <w:szCs w:val="13"/>
          <w:color w:val="auto"/>
        </w:rPr>
        <w:t>Upon the request of the Agent, cause each of its customs brokers, freight forwarders, consolidators and/or carriers to deliver an agreement (including, without limitation, a Customs Broker/Carrier Agreement) to the Agent covering such matters and in such form as the Agent may reasonably require.</w:t>
      </w:r>
    </w:p>
    <w:p>
      <w:pPr>
        <w:spacing w:after="0" w:line="260"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111" w:name="page112"/>
    <w:bookmarkEnd w:id="111"/>
    <w:p>
      <w:pPr>
        <w:ind w:left="1040"/>
        <w:spacing w:after="0"/>
        <w:tabs>
          <w:tab w:leader="none" w:pos="1680" w:val="left"/>
        </w:tabs>
        <w:rPr>
          <w:sz w:val="20"/>
          <w:szCs w:val="20"/>
          <w:color w:val="auto"/>
        </w:rPr>
      </w:pPr>
      <w:r>
        <w:rPr>
          <w:rFonts w:ascii="Arial" w:cs="Arial" w:eastAsia="Arial" w:hAnsi="Arial"/>
          <w:sz w:val="13"/>
          <w:szCs w:val="13"/>
          <w:b w:val="1"/>
          <w:bCs w:val="1"/>
          <w:color w:val="auto"/>
        </w:rPr>
        <w:t>6.17</w:t>
      </w:r>
      <w:r>
        <w:rPr>
          <w:sz w:val="20"/>
          <w:szCs w:val="20"/>
          <w:color w:val="auto"/>
        </w:rPr>
        <w:tab/>
      </w:r>
      <w:r>
        <w:rPr>
          <w:rFonts w:ascii="Arial" w:cs="Arial" w:eastAsia="Arial" w:hAnsi="Arial"/>
          <w:sz w:val="11"/>
          <w:szCs w:val="11"/>
          <w:b w:val="1"/>
          <w:bCs w:val="1"/>
          <w:color w:val="auto"/>
        </w:rPr>
        <w:t>Compliance with Terms of Leaseholds.</w:t>
      </w:r>
    </w:p>
    <w:p>
      <w:pPr>
        <w:spacing w:after="0" w:line="153" w:lineRule="exact"/>
        <w:rPr>
          <w:sz w:val="20"/>
          <w:szCs w:val="20"/>
          <w:color w:val="auto"/>
        </w:rPr>
      </w:pPr>
    </w:p>
    <w:p>
      <w:pPr>
        <w:jc w:val="both"/>
        <w:ind w:left="220" w:firstLine="808"/>
        <w:spacing w:after="0" w:line="254" w:lineRule="auto"/>
        <w:rPr>
          <w:sz w:val="20"/>
          <w:szCs w:val="20"/>
          <w:color w:val="auto"/>
        </w:rPr>
      </w:pPr>
      <w:r>
        <w:rPr>
          <w:rFonts w:ascii="Arial" w:cs="Arial" w:eastAsia="Arial" w:hAnsi="Arial"/>
          <w:sz w:val="13"/>
          <w:szCs w:val="13"/>
          <w:color w:val="auto"/>
        </w:rPr>
        <w:t>Except as otherwise expressly permitted hereunder, (a) make all payments and otherwise perform all obligations in respect of all Leases to which any Loan Party or any of its Subsidiaries is a party, keep such Leases in full force and effect (b) not allow such Leases to lapse or be terminated or any rights to renew such Leases to be forfeited or cancelled except in the ordinary course of business, consistent with past practices, (c) notify the Agent of any default by any party with respect to such Leases and cooperate with the Agent in all respects to cure any such default, and (d) cause each of its Subsidiaries to do the foregoing.</w:t>
      </w:r>
    </w:p>
    <w:p>
      <w:pPr>
        <w:spacing w:after="0" w:line="120" w:lineRule="exact"/>
        <w:rPr>
          <w:sz w:val="20"/>
          <w:szCs w:val="20"/>
          <w:color w:val="auto"/>
        </w:rPr>
      </w:pPr>
    </w:p>
    <w:p>
      <w:pPr>
        <w:jc w:val="both"/>
        <w:ind w:left="220" w:firstLine="808"/>
        <w:spacing w:after="0" w:line="278" w:lineRule="auto"/>
        <w:rPr>
          <w:sz w:val="20"/>
          <w:szCs w:val="20"/>
          <w:color w:val="auto"/>
        </w:rPr>
      </w:pPr>
      <w:r>
        <w:rPr>
          <w:rFonts w:ascii="Arial" w:cs="Arial" w:eastAsia="Arial" w:hAnsi="Arial"/>
          <w:sz w:val="12"/>
          <w:szCs w:val="12"/>
          <w:b w:val="1"/>
          <w:bCs w:val="1"/>
          <w:color w:val="auto"/>
        </w:rPr>
        <w:t>6.18 Material Contracts</w:t>
      </w:r>
      <w:r>
        <w:rPr>
          <w:rFonts w:ascii="Arial" w:cs="Arial" w:eastAsia="Arial" w:hAnsi="Arial"/>
          <w:sz w:val="12"/>
          <w:szCs w:val="12"/>
          <w:color w:val="auto"/>
        </w:rPr>
        <w:t>. (a) Perform and observe all the terms and provisions of each Material Contract to be performed or observed by it, (b) maintain each such Material Contract in</w:t>
      </w:r>
      <w:r>
        <w:rPr>
          <w:rFonts w:ascii="Arial" w:cs="Arial" w:eastAsia="Arial" w:hAnsi="Arial"/>
          <w:sz w:val="12"/>
          <w:szCs w:val="12"/>
          <w:b w:val="1"/>
          <w:bCs w:val="1"/>
          <w:color w:val="auto"/>
        </w:rPr>
        <w:t xml:space="preserve"> </w:t>
      </w:r>
      <w:r>
        <w:rPr>
          <w:rFonts w:ascii="Arial" w:cs="Arial" w:eastAsia="Arial" w:hAnsi="Arial"/>
          <w:sz w:val="12"/>
          <w:szCs w:val="12"/>
          <w:color w:val="auto"/>
        </w:rPr>
        <w:t>full force and effect except to the extent such Material Contract is no longer used or useful in the conduct of the business of the Loan Parties in the ordinary course of business, consistent with past practices,</w:t>
      </w:r>
    </w:p>
    <w:p>
      <w:pPr>
        <w:spacing w:after="0" w:line="1" w:lineRule="exact"/>
        <w:rPr>
          <w:sz w:val="20"/>
          <w:szCs w:val="20"/>
          <w:color w:val="auto"/>
        </w:rPr>
      </w:pPr>
    </w:p>
    <w:p>
      <w:pPr>
        <w:ind w:left="400" w:hanging="172"/>
        <w:spacing w:after="0"/>
        <w:tabs>
          <w:tab w:leader="none" w:pos="40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enforce each such Material Contract in accordance with its terms, and (d) cause each of its Subsidiaries to do the foregoing.</w:t>
      </w:r>
    </w:p>
    <w:p>
      <w:pPr>
        <w:spacing w:after="0" w:line="133" w:lineRule="exact"/>
        <w:rPr>
          <w:rFonts w:ascii="Arial" w:cs="Arial" w:eastAsia="Arial" w:hAnsi="Arial"/>
          <w:sz w:val="13"/>
          <w:szCs w:val="13"/>
          <w:color w:val="auto"/>
        </w:rPr>
      </w:pPr>
    </w:p>
    <w:p>
      <w:pPr>
        <w:ind w:left="1040"/>
        <w:spacing w:after="0"/>
        <w:rPr>
          <w:rFonts w:ascii="Arial" w:cs="Arial" w:eastAsia="Arial" w:hAnsi="Arial"/>
          <w:sz w:val="13"/>
          <w:szCs w:val="13"/>
          <w:color w:val="auto"/>
        </w:rPr>
      </w:pPr>
      <w:r>
        <w:rPr>
          <w:rFonts w:ascii="Arial" w:cs="Arial" w:eastAsia="Arial" w:hAnsi="Arial"/>
          <w:sz w:val="13"/>
          <w:szCs w:val="13"/>
          <w:b w:val="1"/>
          <w:bCs w:val="1"/>
          <w:color w:val="auto"/>
        </w:rPr>
        <w:t>6.19</w:t>
      </w:r>
      <w:r>
        <w:rPr>
          <w:rFonts w:ascii="Arial" w:cs="Arial" w:eastAsia="Arial" w:hAnsi="Arial"/>
          <w:sz w:val="11"/>
          <w:szCs w:val="11"/>
          <w:b w:val="1"/>
          <w:bCs w:val="1"/>
          <w:color w:val="auto"/>
        </w:rPr>
        <w:t>OFAC; Sanctions.</w:t>
      </w:r>
    </w:p>
    <w:p>
      <w:pPr>
        <w:spacing w:after="0" w:line="152" w:lineRule="exact"/>
        <w:rPr>
          <w:sz w:val="20"/>
          <w:szCs w:val="20"/>
          <w:color w:val="auto"/>
        </w:rPr>
      </w:pPr>
    </w:p>
    <w:p>
      <w:pPr>
        <w:jc w:val="both"/>
        <w:ind w:left="220" w:firstLine="808"/>
        <w:spacing w:after="0" w:line="254" w:lineRule="auto"/>
        <w:rPr>
          <w:sz w:val="20"/>
          <w:szCs w:val="20"/>
          <w:color w:val="auto"/>
        </w:rPr>
      </w:pPr>
      <w:r>
        <w:rPr>
          <w:rFonts w:ascii="Arial" w:cs="Arial" w:eastAsia="Arial" w:hAnsi="Arial"/>
          <w:sz w:val="13"/>
          <w:szCs w:val="13"/>
          <w:color w:val="auto"/>
        </w:rPr>
        <w:t>Each Loan Party will, and will cause each of its Subsidiaries to comply with all applicable Sanctions, Anti-Corruption Laws and Anti-Money Laundering Laws. Each of the Loan Parties and its Subsidiaries shall implement and maintain in effect policies and procedures designed to ensure compliance by the Loan Parties and their Subsidiaries and their respective directors, officers, employees, agents and Affiliates with all Sanctions, Anti-Corruption Laws and Anti-Money Laundering Laws. Each of the Loan Parties shall and shall cause their respective Subsidiaries to comply with all Sanctions, Anti-Corruption Laws and Anti-Money Laundering Laws.</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3"/>
          <w:szCs w:val="13"/>
          <w:b w:val="1"/>
          <w:bCs w:val="1"/>
          <w:color w:val="auto"/>
        </w:rPr>
        <w:t>ARTICLE VII</w:t>
      </w:r>
    </w:p>
    <w:p>
      <w:pPr>
        <w:spacing w:after="0" w:line="18" w:lineRule="exact"/>
        <w:rPr>
          <w:sz w:val="20"/>
          <w:szCs w:val="20"/>
          <w:color w:val="auto"/>
        </w:rPr>
      </w:pPr>
    </w:p>
    <w:p>
      <w:pPr>
        <w:jc w:val="center"/>
        <w:ind w:right="-199"/>
        <w:spacing w:after="0"/>
        <w:rPr>
          <w:sz w:val="20"/>
          <w:szCs w:val="20"/>
          <w:color w:val="auto"/>
        </w:rPr>
      </w:pPr>
      <w:r>
        <w:rPr>
          <w:rFonts w:ascii="Arial" w:cs="Arial" w:eastAsia="Arial" w:hAnsi="Arial"/>
          <w:sz w:val="13"/>
          <w:szCs w:val="13"/>
          <w:b w:val="1"/>
          <w:bCs w:val="1"/>
          <w:color w:val="auto"/>
        </w:rPr>
        <w:t>NEGATIVE COVENANTS</w:t>
      </w:r>
    </w:p>
    <w:p>
      <w:pPr>
        <w:spacing w:after="0" w:line="138"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So long as any Lender shall have any Commitment hereunder, any Loan or other Obligation hereunder shall remain unpaid or unsatisfied (other than contingent indemnification claims for which a claim has not been asserted), or any Letter of Credit shall remain outstanding, no Loan Party shall, nor shall it permit any Subsidiary to, directly or indirectly:</w:t>
      </w:r>
    </w:p>
    <w:p>
      <w:pPr>
        <w:spacing w:after="0" w:line="109" w:lineRule="exact"/>
        <w:rPr>
          <w:sz w:val="20"/>
          <w:szCs w:val="20"/>
          <w:color w:val="auto"/>
        </w:rPr>
      </w:pPr>
    </w:p>
    <w:p>
      <w:pPr>
        <w:jc w:val="both"/>
        <w:ind w:left="220" w:firstLine="808"/>
        <w:spacing w:after="0" w:line="284" w:lineRule="auto"/>
        <w:rPr>
          <w:sz w:val="20"/>
          <w:szCs w:val="20"/>
          <w:color w:val="auto"/>
        </w:rPr>
      </w:pPr>
      <w:r>
        <w:rPr>
          <w:rFonts w:ascii="Arial" w:cs="Arial" w:eastAsia="Arial" w:hAnsi="Arial"/>
          <w:sz w:val="12"/>
          <w:szCs w:val="12"/>
          <w:b w:val="1"/>
          <w:bCs w:val="1"/>
          <w:color w:val="auto"/>
        </w:rPr>
        <w:t>7.01 Liens</w:t>
      </w:r>
      <w:r>
        <w:rPr>
          <w:rFonts w:ascii="Arial" w:cs="Arial" w:eastAsia="Arial" w:hAnsi="Arial"/>
          <w:sz w:val="12"/>
          <w:szCs w:val="12"/>
          <w:color w:val="auto"/>
        </w:rPr>
        <w:t>. Create, incur, assume or suffer to exist any Lien upon any of its property, assets or revenues, whether now owned or hereafter acquired or sign or file or suffer to exist under</w:t>
      </w:r>
      <w:r>
        <w:rPr>
          <w:rFonts w:ascii="Arial" w:cs="Arial" w:eastAsia="Arial" w:hAnsi="Arial"/>
          <w:sz w:val="12"/>
          <w:szCs w:val="12"/>
          <w:b w:val="1"/>
          <w:bCs w:val="1"/>
          <w:color w:val="auto"/>
        </w:rPr>
        <w:t xml:space="preserve"> </w:t>
      </w:r>
      <w:r>
        <w:rPr>
          <w:rFonts w:ascii="Arial" w:cs="Arial" w:eastAsia="Arial" w:hAnsi="Arial"/>
          <w:sz w:val="12"/>
          <w:szCs w:val="12"/>
          <w:color w:val="auto"/>
        </w:rPr>
        <w:t>the UCC or any similar Law or statute of any jurisdiction a financing statement that names any Loan Party or any Subsidiary thereof as debtor; sign or suffer to exist any security agreement authorizing any Person thereunder to file such financing statement; sell any of its property or assets subject to an understanding or agreement (contingent or otherwise) to repurchase such property or assets with recourse to it or any of its Subsidiaries; or assign or otherwise transfer any accounts or other rights to receive income, other than, as to all of the above, Permitted Encumbrances.</w:t>
      </w:r>
    </w:p>
    <w:p>
      <w:pPr>
        <w:spacing w:after="0" w:line="103" w:lineRule="exact"/>
        <w:rPr>
          <w:sz w:val="20"/>
          <w:szCs w:val="20"/>
          <w:color w:val="auto"/>
        </w:rPr>
      </w:pPr>
    </w:p>
    <w:tbl>
      <w:tblPr>
        <w:tblLayout w:type="fixed"/>
        <w:tblInd w:w="1040" w:type="dxa"/>
        <w:tblCellMar>
          <w:top w:w="0" w:type="dxa"/>
          <w:left w:w="0" w:type="dxa"/>
          <w:bottom w:w="0" w:type="dxa"/>
          <w:right w:w="0" w:type="dxa"/>
        </w:tblCellMar>
      </w:tblPr>
      <w:tr>
        <w:trPr>
          <w:trHeight w:val="170"/>
        </w:trPr>
        <w:tc>
          <w:tcPr>
            <w:tcW w:w="440" w:type="dxa"/>
            <w:vAlign w:val="bottom"/>
          </w:tcPr>
          <w:p>
            <w:pPr>
              <w:jc w:val="right"/>
              <w:ind w:right="154"/>
              <w:spacing w:after="0"/>
              <w:rPr>
                <w:sz w:val="20"/>
                <w:szCs w:val="20"/>
                <w:color w:val="auto"/>
              </w:rPr>
            </w:pPr>
            <w:r>
              <w:rPr>
                <w:rFonts w:ascii="Arial" w:cs="Arial" w:eastAsia="Arial" w:hAnsi="Arial"/>
                <w:sz w:val="13"/>
                <w:szCs w:val="13"/>
                <w:b w:val="1"/>
                <w:bCs w:val="1"/>
                <w:color w:val="auto"/>
                <w:w w:val="78"/>
              </w:rPr>
              <w:t>7.02</w:t>
            </w:r>
          </w:p>
        </w:tc>
        <w:tc>
          <w:tcPr>
            <w:tcW w:w="3820" w:type="dxa"/>
            <w:vAlign w:val="bottom"/>
          </w:tcPr>
          <w:p>
            <w:pPr>
              <w:ind w:left="220"/>
              <w:spacing w:after="0"/>
              <w:rPr>
                <w:sz w:val="20"/>
                <w:szCs w:val="20"/>
                <w:color w:val="auto"/>
              </w:rPr>
            </w:pPr>
            <w:r>
              <w:rPr>
                <w:rFonts w:ascii="Arial" w:cs="Arial" w:eastAsia="Arial" w:hAnsi="Arial"/>
                <w:sz w:val="13"/>
                <w:szCs w:val="13"/>
                <w:b w:val="1"/>
                <w:bCs w:val="1"/>
                <w:color w:val="auto"/>
                <w:w w:val="90"/>
              </w:rPr>
              <w:t>Investments</w:t>
            </w:r>
            <w:r>
              <w:rPr>
                <w:rFonts w:ascii="Arial" w:cs="Arial" w:eastAsia="Arial" w:hAnsi="Arial"/>
                <w:sz w:val="13"/>
                <w:szCs w:val="13"/>
                <w:color w:val="auto"/>
                <w:w w:val="90"/>
              </w:rPr>
              <w:t>. Make any Investments, except Permitted Investments.</w:t>
            </w:r>
          </w:p>
        </w:tc>
      </w:tr>
      <w:tr>
        <w:trPr>
          <w:trHeight w:val="297"/>
        </w:trPr>
        <w:tc>
          <w:tcPr>
            <w:tcW w:w="440" w:type="dxa"/>
            <w:vAlign w:val="bottom"/>
          </w:tcPr>
          <w:p>
            <w:pPr>
              <w:jc w:val="right"/>
              <w:ind w:right="154"/>
              <w:spacing w:after="0"/>
              <w:rPr>
                <w:sz w:val="20"/>
                <w:szCs w:val="20"/>
                <w:color w:val="auto"/>
              </w:rPr>
            </w:pPr>
            <w:r>
              <w:rPr>
                <w:rFonts w:ascii="Arial" w:cs="Arial" w:eastAsia="Arial" w:hAnsi="Arial"/>
                <w:sz w:val="13"/>
                <w:szCs w:val="13"/>
                <w:b w:val="1"/>
                <w:bCs w:val="1"/>
                <w:color w:val="auto"/>
                <w:w w:val="78"/>
              </w:rPr>
              <w:t>7.03</w:t>
            </w:r>
          </w:p>
        </w:tc>
        <w:tc>
          <w:tcPr>
            <w:tcW w:w="3820" w:type="dxa"/>
            <w:vAlign w:val="bottom"/>
          </w:tcPr>
          <w:p>
            <w:pPr>
              <w:ind w:left="220"/>
              <w:spacing w:after="0"/>
              <w:rPr>
                <w:sz w:val="20"/>
                <w:szCs w:val="20"/>
                <w:color w:val="auto"/>
              </w:rPr>
            </w:pPr>
            <w:r>
              <w:rPr>
                <w:rFonts w:ascii="Arial" w:cs="Arial" w:eastAsia="Arial" w:hAnsi="Arial"/>
                <w:sz w:val="13"/>
                <w:szCs w:val="13"/>
                <w:b w:val="1"/>
                <w:bCs w:val="1"/>
                <w:color w:val="auto"/>
              </w:rPr>
              <w:t>Indebtedness; Disqualified Stock; Equity Issuances</w:t>
            </w:r>
          </w:p>
        </w:tc>
      </w:tr>
    </w:tbl>
    <w:p>
      <w:pPr>
        <w:spacing w:after="0" w:line="132" w:lineRule="exact"/>
        <w:rPr>
          <w:sz w:val="20"/>
          <w:szCs w:val="20"/>
          <w:color w:val="auto"/>
        </w:rPr>
      </w:pPr>
    </w:p>
    <w:p>
      <w:pPr>
        <w:ind w:left="220" w:firstLine="1623"/>
        <w:spacing w:after="0" w:line="271" w:lineRule="auto"/>
        <w:tabs>
          <w:tab w:leader="none" w:pos="2414" w:val="left"/>
        </w:tabs>
        <w:numPr>
          <w:ilvl w:val="0"/>
          <w:numId w:val="149"/>
        </w:numPr>
        <w:rPr>
          <w:rFonts w:ascii="Arial" w:cs="Arial" w:eastAsia="Arial" w:hAnsi="Arial"/>
          <w:sz w:val="13"/>
          <w:szCs w:val="13"/>
          <w:color w:val="auto"/>
        </w:rPr>
      </w:pPr>
      <w:r>
        <w:rPr>
          <w:rFonts w:ascii="Arial" w:cs="Arial" w:eastAsia="Arial" w:hAnsi="Arial"/>
          <w:sz w:val="13"/>
          <w:szCs w:val="13"/>
          <w:color w:val="auto"/>
        </w:rPr>
        <w:t>Create, incur, assume, guarantee, suffer to exist or otherwise become or remain liable with respect to, any Indebtedness, except Permitted Indebtedness; (b) issue Disqualified Stock, or (c) issue and sell any other Equity Interests unless (i) such Equity Interests shall be issued solely by the</w:t>
      </w:r>
    </w:p>
    <w:p>
      <w:pPr>
        <w:spacing w:after="0" w:line="260"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4" w:right="439" w:bottom="1440" w:gutter="0" w:footer="0" w:header="0"/>
        </w:sectPr>
      </w:pPr>
    </w:p>
    <w:bookmarkStart w:id="112" w:name="page113"/>
    <w:bookmarkEnd w:id="112"/>
    <w:p>
      <w:pPr>
        <w:jc w:val="both"/>
        <w:ind w:left="220"/>
        <w:spacing w:after="0" w:line="259" w:lineRule="auto"/>
        <w:rPr>
          <w:sz w:val="20"/>
          <w:szCs w:val="20"/>
          <w:color w:val="auto"/>
        </w:rPr>
      </w:pPr>
      <w:r>
        <w:rPr>
          <w:rFonts w:ascii="Arial" w:cs="Arial" w:eastAsia="Arial" w:hAnsi="Arial"/>
          <w:sz w:val="13"/>
          <w:szCs w:val="13"/>
          <w:color w:val="auto"/>
        </w:rPr>
        <w:t>Lead Borrower and not by a Subsidiary of a Loan Party, (ii) such Equity Interests provide that all dividends and other Restricted Payments in respect thereof shall be made solely in additional shares of such Equity Interests, in lieu of cash, (iii) such Equity Interests shall not be subject to redemption other than redemption at the option of the Lead Borrower and in accordance with the limitations contained in this Agreement, and (iv) all Restricted Payments in respect of such Equity Interests are expressly subordinated to the Obligations.</w:t>
      </w:r>
    </w:p>
    <w:p>
      <w:pPr>
        <w:spacing w:after="0" w:line="117"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3"/>
          <w:szCs w:val="13"/>
          <w:b w:val="1"/>
          <w:bCs w:val="1"/>
          <w:color w:val="auto"/>
        </w:rPr>
        <w:t>7.04</w:t>
      </w:r>
      <w:r>
        <w:rPr>
          <w:sz w:val="20"/>
          <w:szCs w:val="20"/>
          <w:color w:val="auto"/>
        </w:rPr>
        <w:tab/>
      </w:r>
      <w:r>
        <w:rPr>
          <w:rFonts w:ascii="Arial" w:cs="Arial" w:eastAsia="Arial" w:hAnsi="Arial"/>
          <w:sz w:val="12"/>
          <w:szCs w:val="12"/>
          <w:b w:val="1"/>
          <w:bCs w:val="1"/>
          <w:color w:val="auto"/>
        </w:rPr>
        <w:t>Fundamental Changes</w:t>
      </w:r>
      <w:r>
        <w:rPr>
          <w:rFonts w:ascii="Arial" w:cs="Arial" w:eastAsia="Arial" w:hAnsi="Arial"/>
          <w:sz w:val="12"/>
          <w:szCs w:val="12"/>
          <w:color w:val="auto"/>
        </w:rPr>
        <w:t>. Merge, dissolve, liquidate, consolidate with or into another Person, (or agree to do any of the foregoing), except that, so long as no Default or Event of</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3"/>
          <w:szCs w:val="13"/>
          <w:color w:val="auto"/>
        </w:rPr>
        <w:t>Default shall have occurred and be continuing prior to or immediately after giving effect to any action described below or would result therefrom:</w:t>
      </w:r>
    </w:p>
    <w:p>
      <w:pPr>
        <w:spacing w:after="0" w:line="138" w:lineRule="exact"/>
        <w:rPr>
          <w:sz w:val="20"/>
          <w:szCs w:val="20"/>
          <w:color w:val="auto"/>
        </w:rPr>
      </w:pPr>
    </w:p>
    <w:p>
      <w:pPr>
        <w:jc w:val="both"/>
        <w:ind w:left="1080" w:firstLine="738"/>
        <w:spacing w:after="0" w:line="258" w:lineRule="auto"/>
        <w:tabs>
          <w:tab w:leader="none" w:pos="2405" w:val="left"/>
        </w:tabs>
        <w:numPr>
          <w:ilvl w:val="0"/>
          <w:numId w:val="150"/>
        </w:numPr>
        <w:rPr>
          <w:rFonts w:ascii="Arial" w:cs="Arial" w:eastAsia="Arial" w:hAnsi="Arial"/>
          <w:sz w:val="13"/>
          <w:szCs w:val="13"/>
          <w:color w:val="auto"/>
        </w:rPr>
      </w:pPr>
      <w:r>
        <w:rPr>
          <w:rFonts w:ascii="Arial" w:cs="Arial" w:eastAsia="Arial" w:hAnsi="Arial"/>
          <w:sz w:val="13"/>
          <w:szCs w:val="13"/>
          <w:color w:val="auto"/>
        </w:rPr>
        <w:t xml:space="preserve">any Subsidiary which is not a Loan Party may merge with (i) a Loan Party,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Loan Party shall be the continuing or surviving Person, or (ii) any one or more other Subsidiaries which are not Loan Parties,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when any wholly-owned Subsidiary is merging with another Subsidiary, the wholly-owned Subsidiary shall be the continuing or surviving Person;</w:t>
      </w:r>
    </w:p>
    <w:p>
      <w:pPr>
        <w:spacing w:after="0" w:line="121" w:lineRule="exact"/>
        <w:rPr>
          <w:rFonts w:ascii="Arial" w:cs="Arial" w:eastAsia="Arial" w:hAnsi="Arial"/>
          <w:sz w:val="13"/>
          <w:szCs w:val="13"/>
          <w:color w:val="auto"/>
        </w:rPr>
      </w:pPr>
    </w:p>
    <w:p>
      <w:pPr>
        <w:ind w:left="1080" w:firstLine="738"/>
        <w:spacing w:after="0" w:line="271" w:lineRule="auto"/>
        <w:tabs>
          <w:tab w:leader="none" w:pos="2412" w:val="left"/>
        </w:tabs>
        <w:numPr>
          <w:ilvl w:val="0"/>
          <w:numId w:val="150"/>
        </w:numPr>
        <w:rPr>
          <w:rFonts w:ascii="Arial" w:cs="Arial" w:eastAsia="Arial" w:hAnsi="Arial"/>
          <w:sz w:val="13"/>
          <w:szCs w:val="13"/>
          <w:color w:val="auto"/>
        </w:rPr>
      </w:pPr>
      <w:r>
        <w:rPr>
          <w:rFonts w:ascii="Arial" w:cs="Arial" w:eastAsia="Arial" w:hAnsi="Arial"/>
          <w:sz w:val="13"/>
          <w:szCs w:val="13"/>
          <w:color w:val="auto"/>
        </w:rPr>
        <w:t xml:space="preserve">any Subsidiary which is a Loan Party may merge into any Subsidiary which is a Loan Party or into a Borrower,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in any merger involving a Borrower, a Borrower shall be the continuing or surviving Person; and</w:t>
      </w:r>
    </w:p>
    <w:p>
      <w:pPr>
        <w:spacing w:after="0" w:line="112" w:lineRule="exact"/>
        <w:rPr>
          <w:rFonts w:ascii="Arial" w:cs="Arial" w:eastAsia="Arial" w:hAnsi="Arial"/>
          <w:sz w:val="13"/>
          <w:szCs w:val="13"/>
          <w:color w:val="auto"/>
        </w:rPr>
      </w:pPr>
    </w:p>
    <w:p>
      <w:pPr>
        <w:jc w:val="both"/>
        <w:ind w:left="1080" w:firstLine="738"/>
        <w:spacing w:after="0" w:line="290" w:lineRule="auto"/>
        <w:tabs>
          <w:tab w:leader="none" w:pos="2405" w:val="left"/>
        </w:tabs>
        <w:numPr>
          <w:ilvl w:val="0"/>
          <w:numId w:val="150"/>
        </w:numPr>
        <w:rPr>
          <w:rFonts w:ascii="Arial" w:cs="Arial" w:eastAsia="Arial" w:hAnsi="Arial"/>
          <w:sz w:val="12"/>
          <w:szCs w:val="12"/>
          <w:color w:val="auto"/>
        </w:rPr>
      </w:pPr>
      <w:r>
        <w:rPr>
          <w:rFonts w:ascii="Arial" w:cs="Arial" w:eastAsia="Arial" w:hAnsi="Arial"/>
          <w:sz w:val="12"/>
          <w:szCs w:val="12"/>
          <w:color w:val="auto"/>
        </w:rPr>
        <w:t xml:space="preserve">in connection with a Permitted Acquisition, any Subsidiary of a Loan Party may merge with or into or consolidate with any other Person or permit any other Person to merge with or into or consolidate with it;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 the Person surviving such merger shall be a wholly-owned Subsidiary of a Loan Party and such Person shall become a Loan Party in accordance with the provisions of </w:t>
      </w:r>
      <w:r>
        <w:rPr>
          <w:rFonts w:ascii="Arial" w:cs="Arial" w:eastAsia="Arial" w:hAnsi="Arial"/>
          <w:sz w:val="12"/>
          <w:szCs w:val="12"/>
          <w:u w:val="single" w:color="auto"/>
          <w:color w:val="auto"/>
        </w:rPr>
        <w:t>Section 6.11</w:t>
      </w:r>
      <w:r>
        <w:rPr>
          <w:rFonts w:ascii="Arial" w:cs="Arial" w:eastAsia="Arial" w:hAnsi="Arial"/>
          <w:sz w:val="12"/>
          <w:szCs w:val="12"/>
          <w:color w:val="auto"/>
        </w:rPr>
        <w:t xml:space="preserve"> hereof, and (ii) in the case of any such merger to which any Loan Party is a party, such Loan Party is the surviving Person.</w:t>
      </w:r>
    </w:p>
    <w:p>
      <w:pPr>
        <w:spacing w:after="0" w:line="99"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3"/>
          <w:szCs w:val="13"/>
          <w:b w:val="1"/>
          <w:bCs w:val="1"/>
          <w:color w:val="auto"/>
        </w:rPr>
        <w:t>7.05</w:t>
      </w:r>
      <w:r>
        <w:rPr>
          <w:sz w:val="20"/>
          <w:szCs w:val="20"/>
          <w:color w:val="auto"/>
        </w:rPr>
        <w:tab/>
      </w:r>
      <w:r>
        <w:rPr>
          <w:rFonts w:ascii="Arial" w:cs="Arial" w:eastAsia="Arial" w:hAnsi="Arial"/>
          <w:sz w:val="12"/>
          <w:szCs w:val="12"/>
          <w:b w:val="1"/>
          <w:bCs w:val="1"/>
          <w:color w:val="auto"/>
        </w:rPr>
        <w:t>Dispositions</w:t>
      </w:r>
      <w:r>
        <w:rPr>
          <w:rFonts w:ascii="Arial" w:cs="Arial" w:eastAsia="Arial" w:hAnsi="Arial"/>
          <w:sz w:val="12"/>
          <w:szCs w:val="12"/>
          <w:color w:val="auto"/>
        </w:rPr>
        <w:t>. Make any Disposition or enter into any agreement to make any Disposition, except Permitted Dispositions.</w:t>
      </w:r>
    </w:p>
    <w:p>
      <w:pPr>
        <w:spacing w:after="0" w:line="148" w:lineRule="exact"/>
        <w:rPr>
          <w:sz w:val="20"/>
          <w:szCs w:val="20"/>
          <w:color w:val="auto"/>
        </w:rPr>
      </w:pPr>
    </w:p>
    <w:p>
      <w:pPr>
        <w:ind w:left="220" w:firstLine="808"/>
        <w:spacing w:after="0" w:line="278" w:lineRule="auto"/>
        <w:rPr>
          <w:sz w:val="20"/>
          <w:szCs w:val="20"/>
          <w:color w:val="auto"/>
        </w:rPr>
      </w:pPr>
      <w:r>
        <w:rPr>
          <w:rFonts w:ascii="Arial" w:cs="Arial" w:eastAsia="Arial" w:hAnsi="Arial"/>
          <w:sz w:val="13"/>
          <w:szCs w:val="13"/>
          <w:b w:val="1"/>
          <w:bCs w:val="1"/>
          <w:color w:val="auto"/>
        </w:rPr>
        <w:t>7.06 Restricted Payments</w:t>
      </w:r>
      <w:r>
        <w:rPr>
          <w:rFonts w:ascii="Arial" w:cs="Arial" w:eastAsia="Arial" w:hAnsi="Arial"/>
          <w:sz w:val="13"/>
          <w:szCs w:val="13"/>
          <w:color w:val="auto"/>
        </w:rPr>
        <w:t>. Declare or make, directly or indirectly, any Restricted Payment, or incur any obligation (contingent or otherwise) to do so, except that each of the following</w:t>
      </w:r>
      <w:r>
        <w:rPr>
          <w:rFonts w:ascii="Arial" w:cs="Arial" w:eastAsia="Arial" w:hAnsi="Arial"/>
          <w:sz w:val="13"/>
          <w:szCs w:val="13"/>
          <w:b w:val="1"/>
          <w:bCs w:val="1"/>
          <w:color w:val="auto"/>
        </w:rPr>
        <w:t xml:space="preserve"> </w:t>
      </w:r>
      <w:r>
        <w:rPr>
          <w:rFonts w:ascii="Arial" w:cs="Arial" w:eastAsia="Arial" w:hAnsi="Arial"/>
          <w:sz w:val="13"/>
          <w:szCs w:val="13"/>
          <w:color w:val="auto"/>
        </w:rPr>
        <w:t>shall be permitted so long as no Default or Event of Default shall have occurred and be continuing prior, or immediately after giving effect, to the following, or would result therefrom:</w:t>
      </w:r>
    </w:p>
    <w:p>
      <w:pPr>
        <w:spacing w:after="0" w:line="108" w:lineRule="exact"/>
        <w:rPr>
          <w:sz w:val="20"/>
          <w:szCs w:val="20"/>
          <w:color w:val="auto"/>
        </w:rPr>
      </w:pPr>
    </w:p>
    <w:p>
      <w:pPr>
        <w:ind w:left="2400" w:hanging="585"/>
        <w:spacing w:after="0"/>
        <w:tabs>
          <w:tab w:leader="none" w:pos="2400" w:val="left"/>
        </w:tabs>
        <w:numPr>
          <w:ilvl w:val="0"/>
          <w:numId w:val="151"/>
        </w:numPr>
        <w:rPr>
          <w:rFonts w:ascii="Arial" w:cs="Arial" w:eastAsia="Arial" w:hAnsi="Arial"/>
          <w:sz w:val="13"/>
          <w:szCs w:val="13"/>
          <w:color w:val="auto"/>
        </w:rPr>
      </w:pPr>
      <w:r>
        <w:rPr>
          <w:rFonts w:ascii="Arial" w:cs="Arial" w:eastAsia="Arial" w:hAnsi="Arial"/>
          <w:sz w:val="13"/>
          <w:szCs w:val="13"/>
          <w:color w:val="auto"/>
        </w:rPr>
        <w:t>each Subsidiary of a Loan Party may make Restricted Payments to any Loan Party;</w:t>
      </w:r>
    </w:p>
    <w:p>
      <w:pPr>
        <w:spacing w:after="0" w:line="147" w:lineRule="exact"/>
        <w:rPr>
          <w:rFonts w:ascii="Arial" w:cs="Arial" w:eastAsia="Arial" w:hAnsi="Arial"/>
          <w:sz w:val="13"/>
          <w:szCs w:val="13"/>
          <w:color w:val="auto"/>
        </w:rPr>
      </w:pPr>
    </w:p>
    <w:p>
      <w:pPr>
        <w:ind w:left="2400" w:hanging="581"/>
        <w:spacing w:after="0"/>
        <w:tabs>
          <w:tab w:leader="none" w:pos="2400" w:val="left"/>
        </w:tabs>
        <w:numPr>
          <w:ilvl w:val="0"/>
          <w:numId w:val="151"/>
        </w:numPr>
        <w:rPr>
          <w:rFonts w:ascii="Arial" w:cs="Arial" w:eastAsia="Arial" w:hAnsi="Arial"/>
          <w:sz w:val="12"/>
          <w:szCs w:val="12"/>
          <w:color w:val="auto"/>
        </w:rPr>
      </w:pPr>
      <w:r>
        <w:rPr>
          <w:rFonts w:ascii="Arial" w:cs="Arial" w:eastAsia="Arial" w:hAnsi="Arial"/>
          <w:sz w:val="12"/>
          <w:szCs w:val="12"/>
          <w:color w:val="auto"/>
        </w:rPr>
        <w:t>the Loan Parties and each Subsidiary may declare and make dividend payments or other distributions payable solely in the common stock or other common Equity</w:t>
      </w:r>
    </w:p>
    <w:p>
      <w:pPr>
        <w:spacing w:after="0" w:line="25" w:lineRule="exact"/>
        <w:rPr>
          <w:rFonts w:ascii="Arial" w:cs="Arial" w:eastAsia="Arial" w:hAnsi="Arial"/>
          <w:sz w:val="12"/>
          <w:szCs w:val="12"/>
          <w:color w:val="auto"/>
        </w:rPr>
      </w:pPr>
    </w:p>
    <w:p>
      <w:pPr>
        <w:ind w:left="1080"/>
        <w:spacing w:after="0"/>
        <w:rPr>
          <w:rFonts w:ascii="Arial" w:cs="Arial" w:eastAsia="Arial" w:hAnsi="Arial"/>
          <w:sz w:val="12"/>
          <w:szCs w:val="12"/>
          <w:color w:val="auto"/>
        </w:rPr>
      </w:pPr>
      <w:r>
        <w:rPr>
          <w:rFonts w:ascii="Arial" w:cs="Arial" w:eastAsia="Arial" w:hAnsi="Arial"/>
          <w:sz w:val="13"/>
          <w:szCs w:val="13"/>
          <w:color w:val="auto"/>
        </w:rPr>
        <w:t>Interests of such Person;</w:t>
      </w:r>
    </w:p>
    <w:p>
      <w:pPr>
        <w:spacing w:after="0" w:line="137" w:lineRule="exact"/>
        <w:rPr>
          <w:rFonts w:ascii="Arial" w:cs="Arial" w:eastAsia="Arial" w:hAnsi="Arial"/>
          <w:sz w:val="12"/>
          <w:szCs w:val="12"/>
          <w:color w:val="auto"/>
        </w:rPr>
      </w:pPr>
    </w:p>
    <w:p>
      <w:pPr>
        <w:ind w:left="2400" w:hanging="581"/>
        <w:spacing w:after="0"/>
        <w:tabs>
          <w:tab w:leader="none" w:pos="2400" w:val="left"/>
        </w:tabs>
        <w:numPr>
          <w:ilvl w:val="0"/>
          <w:numId w:val="151"/>
        </w:numPr>
        <w:rPr>
          <w:rFonts w:ascii="Arial" w:cs="Arial" w:eastAsia="Arial" w:hAnsi="Arial"/>
          <w:sz w:val="13"/>
          <w:szCs w:val="13"/>
          <w:color w:val="auto"/>
        </w:rPr>
      </w:pPr>
      <w:r>
        <w:rPr>
          <w:rFonts w:ascii="Arial" w:cs="Arial" w:eastAsia="Arial" w:hAnsi="Arial"/>
          <w:sz w:val="13"/>
          <w:szCs w:val="13"/>
          <w:color w:val="auto"/>
        </w:rPr>
        <w:t>if the RP Conditions are satisfied, the Loan Parties and each Subsidiary may purchase, redeem or otherwise acquire Equity Interests issued by it; and</w:t>
      </w:r>
    </w:p>
    <w:p>
      <w:pPr>
        <w:spacing w:after="0" w:line="147" w:lineRule="exact"/>
        <w:rPr>
          <w:rFonts w:ascii="Arial" w:cs="Arial" w:eastAsia="Arial" w:hAnsi="Arial"/>
          <w:sz w:val="13"/>
          <w:szCs w:val="13"/>
          <w:color w:val="auto"/>
        </w:rPr>
      </w:pPr>
    </w:p>
    <w:p>
      <w:pPr>
        <w:ind w:left="2400" w:hanging="581"/>
        <w:spacing w:after="0"/>
        <w:tabs>
          <w:tab w:leader="none" w:pos="2400" w:val="left"/>
        </w:tabs>
        <w:numPr>
          <w:ilvl w:val="0"/>
          <w:numId w:val="151"/>
        </w:numPr>
        <w:rPr>
          <w:rFonts w:ascii="Arial" w:cs="Arial" w:eastAsia="Arial" w:hAnsi="Arial"/>
          <w:sz w:val="13"/>
          <w:szCs w:val="13"/>
          <w:color w:val="auto"/>
        </w:rPr>
      </w:pPr>
      <w:r>
        <w:rPr>
          <w:rFonts w:ascii="Arial" w:cs="Arial" w:eastAsia="Arial" w:hAnsi="Arial"/>
          <w:sz w:val="13"/>
          <w:szCs w:val="13"/>
          <w:color w:val="auto"/>
        </w:rPr>
        <w:t>if the RP Conditions are satisfied, the Lead Borrower may declare or pay cash dividends to its stockholders.</w:t>
      </w:r>
    </w:p>
    <w:p>
      <w:pPr>
        <w:spacing w:after="0" w:line="295"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113" w:name="page114"/>
    <w:bookmarkEnd w:id="113"/>
    <w:p>
      <w:pPr>
        <w:jc w:val="both"/>
        <w:ind w:left="220" w:firstLine="807"/>
        <w:spacing w:after="0" w:line="263" w:lineRule="auto"/>
        <w:rPr>
          <w:sz w:val="20"/>
          <w:szCs w:val="20"/>
          <w:color w:val="auto"/>
        </w:rPr>
      </w:pPr>
      <w:r>
        <w:rPr>
          <w:rFonts w:ascii="Arial" w:cs="Arial" w:eastAsia="Arial" w:hAnsi="Arial"/>
          <w:sz w:val="13"/>
          <w:szCs w:val="13"/>
          <w:b w:val="1"/>
          <w:bCs w:val="1"/>
          <w:color w:val="auto"/>
        </w:rPr>
        <w:t>7.07 Prepayments of Indebtedness</w:t>
      </w:r>
      <w:r>
        <w:rPr>
          <w:rFonts w:ascii="Arial" w:cs="Arial" w:eastAsia="Arial" w:hAnsi="Arial"/>
          <w:sz w:val="13"/>
          <w:szCs w:val="13"/>
          <w:color w:val="auto"/>
        </w:rPr>
        <w:t>. Prepay, redeem, purchase, defease or otherwise satisfy prior to the scheduled maturity thereof in any manner any Indebtedness, except (a) as long</w:t>
      </w:r>
      <w:r>
        <w:rPr>
          <w:rFonts w:ascii="Arial" w:cs="Arial" w:eastAsia="Arial" w:hAnsi="Arial"/>
          <w:sz w:val="13"/>
          <w:szCs w:val="13"/>
          <w:b w:val="1"/>
          <w:bCs w:val="1"/>
          <w:color w:val="auto"/>
        </w:rPr>
        <w:t xml:space="preserve"> </w:t>
      </w:r>
      <w:r>
        <w:rPr>
          <w:rFonts w:ascii="Arial" w:cs="Arial" w:eastAsia="Arial" w:hAnsi="Arial"/>
          <w:sz w:val="13"/>
          <w:szCs w:val="13"/>
          <w:color w:val="auto"/>
        </w:rPr>
        <w:t>as no Default or Event of Default then exists, regularly scheduled or mandatory repayments, repurchases, redemptions or defeasances of Permitted Indebtedness, (b) voluntary prepayments, repurchases, redemptions or defeasances of Permitted Indebtedness as long as the Payment Conditions are satisfied, and (c) Permitted Refinancings of any such Indebtedness.</w:t>
      </w:r>
    </w:p>
    <w:p>
      <w:pPr>
        <w:spacing w:after="0" w:line="113"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3"/>
          <w:szCs w:val="13"/>
          <w:b w:val="1"/>
          <w:bCs w:val="1"/>
          <w:color w:val="auto"/>
        </w:rPr>
        <w:t>7.08</w:t>
      </w:r>
      <w:r>
        <w:rPr>
          <w:sz w:val="20"/>
          <w:szCs w:val="20"/>
          <w:color w:val="auto"/>
        </w:rPr>
        <w:tab/>
      </w:r>
      <w:r>
        <w:rPr>
          <w:rFonts w:ascii="Arial" w:cs="Arial" w:eastAsia="Arial" w:hAnsi="Arial"/>
          <w:sz w:val="11"/>
          <w:szCs w:val="11"/>
          <w:b w:val="1"/>
          <w:bCs w:val="1"/>
          <w:color w:val="auto"/>
        </w:rPr>
        <w:t>Change in Nature of Business.</w:t>
      </w:r>
    </w:p>
    <w:p>
      <w:pPr>
        <w:spacing w:after="0" w:line="152"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In the case of each of the Loan Parties, engage in any line of business substantially different from the Business conducted by the Loan Parties and their Subsidiaries on the Closing Date or any business substantially related or incidental thereto.</w:t>
      </w:r>
    </w:p>
    <w:p>
      <w:pPr>
        <w:spacing w:after="0" w:line="109" w:lineRule="exact"/>
        <w:rPr>
          <w:sz w:val="20"/>
          <w:szCs w:val="20"/>
          <w:color w:val="auto"/>
        </w:rPr>
      </w:pPr>
    </w:p>
    <w:p>
      <w:pPr>
        <w:jc w:val="both"/>
        <w:ind w:left="220" w:firstLine="808"/>
        <w:spacing w:after="0" w:line="250" w:lineRule="auto"/>
        <w:rPr>
          <w:sz w:val="20"/>
          <w:szCs w:val="20"/>
          <w:color w:val="auto"/>
        </w:rPr>
      </w:pPr>
      <w:r>
        <w:rPr>
          <w:rFonts w:ascii="Arial" w:cs="Arial" w:eastAsia="Arial" w:hAnsi="Arial"/>
          <w:sz w:val="13"/>
          <w:szCs w:val="13"/>
          <w:b w:val="1"/>
          <w:bCs w:val="1"/>
          <w:color w:val="auto"/>
        </w:rPr>
        <w:t>7.09 Transactions with Affiliates</w:t>
      </w:r>
      <w:r>
        <w:rPr>
          <w:rFonts w:ascii="Arial" w:cs="Arial" w:eastAsia="Arial" w:hAnsi="Arial"/>
          <w:sz w:val="13"/>
          <w:szCs w:val="13"/>
          <w:color w:val="auto"/>
        </w:rPr>
        <w:t>. Enter into, renew, extend or be a party to any transaction of any kind with any Affiliate of any Loan Party, whether or not in the ordinary course of</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business, other than on fair and reasonable terms substantially as favorable to the Loan Parties or such Subsidiary as would be obtainable by the Loan Parties or such Subsidiary at the time in a comparable arm’s length transaction with a Person other than an Affiliate,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foregoing restriction shall not apply to (a) a transaction between or among the Loan Parties, (b) transactions described on </w:t>
      </w:r>
      <w:r>
        <w:rPr>
          <w:rFonts w:ascii="Arial" w:cs="Arial" w:eastAsia="Arial" w:hAnsi="Arial"/>
          <w:sz w:val="13"/>
          <w:szCs w:val="13"/>
          <w:u w:val="single" w:color="auto"/>
          <w:color w:val="auto"/>
        </w:rPr>
        <w:t>Schedule 7.09</w:t>
      </w:r>
      <w:r>
        <w:rPr>
          <w:rFonts w:ascii="Arial" w:cs="Arial" w:eastAsia="Arial" w:hAnsi="Arial"/>
          <w:sz w:val="13"/>
          <w:szCs w:val="13"/>
          <w:color w:val="auto"/>
        </w:rPr>
        <w:t xml:space="preserve"> hereto, (c) advances for commissions, travel and other similar purposes in the ordinary course of business to directors, officers and employees, (d) the payment of reasonable fees and out-of-pocket costs to directors, and compensation and employee benefit arrangements paid to, and indemnities provided for the benefit of, directors, officers or employees of the Lead Borrower or any of its Subsidiaries, and (e) as long as no Change of Control results therefrom, any issuances of securities of the Lead Borrower (other than Disqualified Stock and other Equity Interests not permitted hereunder) or other payments, awards or grants in cash, securities or otherwise pursuant to, or the funding of, employment agreements, stock options and stock ownership plans (in each case in respect of Equity Interests in the Lead Borrower) of the Lead Borrower or any of its Subsidiaries.</w:t>
      </w:r>
    </w:p>
    <w:p>
      <w:pPr>
        <w:spacing w:after="0" w:line="123" w:lineRule="exact"/>
        <w:rPr>
          <w:sz w:val="20"/>
          <w:szCs w:val="20"/>
          <w:color w:val="auto"/>
        </w:rPr>
      </w:pPr>
    </w:p>
    <w:p>
      <w:pPr>
        <w:jc w:val="both"/>
        <w:ind w:left="220" w:firstLine="808"/>
        <w:spacing w:after="0" w:line="252" w:lineRule="auto"/>
        <w:rPr>
          <w:sz w:val="20"/>
          <w:szCs w:val="20"/>
          <w:color w:val="auto"/>
        </w:rPr>
      </w:pPr>
      <w:r>
        <w:rPr>
          <w:rFonts w:ascii="Arial" w:cs="Arial" w:eastAsia="Arial" w:hAnsi="Arial"/>
          <w:sz w:val="13"/>
          <w:szCs w:val="13"/>
          <w:b w:val="1"/>
          <w:bCs w:val="1"/>
          <w:color w:val="auto"/>
        </w:rPr>
        <w:t>7.10 Burdensome Agreements</w:t>
      </w:r>
      <w:r>
        <w:rPr>
          <w:rFonts w:ascii="Arial" w:cs="Arial" w:eastAsia="Arial" w:hAnsi="Arial"/>
          <w:sz w:val="13"/>
          <w:szCs w:val="13"/>
          <w:color w:val="auto"/>
        </w:rPr>
        <w:t>. Enter into or permit to exist any Contractual Obligation (other than this Agreement or any other Loan Document) that (a) limits the ability (i) of any</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Subsidiary to make Restricted Payments or other distributions to any Loan Party or to otherwise transfer property to or invest in a Loan Party, (ii) of any Subsidiary to Guarantee the Obligations, (iii) of any Subsidiary to make or repay loans to a Loan Party, or (iv) of the Loan Parties or any Subsidiary to create, incur, assume or suffer to exist Liens on property of such Person in favor of the Agent;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this clause (iv) shall not prohibit any negative pledge incurred or provided in favor of any holder of Indebtedness permitted under clauses (c) or (d) of the definition of Permitted Indebtedness solely to the extent any such negative pledge relates to the property financed by or the subject of such Indebtedness; or (b) requires the grant of a Lien to secure an obligation of such Person if a Lien is granted to secure another obligation of such Person.</w:t>
      </w:r>
    </w:p>
    <w:p>
      <w:pPr>
        <w:spacing w:after="0" w:line="121" w:lineRule="exact"/>
        <w:rPr>
          <w:sz w:val="20"/>
          <w:szCs w:val="20"/>
          <w:color w:val="auto"/>
        </w:rPr>
      </w:pPr>
    </w:p>
    <w:p>
      <w:pPr>
        <w:jc w:val="both"/>
        <w:ind w:left="220" w:firstLine="808"/>
        <w:spacing w:after="0" w:line="253" w:lineRule="auto"/>
        <w:rPr>
          <w:sz w:val="20"/>
          <w:szCs w:val="20"/>
          <w:color w:val="auto"/>
        </w:rPr>
      </w:pPr>
      <w:r>
        <w:rPr>
          <w:rFonts w:ascii="Arial" w:cs="Arial" w:eastAsia="Arial" w:hAnsi="Arial"/>
          <w:sz w:val="13"/>
          <w:szCs w:val="13"/>
          <w:b w:val="1"/>
          <w:bCs w:val="1"/>
          <w:color w:val="auto"/>
        </w:rPr>
        <w:t>7.11 Use of Proceeds</w:t>
      </w:r>
      <w:r>
        <w:rPr>
          <w:rFonts w:ascii="Arial" w:cs="Arial" w:eastAsia="Arial" w:hAnsi="Arial"/>
          <w:sz w:val="13"/>
          <w:szCs w:val="13"/>
          <w:color w:val="auto"/>
        </w:rPr>
        <w:t>. Use the proceeds of any Credit Extension, whether directly or indirectly, and whether immediately, incidentally or ultimately, (a) to purchase or carry margin</w:t>
      </w:r>
      <w:r>
        <w:rPr>
          <w:rFonts w:ascii="Arial" w:cs="Arial" w:eastAsia="Arial" w:hAnsi="Arial"/>
          <w:sz w:val="13"/>
          <w:szCs w:val="13"/>
          <w:b w:val="1"/>
          <w:bCs w:val="1"/>
          <w:color w:val="auto"/>
        </w:rPr>
        <w:t xml:space="preserve"> </w:t>
      </w:r>
      <w:r>
        <w:rPr>
          <w:rFonts w:ascii="Arial" w:cs="Arial" w:eastAsia="Arial" w:hAnsi="Arial"/>
          <w:sz w:val="13"/>
          <w:szCs w:val="13"/>
          <w:color w:val="auto"/>
        </w:rPr>
        <w:t>stock (within the meaning of Regulation U of the FRB) or to extend credit to others for the purpose of purchasing or carrying margin stock or to refund Indebtedness originally incurred for such purpose, (b) to make any payments to a Sanctioned Entity or a Sanctioned Person, to finance any investments in a Sanctioned Entity or a Sanctioned Person, to fund any operations of a Sanctioned Entity or a Sanctioned Person, or in any other manner that would result in a violation of Sanctions by any Person, (c) for any purpose which would breach any Anti-Corruption Laws or Anti-Money Laundering Laws, or (d) for any purposes other than (i) the acquisition of working capital assets in the ordinary course of business, (ii) to</w:t>
      </w:r>
    </w:p>
    <w:p>
      <w:pPr>
        <w:spacing w:after="0" w:line="273"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4" w:right="439" w:bottom="1440" w:gutter="0" w:footer="0" w:header="0"/>
        </w:sectPr>
      </w:pPr>
    </w:p>
    <w:bookmarkStart w:id="114" w:name="page115"/>
    <w:bookmarkEnd w:id="114"/>
    <w:p>
      <w:pPr>
        <w:ind w:left="220"/>
        <w:spacing w:after="0"/>
        <w:rPr>
          <w:sz w:val="20"/>
          <w:szCs w:val="20"/>
          <w:color w:val="auto"/>
        </w:rPr>
      </w:pPr>
      <w:r>
        <w:rPr>
          <w:rFonts w:ascii="Arial" w:cs="Arial" w:eastAsia="Arial" w:hAnsi="Arial"/>
          <w:sz w:val="13"/>
          <w:szCs w:val="13"/>
          <w:color w:val="auto"/>
        </w:rPr>
        <w:t>finance Capital Expenditures of the Loan Parties, and (iii) for general corporate purposes, in each case to the extent expressly permitted under Law and the Loan Documents.</w:t>
      </w:r>
    </w:p>
    <w:p>
      <w:pPr>
        <w:spacing w:after="0" w:line="145"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3"/>
          <w:szCs w:val="13"/>
          <w:b w:val="1"/>
          <w:bCs w:val="1"/>
          <w:color w:val="auto"/>
        </w:rPr>
        <w:t>7.12</w:t>
      </w:r>
      <w:r>
        <w:rPr>
          <w:sz w:val="20"/>
          <w:szCs w:val="20"/>
          <w:color w:val="auto"/>
        </w:rPr>
        <w:tab/>
      </w:r>
      <w:r>
        <w:rPr>
          <w:rFonts w:ascii="Arial" w:cs="Arial" w:eastAsia="Arial" w:hAnsi="Arial"/>
          <w:sz w:val="12"/>
          <w:szCs w:val="12"/>
          <w:b w:val="1"/>
          <w:bCs w:val="1"/>
          <w:color w:val="auto"/>
        </w:rPr>
        <w:t>Amendment of Material Documents</w:t>
      </w:r>
      <w:r>
        <w:rPr>
          <w:rFonts w:ascii="Arial" w:cs="Arial" w:eastAsia="Arial" w:hAnsi="Arial"/>
          <w:sz w:val="12"/>
          <w:szCs w:val="12"/>
          <w:color w:val="auto"/>
        </w:rPr>
        <w:t>.</w:t>
      </w:r>
    </w:p>
    <w:p>
      <w:pPr>
        <w:spacing w:after="0" w:line="152" w:lineRule="exact"/>
        <w:rPr>
          <w:sz w:val="20"/>
          <w:szCs w:val="20"/>
          <w:color w:val="auto"/>
        </w:rPr>
      </w:pPr>
    </w:p>
    <w:p>
      <w:pPr>
        <w:jc w:val="both"/>
        <w:ind w:left="220" w:firstLine="808"/>
        <w:spacing w:after="0" w:line="258" w:lineRule="auto"/>
        <w:rPr>
          <w:sz w:val="20"/>
          <w:szCs w:val="20"/>
          <w:color w:val="auto"/>
        </w:rPr>
      </w:pPr>
      <w:r>
        <w:rPr>
          <w:rFonts w:ascii="Arial" w:cs="Arial" w:eastAsia="Arial" w:hAnsi="Arial"/>
          <w:sz w:val="13"/>
          <w:szCs w:val="13"/>
          <w:color w:val="auto"/>
        </w:rPr>
        <w:t>Amend, modify or waive any of a Loan Party’s rights under (a) its Organization Documents in a manner materially adverse to the Credit Parties, or (b) any Material Contract or Material Indebtedness (other than on account of any Permitted Refinancing thereof), in each case to the extent that such amendment, modification or waiver would result in a Default or Event of Default under any of the Loan Documents, would be materially adverse to the Credit Parties, or otherwise would be reasonably likely to have a Material Adverse Effect.</w:t>
      </w:r>
    </w:p>
    <w:p>
      <w:pPr>
        <w:spacing w:after="0" w:line="117"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3"/>
          <w:szCs w:val="13"/>
          <w:b w:val="1"/>
          <w:bCs w:val="1"/>
          <w:color w:val="auto"/>
        </w:rPr>
        <w:t>7.13</w:t>
      </w:r>
      <w:r>
        <w:rPr>
          <w:sz w:val="20"/>
          <w:szCs w:val="20"/>
          <w:color w:val="auto"/>
        </w:rPr>
        <w:tab/>
      </w:r>
      <w:r>
        <w:rPr>
          <w:rFonts w:ascii="Arial" w:cs="Arial" w:eastAsia="Arial" w:hAnsi="Arial"/>
          <w:sz w:val="11"/>
          <w:szCs w:val="11"/>
          <w:b w:val="1"/>
          <w:bCs w:val="1"/>
          <w:color w:val="auto"/>
        </w:rPr>
        <w:t>Fiscal Year</w:t>
      </w:r>
      <w:r>
        <w:rPr>
          <w:rFonts w:ascii="Arial" w:cs="Arial" w:eastAsia="Arial" w:hAnsi="Arial"/>
          <w:sz w:val="11"/>
          <w:szCs w:val="11"/>
          <w:color w:val="auto"/>
        </w:rPr>
        <w:t>.</w:t>
      </w:r>
    </w:p>
    <w:p>
      <w:pPr>
        <w:spacing w:after="0" w:line="152" w:lineRule="exact"/>
        <w:rPr>
          <w:sz w:val="20"/>
          <w:szCs w:val="20"/>
          <w:color w:val="auto"/>
        </w:rPr>
      </w:pPr>
    </w:p>
    <w:p>
      <w:pPr>
        <w:ind w:left="1060"/>
        <w:spacing w:after="0"/>
        <w:rPr>
          <w:sz w:val="20"/>
          <w:szCs w:val="20"/>
          <w:color w:val="auto"/>
        </w:rPr>
      </w:pPr>
      <w:r>
        <w:rPr>
          <w:rFonts w:ascii="Arial" w:cs="Arial" w:eastAsia="Arial" w:hAnsi="Arial"/>
          <w:sz w:val="13"/>
          <w:szCs w:val="13"/>
          <w:color w:val="auto"/>
        </w:rPr>
        <w:t>Change the Fiscal Year of any Loan Party, or the accounting policies or reporting practices of the Loan Parties, except as required by GAAP.</w:t>
      </w:r>
    </w:p>
    <w:p>
      <w:pPr>
        <w:spacing w:after="0" w:line="144"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3"/>
          <w:szCs w:val="13"/>
          <w:b w:val="1"/>
          <w:bCs w:val="1"/>
          <w:color w:val="auto"/>
        </w:rPr>
        <w:t>7.14</w:t>
      </w:r>
      <w:r>
        <w:rPr>
          <w:sz w:val="20"/>
          <w:szCs w:val="20"/>
          <w:color w:val="auto"/>
        </w:rPr>
        <w:tab/>
      </w:r>
      <w:r>
        <w:rPr>
          <w:rFonts w:ascii="Arial" w:cs="Arial" w:eastAsia="Arial" w:hAnsi="Arial"/>
          <w:sz w:val="11"/>
          <w:szCs w:val="11"/>
          <w:b w:val="1"/>
          <w:bCs w:val="1"/>
          <w:color w:val="auto"/>
        </w:rPr>
        <w:t>Deposit Accounts; Credit Card Processors</w:t>
      </w:r>
      <w:r>
        <w:rPr>
          <w:rFonts w:ascii="Arial" w:cs="Arial" w:eastAsia="Arial" w:hAnsi="Arial"/>
          <w:sz w:val="11"/>
          <w:szCs w:val="11"/>
          <w:color w:val="auto"/>
        </w:rPr>
        <w:t>.</w:t>
      </w:r>
    </w:p>
    <w:p>
      <w:pPr>
        <w:spacing w:after="0" w:line="152" w:lineRule="exact"/>
        <w:rPr>
          <w:sz w:val="20"/>
          <w:szCs w:val="20"/>
          <w:color w:val="auto"/>
        </w:rPr>
      </w:pPr>
    </w:p>
    <w:p>
      <w:pPr>
        <w:jc w:val="both"/>
        <w:ind w:left="220" w:firstLine="808"/>
        <w:spacing w:after="0" w:line="258" w:lineRule="auto"/>
        <w:rPr>
          <w:sz w:val="20"/>
          <w:szCs w:val="20"/>
          <w:color w:val="auto"/>
        </w:rPr>
      </w:pPr>
      <w:r>
        <w:rPr>
          <w:rFonts w:ascii="Arial" w:cs="Arial" w:eastAsia="Arial" w:hAnsi="Arial"/>
          <w:sz w:val="13"/>
          <w:szCs w:val="13"/>
          <w:color w:val="auto"/>
        </w:rPr>
        <w:t xml:space="preserve">Open new DDAs unless the Loan Parties shall have delivered to the Agent appropriate Account Control Agreements consistent with the provisions of </w:t>
      </w:r>
      <w:r>
        <w:rPr>
          <w:rFonts w:ascii="Arial" w:cs="Arial" w:eastAsia="Arial" w:hAnsi="Arial"/>
          <w:sz w:val="13"/>
          <w:szCs w:val="13"/>
          <w:u w:val="single" w:color="auto"/>
          <w:color w:val="auto"/>
        </w:rPr>
        <w:t>Section 6.12</w:t>
      </w:r>
      <w:r>
        <w:rPr>
          <w:rFonts w:ascii="Arial" w:cs="Arial" w:eastAsia="Arial" w:hAnsi="Arial"/>
          <w:sz w:val="13"/>
          <w:szCs w:val="13"/>
          <w:color w:val="auto"/>
        </w:rPr>
        <w:t xml:space="preserve"> and otherwise satisfactory to the Agent. No Loan Party shall maintain any bank accounts or enter into any agreements with Credit Card Issuers or Credit Card Processors other than the ones expressly contemplated herein or in </w:t>
      </w:r>
      <w:r>
        <w:rPr>
          <w:rFonts w:ascii="Arial" w:cs="Arial" w:eastAsia="Arial" w:hAnsi="Arial"/>
          <w:sz w:val="13"/>
          <w:szCs w:val="13"/>
          <w:u w:val="single" w:color="auto"/>
          <w:color w:val="auto"/>
        </w:rPr>
        <w:t>Section</w:t>
      </w:r>
      <w:r>
        <w:rPr>
          <w:rFonts w:ascii="Arial" w:cs="Arial" w:eastAsia="Arial" w:hAnsi="Arial"/>
          <w:sz w:val="13"/>
          <w:szCs w:val="13"/>
          <w:color w:val="auto"/>
        </w:rPr>
        <w:t xml:space="preserve"> </w:t>
      </w:r>
      <w:r>
        <w:rPr>
          <w:rFonts w:ascii="Arial" w:cs="Arial" w:eastAsia="Arial" w:hAnsi="Arial"/>
          <w:sz w:val="13"/>
          <w:szCs w:val="13"/>
          <w:u w:val="single" w:color="auto"/>
          <w:color w:val="auto"/>
        </w:rPr>
        <w:t>6.12</w:t>
      </w:r>
      <w:r>
        <w:rPr>
          <w:rFonts w:ascii="Arial" w:cs="Arial" w:eastAsia="Arial" w:hAnsi="Arial"/>
          <w:sz w:val="13"/>
          <w:szCs w:val="13"/>
          <w:color w:val="auto"/>
        </w:rPr>
        <w:t xml:space="preserve"> hereof.</w:t>
      </w:r>
    </w:p>
    <w:p>
      <w:pPr>
        <w:spacing w:after="0" w:line="117"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3"/>
          <w:szCs w:val="13"/>
          <w:b w:val="1"/>
          <w:bCs w:val="1"/>
          <w:color w:val="auto"/>
        </w:rPr>
        <w:t>7.15</w:t>
      </w:r>
      <w:r>
        <w:rPr>
          <w:sz w:val="20"/>
          <w:szCs w:val="20"/>
          <w:color w:val="auto"/>
        </w:rPr>
        <w:tab/>
      </w:r>
      <w:r>
        <w:rPr>
          <w:rFonts w:ascii="Arial" w:cs="Arial" w:eastAsia="Arial" w:hAnsi="Arial"/>
          <w:sz w:val="12"/>
          <w:szCs w:val="12"/>
          <w:b w:val="1"/>
          <w:bCs w:val="1"/>
          <w:color w:val="auto"/>
        </w:rPr>
        <w:t>Financial Covenant</w:t>
      </w:r>
      <w:r>
        <w:rPr>
          <w:rFonts w:ascii="Arial" w:cs="Arial" w:eastAsia="Arial" w:hAnsi="Arial"/>
          <w:sz w:val="12"/>
          <w:szCs w:val="12"/>
          <w:color w:val="auto"/>
        </w:rPr>
        <w:t>.</w:t>
      </w:r>
    </w:p>
    <w:p>
      <w:pPr>
        <w:spacing w:after="0" w:line="152"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During the continuance of a Covenant Compliance Event, permit the Consolidated Fixed Charge Coverage Ratio, tested monthly on a trailing twelve month basis commencing with the Fiscal Month immediately prior to the date that the Covenant Compliance Event occurs, during the Fiscal Years set forth below to be less than 1:0:1.0.</w:t>
      </w:r>
    </w:p>
    <w:p>
      <w:pPr>
        <w:spacing w:after="0" w:line="109" w:lineRule="exact"/>
        <w:rPr>
          <w:sz w:val="20"/>
          <w:szCs w:val="20"/>
          <w:color w:val="auto"/>
        </w:rPr>
      </w:pPr>
    </w:p>
    <w:p>
      <w:pPr>
        <w:jc w:val="center"/>
        <w:ind w:right="-199"/>
        <w:spacing w:after="0"/>
        <w:rPr>
          <w:sz w:val="20"/>
          <w:szCs w:val="20"/>
          <w:color w:val="auto"/>
        </w:rPr>
      </w:pPr>
      <w:r>
        <w:rPr>
          <w:rFonts w:ascii="Arial" w:cs="Arial" w:eastAsia="Arial" w:hAnsi="Arial"/>
          <w:sz w:val="13"/>
          <w:szCs w:val="13"/>
          <w:b w:val="1"/>
          <w:bCs w:val="1"/>
          <w:color w:val="auto"/>
        </w:rPr>
        <w:t>ARTICLE VIII</w:t>
      </w:r>
    </w:p>
    <w:p>
      <w:pPr>
        <w:spacing w:after="0" w:line="18" w:lineRule="exact"/>
        <w:rPr>
          <w:sz w:val="20"/>
          <w:szCs w:val="20"/>
          <w:color w:val="auto"/>
        </w:rPr>
      </w:pPr>
    </w:p>
    <w:p>
      <w:pPr>
        <w:jc w:val="center"/>
        <w:ind w:right="-199"/>
        <w:spacing w:after="0"/>
        <w:rPr>
          <w:sz w:val="20"/>
          <w:szCs w:val="20"/>
          <w:color w:val="auto"/>
        </w:rPr>
      </w:pPr>
      <w:r>
        <w:rPr>
          <w:rFonts w:ascii="Arial" w:cs="Arial" w:eastAsia="Arial" w:hAnsi="Arial"/>
          <w:sz w:val="13"/>
          <w:szCs w:val="13"/>
          <w:b w:val="1"/>
          <w:bCs w:val="1"/>
          <w:color w:val="auto"/>
        </w:rPr>
        <w:t>EVENTS OF DEFAULT AND REMEDIES</w:t>
      </w:r>
    </w:p>
    <w:p>
      <w:pPr>
        <w:spacing w:after="0" w:line="134"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3"/>
          <w:szCs w:val="13"/>
          <w:b w:val="1"/>
          <w:bCs w:val="1"/>
          <w:color w:val="auto"/>
        </w:rPr>
        <w:t>8.01</w:t>
      </w:r>
      <w:r>
        <w:rPr>
          <w:sz w:val="20"/>
          <w:szCs w:val="20"/>
          <w:color w:val="auto"/>
        </w:rPr>
        <w:tab/>
      </w:r>
      <w:r>
        <w:rPr>
          <w:rFonts w:ascii="Arial" w:cs="Arial" w:eastAsia="Arial" w:hAnsi="Arial"/>
          <w:sz w:val="12"/>
          <w:szCs w:val="12"/>
          <w:b w:val="1"/>
          <w:bCs w:val="1"/>
          <w:color w:val="auto"/>
        </w:rPr>
        <w:t>Events of Default</w:t>
      </w:r>
      <w:r>
        <w:rPr>
          <w:rFonts w:ascii="Arial" w:cs="Arial" w:eastAsia="Arial" w:hAnsi="Arial"/>
          <w:sz w:val="12"/>
          <w:szCs w:val="12"/>
          <w:color w:val="auto"/>
        </w:rPr>
        <w:t>. Any of the following shall constitute an Event of Default:</w:t>
      </w:r>
    </w:p>
    <w:p>
      <w:pPr>
        <w:spacing w:after="0" w:line="152" w:lineRule="exact"/>
        <w:rPr>
          <w:sz w:val="20"/>
          <w:szCs w:val="20"/>
          <w:color w:val="auto"/>
        </w:rPr>
      </w:pPr>
    </w:p>
    <w:p>
      <w:pPr>
        <w:jc w:val="both"/>
        <w:ind w:left="1080" w:firstLine="739"/>
        <w:spacing w:after="0" w:line="258" w:lineRule="auto"/>
        <w:tabs>
          <w:tab w:leader="none" w:pos="2403" w:val="left"/>
        </w:tabs>
        <w:numPr>
          <w:ilvl w:val="0"/>
          <w:numId w:val="152"/>
        </w:numPr>
        <w:rPr>
          <w:rFonts w:ascii="Arial" w:cs="Arial" w:eastAsia="Arial" w:hAnsi="Arial"/>
          <w:sz w:val="13"/>
          <w:szCs w:val="13"/>
          <w:color w:val="auto"/>
        </w:rPr>
      </w:pPr>
      <w:r>
        <w:rPr>
          <w:rFonts w:ascii="Arial" w:cs="Arial" w:eastAsia="Arial" w:hAnsi="Arial"/>
          <w:sz w:val="13"/>
          <w:szCs w:val="13"/>
          <w:u w:val="single" w:color="auto"/>
          <w:color w:val="auto"/>
        </w:rPr>
        <w:t>Non-Payment</w:t>
      </w:r>
      <w:r>
        <w:rPr>
          <w:rFonts w:ascii="Arial" w:cs="Arial" w:eastAsia="Arial" w:hAnsi="Arial"/>
          <w:sz w:val="13"/>
          <w:szCs w:val="13"/>
          <w:color w:val="auto"/>
        </w:rPr>
        <w:t>. The Borrowers or any other Loan Party fails to pay when and as required to be paid, (i) any amount of principal of, or interest on, any Loan or any L/C Obligation, or deposit any funds as Cash Collateral in respect of L/C Obligations, or (ii) any fee due hereunder, or (iii) any other amount payable hereunder or under any other Loan Document, which failure pursuant to this clause (iii) continues for five (5) Business Days; or</w:t>
      </w:r>
    </w:p>
    <w:p>
      <w:pPr>
        <w:spacing w:after="0" w:line="121" w:lineRule="exact"/>
        <w:rPr>
          <w:rFonts w:ascii="Arial" w:cs="Arial" w:eastAsia="Arial" w:hAnsi="Arial"/>
          <w:sz w:val="13"/>
          <w:szCs w:val="13"/>
          <w:color w:val="auto"/>
        </w:rPr>
      </w:pPr>
    </w:p>
    <w:p>
      <w:pPr>
        <w:ind w:left="1080" w:firstLine="739"/>
        <w:spacing w:after="0" w:line="271" w:lineRule="auto"/>
        <w:tabs>
          <w:tab w:leader="none" w:pos="2410" w:val="left"/>
        </w:tabs>
        <w:numPr>
          <w:ilvl w:val="0"/>
          <w:numId w:val="152"/>
        </w:numPr>
        <w:rPr>
          <w:rFonts w:ascii="Arial" w:cs="Arial" w:eastAsia="Arial" w:hAnsi="Arial"/>
          <w:sz w:val="13"/>
          <w:szCs w:val="13"/>
          <w:color w:val="auto"/>
        </w:rPr>
      </w:pPr>
      <w:r>
        <w:rPr>
          <w:rFonts w:ascii="Arial" w:cs="Arial" w:eastAsia="Arial" w:hAnsi="Arial"/>
          <w:sz w:val="13"/>
          <w:szCs w:val="13"/>
          <w:u w:val="single" w:color="auto"/>
          <w:color w:val="auto"/>
        </w:rPr>
        <w:t>Specific Covenants</w:t>
      </w:r>
      <w:r>
        <w:rPr>
          <w:rFonts w:ascii="Arial" w:cs="Arial" w:eastAsia="Arial" w:hAnsi="Arial"/>
          <w:sz w:val="13"/>
          <w:szCs w:val="13"/>
          <w:color w:val="auto"/>
        </w:rPr>
        <w:t xml:space="preserve">. (i) Any Loan Party fails to perform or observe any term, covenant or agreement contained in any of </w:t>
      </w:r>
      <w:r>
        <w:rPr>
          <w:rFonts w:ascii="Arial" w:cs="Arial" w:eastAsia="Arial" w:hAnsi="Arial"/>
          <w:sz w:val="13"/>
          <w:szCs w:val="13"/>
          <w:u w:val="single" w:color="auto"/>
          <w:color w:val="auto"/>
        </w:rPr>
        <w:t>Sections 6.01, 6.02, 6.03, 6.05, 6.07, 6.10, 6.11,</w:t>
      </w:r>
      <w:r>
        <w:rPr>
          <w:rFonts w:ascii="Arial" w:cs="Arial" w:eastAsia="Arial" w:hAnsi="Arial"/>
          <w:sz w:val="13"/>
          <w:szCs w:val="13"/>
          <w:color w:val="auto"/>
        </w:rPr>
        <w:t xml:space="preserve"> </w:t>
      </w:r>
      <w:r>
        <w:rPr>
          <w:rFonts w:ascii="Arial" w:cs="Arial" w:eastAsia="Arial" w:hAnsi="Arial"/>
          <w:sz w:val="13"/>
          <w:szCs w:val="13"/>
          <w:u w:val="single" w:color="auto"/>
          <w:color w:val="auto"/>
        </w:rPr>
        <w:t>6.12, or 6.13</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Article VII</w:t>
      </w:r>
      <w:r>
        <w:rPr>
          <w:rFonts w:ascii="Arial" w:cs="Arial" w:eastAsia="Arial" w:hAnsi="Arial"/>
          <w:sz w:val="13"/>
          <w:szCs w:val="13"/>
          <w:color w:val="auto"/>
        </w:rPr>
        <w:t>; or</w:t>
      </w:r>
    </w:p>
    <w:p>
      <w:pPr>
        <w:spacing w:after="0" w:line="112" w:lineRule="exact"/>
        <w:rPr>
          <w:rFonts w:ascii="Arial" w:cs="Arial" w:eastAsia="Arial" w:hAnsi="Arial"/>
          <w:sz w:val="13"/>
          <w:szCs w:val="13"/>
          <w:color w:val="auto"/>
        </w:rPr>
      </w:pPr>
    </w:p>
    <w:p>
      <w:pPr>
        <w:ind w:left="1080" w:firstLine="739"/>
        <w:spacing w:after="0" w:line="271" w:lineRule="auto"/>
        <w:tabs>
          <w:tab w:leader="none" w:pos="2403" w:val="left"/>
        </w:tabs>
        <w:numPr>
          <w:ilvl w:val="0"/>
          <w:numId w:val="152"/>
        </w:numPr>
        <w:rPr>
          <w:rFonts w:ascii="Arial" w:cs="Arial" w:eastAsia="Arial" w:hAnsi="Arial"/>
          <w:sz w:val="13"/>
          <w:szCs w:val="13"/>
          <w:color w:val="auto"/>
        </w:rPr>
      </w:pPr>
      <w:r>
        <w:rPr>
          <w:rFonts w:ascii="Arial" w:cs="Arial" w:eastAsia="Arial" w:hAnsi="Arial"/>
          <w:sz w:val="13"/>
          <w:szCs w:val="13"/>
          <w:u w:val="single" w:color="auto"/>
          <w:color w:val="auto"/>
        </w:rPr>
        <w:t>Other Defaults</w:t>
      </w:r>
      <w:r>
        <w:rPr>
          <w:rFonts w:ascii="Arial" w:cs="Arial" w:eastAsia="Arial" w:hAnsi="Arial"/>
          <w:sz w:val="13"/>
          <w:szCs w:val="13"/>
          <w:color w:val="auto"/>
        </w:rPr>
        <w:t>. Any Loan Party fails to perform or observe any other covenant or agreement (not specified in subsection (a) or (b) above) contained in any Loan Document on its part to be performed or observed and such failure continues for fifteen (15) days after the</w:t>
      </w:r>
    </w:p>
    <w:p>
      <w:pPr>
        <w:spacing w:after="0" w:line="260"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115" w:name="page116"/>
    <w:bookmarkEnd w:id="115"/>
    <w:p>
      <w:pPr>
        <w:ind w:left="1060"/>
        <w:spacing w:after="0"/>
        <w:rPr>
          <w:sz w:val="20"/>
          <w:szCs w:val="20"/>
          <w:color w:val="auto"/>
        </w:rPr>
      </w:pPr>
      <w:r>
        <w:rPr>
          <w:rFonts w:ascii="Arial" w:cs="Arial" w:eastAsia="Arial" w:hAnsi="Arial"/>
          <w:sz w:val="13"/>
          <w:szCs w:val="13"/>
          <w:color w:val="auto"/>
        </w:rPr>
        <w:t>earlier of a Responsible Officer’s obtaining knowledge thereof or written notice from the Agent thereof; or</w:t>
      </w:r>
    </w:p>
    <w:p>
      <w:pPr>
        <w:spacing w:after="0" w:line="149" w:lineRule="exact"/>
        <w:rPr>
          <w:sz w:val="20"/>
          <w:szCs w:val="20"/>
          <w:color w:val="auto"/>
        </w:rPr>
      </w:pPr>
    </w:p>
    <w:p>
      <w:pPr>
        <w:jc w:val="both"/>
        <w:ind w:left="1080" w:firstLine="739"/>
        <w:spacing w:after="0" w:line="258" w:lineRule="auto"/>
        <w:tabs>
          <w:tab w:leader="none" w:pos="2410" w:val="left"/>
        </w:tabs>
        <w:numPr>
          <w:ilvl w:val="0"/>
          <w:numId w:val="153"/>
        </w:numPr>
        <w:rPr>
          <w:rFonts w:ascii="Arial" w:cs="Arial" w:eastAsia="Arial" w:hAnsi="Arial"/>
          <w:sz w:val="13"/>
          <w:szCs w:val="13"/>
          <w:color w:val="auto"/>
        </w:rPr>
      </w:pPr>
      <w:r>
        <w:rPr>
          <w:rFonts w:ascii="Arial" w:cs="Arial" w:eastAsia="Arial" w:hAnsi="Arial"/>
          <w:sz w:val="13"/>
          <w:szCs w:val="13"/>
          <w:u w:val="single" w:color="auto"/>
          <w:color w:val="auto"/>
        </w:rPr>
        <w:t>Representations and Warranties</w:t>
      </w:r>
      <w:r>
        <w:rPr>
          <w:rFonts w:ascii="Arial" w:cs="Arial" w:eastAsia="Arial" w:hAnsi="Arial"/>
          <w:sz w:val="13"/>
          <w:szCs w:val="13"/>
          <w:color w:val="auto"/>
        </w:rPr>
        <w:t>. Any representation, warranty, certification or statement of fact made or deemed made by or on behalf of any Loan Party herein, in any other Loan Document, or in any document delivered in connection herewith or therewith (including, without limitation, any Borrowing Base Certificate) shall be incorrect or misleading in any material respect when made or deemed made; or</w:t>
      </w:r>
    </w:p>
    <w:p>
      <w:pPr>
        <w:spacing w:after="0" w:line="121" w:lineRule="exact"/>
        <w:rPr>
          <w:rFonts w:ascii="Arial" w:cs="Arial" w:eastAsia="Arial" w:hAnsi="Arial"/>
          <w:sz w:val="13"/>
          <w:szCs w:val="13"/>
          <w:color w:val="auto"/>
        </w:rPr>
      </w:pPr>
    </w:p>
    <w:p>
      <w:pPr>
        <w:jc w:val="both"/>
        <w:ind w:left="1080" w:firstLine="739"/>
        <w:spacing w:after="0" w:line="275" w:lineRule="auto"/>
        <w:tabs>
          <w:tab w:leader="none" w:pos="2403" w:val="left"/>
        </w:tabs>
        <w:numPr>
          <w:ilvl w:val="0"/>
          <w:numId w:val="153"/>
        </w:numPr>
        <w:rPr>
          <w:rFonts w:ascii="Arial" w:cs="Arial" w:eastAsia="Arial" w:hAnsi="Arial"/>
          <w:sz w:val="12"/>
          <w:szCs w:val="12"/>
          <w:color w:val="auto"/>
        </w:rPr>
      </w:pPr>
      <w:r>
        <w:rPr>
          <w:rFonts w:ascii="Arial" w:cs="Arial" w:eastAsia="Arial" w:hAnsi="Arial"/>
          <w:sz w:val="12"/>
          <w:szCs w:val="12"/>
          <w:u w:val="single" w:color="auto"/>
          <w:color w:val="auto"/>
        </w:rPr>
        <w:t>Cross-Default</w:t>
      </w:r>
      <w:r>
        <w:rPr>
          <w:rFonts w:ascii="Arial" w:cs="Arial" w:eastAsia="Arial" w:hAnsi="Arial"/>
          <w:sz w:val="12"/>
          <w:szCs w:val="12"/>
          <w:color w:val="auto"/>
        </w:rPr>
        <w:t>. Any Loan Party (A) fails to make any payment when due (whether by scheduled maturity, required prepayment, acceleration, demand, or otherwise) in respect of any Material Indebtedness, or (B) fails to observe or perform any other agreement or condition relating to any such Material Indebtedness or contained in any instrument or agreement evidencing, securing or relating thereto, or any other event occurs, the effect of which default or other event is to cause, or to permit the holder or holders of such Material Indebtedness or the beneficiary or beneficiaries of any Guarantee thereof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w:t>
      </w:r>
    </w:p>
    <w:p>
      <w:pPr>
        <w:spacing w:after="0" w:line="114" w:lineRule="exact"/>
        <w:rPr>
          <w:rFonts w:ascii="Arial" w:cs="Arial" w:eastAsia="Arial" w:hAnsi="Arial"/>
          <w:sz w:val="12"/>
          <w:szCs w:val="12"/>
          <w:color w:val="auto"/>
        </w:rPr>
      </w:pPr>
    </w:p>
    <w:p>
      <w:pPr>
        <w:jc w:val="both"/>
        <w:ind w:left="1080" w:firstLine="739"/>
        <w:spacing w:after="0" w:line="275" w:lineRule="auto"/>
        <w:tabs>
          <w:tab w:leader="none" w:pos="2388" w:val="left"/>
        </w:tabs>
        <w:numPr>
          <w:ilvl w:val="0"/>
          <w:numId w:val="153"/>
        </w:numPr>
        <w:rPr>
          <w:rFonts w:ascii="Arial" w:cs="Arial" w:eastAsia="Arial" w:hAnsi="Arial"/>
          <w:sz w:val="12"/>
          <w:szCs w:val="12"/>
          <w:color w:val="auto"/>
        </w:rPr>
      </w:pPr>
      <w:r>
        <w:rPr>
          <w:rFonts w:ascii="Arial" w:cs="Arial" w:eastAsia="Arial" w:hAnsi="Arial"/>
          <w:sz w:val="12"/>
          <w:szCs w:val="12"/>
          <w:u w:val="single" w:color="auto"/>
          <w:color w:val="auto"/>
        </w:rPr>
        <w:t>Insolvency Proceedings, Etc.</w:t>
      </w:r>
      <w:r>
        <w:rPr>
          <w:rFonts w:ascii="Arial" w:cs="Arial" w:eastAsia="Arial" w:hAnsi="Arial"/>
          <w:sz w:val="12"/>
          <w:szCs w:val="12"/>
          <w:color w:val="auto"/>
        </w:rPr>
        <w:t xml:space="preserve"> Any Loan Party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 proceeding shall be commenced or a petition filed, without the application or consent of such Person, seeking or requesting the appointment of any receiver, trustee, custodian, conservator, liquidator, rehabilitator or similar officer is appointed and the appointment continues undischarged, undismissed or unstayed for 90 calendar days or an order or decree approving or ordering any of the foregoing shall be entered; or any proceeding under any Debtor Relief Law relating to any such Person or to all or any material part of its property is instituted without the consent of such Person and continues undismissed or unstayed for 90 calendar days, or an order for relief is entered in any such proceeding; or</w:t>
      </w:r>
    </w:p>
    <w:p>
      <w:pPr>
        <w:spacing w:after="0" w:line="114" w:lineRule="exact"/>
        <w:rPr>
          <w:rFonts w:ascii="Arial" w:cs="Arial" w:eastAsia="Arial" w:hAnsi="Arial"/>
          <w:sz w:val="12"/>
          <w:szCs w:val="12"/>
          <w:color w:val="auto"/>
        </w:rPr>
      </w:pPr>
    </w:p>
    <w:p>
      <w:pPr>
        <w:jc w:val="both"/>
        <w:ind w:left="1080" w:firstLine="738"/>
        <w:spacing w:after="0" w:line="258" w:lineRule="auto"/>
        <w:tabs>
          <w:tab w:leader="none" w:pos="2409" w:val="left"/>
        </w:tabs>
        <w:numPr>
          <w:ilvl w:val="0"/>
          <w:numId w:val="153"/>
        </w:numPr>
        <w:rPr>
          <w:rFonts w:ascii="Arial" w:cs="Arial" w:eastAsia="Arial" w:hAnsi="Arial"/>
          <w:sz w:val="13"/>
          <w:szCs w:val="13"/>
          <w:color w:val="auto"/>
        </w:rPr>
      </w:pPr>
      <w:r>
        <w:rPr>
          <w:rFonts w:ascii="Arial" w:cs="Arial" w:eastAsia="Arial" w:hAnsi="Arial"/>
          <w:sz w:val="13"/>
          <w:szCs w:val="13"/>
          <w:u w:val="single" w:color="auto"/>
          <w:color w:val="auto"/>
        </w:rPr>
        <w:t>Inability to Pay Debts; Attachment</w:t>
      </w:r>
      <w:r>
        <w:rPr>
          <w:rFonts w:ascii="Arial" w:cs="Arial" w:eastAsia="Arial" w:hAnsi="Arial"/>
          <w:sz w:val="13"/>
          <w:szCs w:val="13"/>
          <w:color w:val="auto"/>
        </w:rPr>
        <w:t>. (i) Any Loan Party or any Subsidiary thereof becomes unable or admits in writing its inability or fails generally to pay its debts as they become due in the ordinary course of business, or (ii) any writ or warrant of attachment or execution or similar process is issued or levied against all or any material part of the property of any such Person and is not released, vacated or fully bonded within 10 days after its issuance or levy; or</w:t>
      </w:r>
    </w:p>
    <w:p>
      <w:pPr>
        <w:spacing w:after="0" w:line="121" w:lineRule="exact"/>
        <w:rPr>
          <w:rFonts w:ascii="Arial" w:cs="Arial" w:eastAsia="Arial" w:hAnsi="Arial"/>
          <w:sz w:val="13"/>
          <w:szCs w:val="13"/>
          <w:color w:val="auto"/>
        </w:rPr>
      </w:pPr>
    </w:p>
    <w:p>
      <w:pPr>
        <w:jc w:val="both"/>
        <w:ind w:left="1080" w:firstLine="739"/>
        <w:spacing w:after="0" w:line="278" w:lineRule="auto"/>
        <w:tabs>
          <w:tab w:leader="none" w:pos="2410" w:val="left"/>
        </w:tabs>
        <w:numPr>
          <w:ilvl w:val="0"/>
          <w:numId w:val="153"/>
        </w:numPr>
        <w:rPr>
          <w:rFonts w:ascii="Arial" w:cs="Arial" w:eastAsia="Arial" w:hAnsi="Arial"/>
          <w:sz w:val="12"/>
          <w:szCs w:val="12"/>
          <w:color w:val="auto"/>
        </w:rPr>
      </w:pPr>
      <w:r>
        <w:rPr>
          <w:rFonts w:ascii="Arial" w:cs="Arial" w:eastAsia="Arial" w:hAnsi="Arial"/>
          <w:sz w:val="12"/>
          <w:szCs w:val="12"/>
          <w:u w:val="single" w:color="auto"/>
          <w:color w:val="auto"/>
        </w:rPr>
        <w:t>Judgments</w:t>
      </w:r>
      <w:r>
        <w:rPr>
          <w:rFonts w:ascii="Arial" w:cs="Arial" w:eastAsia="Arial" w:hAnsi="Arial"/>
          <w:sz w:val="12"/>
          <w:szCs w:val="12"/>
          <w:color w:val="auto"/>
        </w:rPr>
        <w:t>. There is entered against any Loan Party or any Subsidiary thereof (i) one or more judgments or orders for the payment of money in an aggregate amount (as to all such judgments and orders) exceeding $3,000,000 (to the extent not covered by independent third- party insurance as to which the insurer is rated at least “A” by A.M. Best Company, has been notified of the potential claim and does not dispute coverage), or (ii) any one or more non- monetary judgments that have, or could reasonably be expected to have, individually or in the aggregate, a Material Adverse Effect and, in either case, (A) enforcement proceedings are commenced by any creditor upon such judgment or order, or (B) there is a period of 10 consecutive days during which a stay of enforcement of such judgment or order, by reason of a pending appeal or otherwise, is not in effect; or</w:t>
      </w:r>
    </w:p>
    <w:p>
      <w:pPr>
        <w:spacing w:after="0" w:line="258"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116" w:name="page117"/>
    <w:bookmarkEnd w:id="116"/>
    <w:p>
      <w:pPr>
        <w:jc w:val="both"/>
        <w:ind w:left="1080" w:firstLine="739"/>
        <w:spacing w:after="0" w:line="283" w:lineRule="auto"/>
        <w:tabs>
          <w:tab w:leader="none" w:pos="2381" w:val="left"/>
        </w:tabs>
        <w:numPr>
          <w:ilvl w:val="1"/>
          <w:numId w:val="154"/>
        </w:numPr>
        <w:rPr>
          <w:rFonts w:ascii="Arial" w:cs="Arial" w:eastAsia="Arial" w:hAnsi="Arial"/>
          <w:sz w:val="12"/>
          <w:szCs w:val="12"/>
          <w:color w:val="auto"/>
        </w:rPr>
      </w:pPr>
      <w:r>
        <w:rPr>
          <w:rFonts w:ascii="Arial" w:cs="Arial" w:eastAsia="Arial" w:hAnsi="Arial"/>
          <w:sz w:val="12"/>
          <w:szCs w:val="12"/>
          <w:u w:val="single" w:color="auto"/>
          <w:color w:val="auto"/>
        </w:rPr>
        <w:t>ERISA</w:t>
      </w:r>
      <w:r>
        <w:rPr>
          <w:rFonts w:ascii="Arial" w:cs="Arial" w:eastAsia="Arial" w:hAnsi="Arial"/>
          <w:sz w:val="12"/>
          <w:szCs w:val="12"/>
          <w:color w:val="auto"/>
        </w:rPr>
        <w:t>. (i) An ERISA Event occurs with respect to a Pension Plan or Multiemployer Plan which has resulted or could reasonably be expected to result in liability of any Loan Party under Title IV of ERISA to the Pension Plan, Multiemployer Plan or the PBGC in an aggregate amount in excess of $1,000,000 or which would reasonably likely result in a Material Adverse Effect, or (ii) a Loan Party or any ERISA Affiliate fails to pay when due, after the expiration of any applicable grace period, any installment payment with respect to its withdrawal liability under Section 4201 of ERISA under a Multiemployer Plan in an aggregate amount in excess of $1,000,000 or which would reasonably likely result in a Material Adverse Effect; or</w:t>
      </w:r>
    </w:p>
    <w:p>
      <w:pPr>
        <w:spacing w:after="0" w:line="107" w:lineRule="exact"/>
        <w:rPr>
          <w:rFonts w:ascii="Arial" w:cs="Arial" w:eastAsia="Arial" w:hAnsi="Arial"/>
          <w:sz w:val="12"/>
          <w:szCs w:val="12"/>
          <w:color w:val="auto"/>
        </w:rPr>
      </w:pPr>
    </w:p>
    <w:p>
      <w:pPr>
        <w:jc w:val="both"/>
        <w:ind w:left="1080" w:firstLine="739"/>
        <w:spacing w:after="0" w:line="278" w:lineRule="auto"/>
        <w:tabs>
          <w:tab w:leader="none" w:pos="2381" w:val="left"/>
        </w:tabs>
        <w:numPr>
          <w:ilvl w:val="1"/>
          <w:numId w:val="154"/>
        </w:numPr>
        <w:rPr>
          <w:rFonts w:ascii="Arial" w:cs="Arial" w:eastAsia="Arial" w:hAnsi="Arial"/>
          <w:sz w:val="12"/>
          <w:szCs w:val="12"/>
          <w:color w:val="auto"/>
        </w:rPr>
      </w:pPr>
      <w:r>
        <w:rPr>
          <w:rFonts w:ascii="Arial" w:cs="Arial" w:eastAsia="Arial" w:hAnsi="Arial"/>
          <w:sz w:val="12"/>
          <w:szCs w:val="12"/>
          <w:u w:val="single" w:color="auto"/>
          <w:color w:val="auto"/>
        </w:rPr>
        <w:t>Invalidity of Loan Documents</w:t>
      </w:r>
      <w:r>
        <w:rPr>
          <w:rFonts w:ascii="Arial" w:cs="Arial" w:eastAsia="Arial" w:hAnsi="Arial"/>
          <w:sz w:val="12"/>
          <w:szCs w:val="12"/>
          <w:color w:val="auto"/>
        </w:rPr>
        <w:t>. (i) Any provision of any Loan Document, at any time after its execution and delivery and for any reason, ceases to be in full force and effect; or any Loan Party or any other Person contests in any manner the validity or enforceability of any provision of any Loan Document; or any Loan Party denies that it has any or further liability or obligation under any provision of any Loan Document, or purports to revoke, terminate or rescind any provision of any Loan Document or seeks to avoid, limit or otherwise adversely affect any Lien purported to be created under any Security Document; or (ii) any Lien purported to be created under any Security Document shall cease to be, or shall be asserted by any Loan Party or any other Person not to be, a valid and perfected Lien on any Collateral, with the priority required by the applicable Security Document; or</w:t>
      </w:r>
    </w:p>
    <w:p>
      <w:pPr>
        <w:spacing w:after="0" w:line="110" w:lineRule="exact"/>
        <w:rPr>
          <w:rFonts w:ascii="Arial" w:cs="Arial" w:eastAsia="Arial" w:hAnsi="Arial"/>
          <w:sz w:val="12"/>
          <w:szCs w:val="12"/>
          <w:color w:val="auto"/>
        </w:rPr>
      </w:pPr>
    </w:p>
    <w:p>
      <w:pPr>
        <w:ind w:left="2420" w:hanging="584"/>
        <w:spacing w:after="0"/>
        <w:tabs>
          <w:tab w:leader="none" w:pos="2420" w:val="left"/>
        </w:tabs>
        <w:numPr>
          <w:ilvl w:val="3"/>
          <w:numId w:val="154"/>
        </w:numPr>
        <w:rPr>
          <w:rFonts w:ascii="Arial" w:cs="Arial" w:eastAsia="Arial" w:hAnsi="Arial"/>
          <w:sz w:val="13"/>
          <w:szCs w:val="13"/>
          <w:color w:val="auto"/>
        </w:rPr>
      </w:pPr>
      <w:r>
        <w:rPr>
          <w:rFonts w:ascii="Arial" w:cs="Arial" w:eastAsia="Arial" w:hAnsi="Arial"/>
          <w:sz w:val="13"/>
          <w:szCs w:val="13"/>
          <w:u w:val="single" w:color="auto"/>
          <w:color w:val="auto"/>
        </w:rPr>
        <w:t>Change of Control</w:t>
      </w:r>
      <w:r>
        <w:rPr>
          <w:rFonts w:ascii="Arial" w:cs="Arial" w:eastAsia="Arial" w:hAnsi="Arial"/>
          <w:sz w:val="13"/>
          <w:szCs w:val="13"/>
          <w:color w:val="auto"/>
        </w:rPr>
        <w:t>. There occurs any Change of Control; or</w:t>
      </w:r>
    </w:p>
    <w:p>
      <w:pPr>
        <w:spacing w:after="0" w:line="147" w:lineRule="exact"/>
        <w:rPr>
          <w:rFonts w:ascii="Arial" w:cs="Arial" w:eastAsia="Arial" w:hAnsi="Arial"/>
          <w:sz w:val="13"/>
          <w:szCs w:val="13"/>
          <w:color w:val="auto"/>
        </w:rPr>
      </w:pPr>
    </w:p>
    <w:p>
      <w:pPr>
        <w:jc w:val="both"/>
        <w:ind w:left="1080" w:firstLine="739"/>
        <w:spacing w:after="0" w:line="252" w:lineRule="auto"/>
        <w:tabs>
          <w:tab w:leader="none" w:pos="2382" w:val="left"/>
        </w:tabs>
        <w:numPr>
          <w:ilvl w:val="2"/>
          <w:numId w:val="154"/>
        </w:numPr>
        <w:rPr>
          <w:rFonts w:ascii="Arial" w:cs="Arial" w:eastAsia="Arial" w:hAnsi="Arial"/>
          <w:sz w:val="13"/>
          <w:szCs w:val="13"/>
          <w:color w:val="auto"/>
        </w:rPr>
      </w:pPr>
      <w:r>
        <w:rPr>
          <w:rFonts w:ascii="Arial" w:cs="Arial" w:eastAsia="Arial" w:hAnsi="Arial"/>
          <w:sz w:val="13"/>
          <w:szCs w:val="13"/>
          <w:u w:val="single" w:color="auto"/>
          <w:color w:val="auto"/>
        </w:rPr>
        <w:t>Cessation of Business</w:t>
      </w:r>
      <w:r>
        <w:rPr>
          <w:rFonts w:ascii="Arial" w:cs="Arial" w:eastAsia="Arial" w:hAnsi="Arial"/>
          <w:sz w:val="13"/>
          <w:szCs w:val="13"/>
          <w:color w:val="auto"/>
        </w:rPr>
        <w:t>. Except as otherwise expressly permitted hereunder, any Loan Party shall take any action, or shall make a determination, whether or not yet formally approved by any Loan Party’s management or board of directors, to (i) suspend the operation of all or a material portion of its business in the ordinary course, (ii) suspend the payment of any material obligations in the ordinary course or suspend the performance under material contracts in the ordinary course, (iii) solicit proposals for the liquidation of, or undertake to liquidate, all or a material portion of its assets or Store locations, or (iv) solicit proposals for the employment of, or employ, an agent or other third party to conduct a program of closings, liquidations, or “Going-Out-Of-Business” sales of any material portion of its business; or</w:t>
      </w:r>
    </w:p>
    <w:p>
      <w:pPr>
        <w:spacing w:after="0" w:line="124" w:lineRule="exact"/>
        <w:rPr>
          <w:rFonts w:ascii="Arial" w:cs="Arial" w:eastAsia="Arial" w:hAnsi="Arial"/>
          <w:sz w:val="13"/>
          <w:szCs w:val="13"/>
          <w:color w:val="auto"/>
        </w:rPr>
      </w:pPr>
    </w:p>
    <w:p>
      <w:pPr>
        <w:ind w:left="2440" w:hanging="622"/>
        <w:spacing w:after="0"/>
        <w:tabs>
          <w:tab w:leader="none" w:pos="2440" w:val="left"/>
        </w:tabs>
        <w:numPr>
          <w:ilvl w:val="2"/>
          <w:numId w:val="154"/>
        </w:numPr>
        <w:rPr>
          <w:rFonts w:ascii="Arial" w:cs="Arial" w:eastAsia="Arial" w:hAnsi="Arial"/>
          <w:sz w:val="13"/>
          <w:szCs w:val="13"/>
          <w:color w:val="auto"/>
        </w:rPr>
      </w:pPr>
      <w:r>
        <w:rPr>
          <w:rFonts w:ascii="Arial" w:cs="Arial" w:eastAsia="Arial" w:hAnsi="Arial"/>
          <w:sz w:val="13"/>
          <w:szCs w:val="13"/>
          <w:u w:val="single" w:color="auto"/>
          <w:color w:val="auto"/>
        </w:rPr>
        <w:t>Loss of Collateral</w:t>
      </w:r>
      <w:r>
        <w:rPr>
          <w:rFonts w:ascii="Arial" w:cs="Arial" w:eastAsia="Arial" w:hAnsi="Arial"/>
          <w:sz w:val="13"/>
          <w:szCs w:val="13"/>
          <w:color w:val="auto"/>
        </w:rPr>
        <w:t>. There occurs any uninsured loss to any material portion of the Collateral; or</w:t>
      </w:r>
    </w:p>
    <w:p>
      <w:pPr>
        <w:spacing w:after="0" w:line="147" w:lineRule="exact"/>
        <w:rPr>
          <w:rFonts w:ascii="Arial" w:cs="Arial" w:eastAsia="Arial" w:hAnsi="Arial"/>
          <w:sz w:val="13"/>
          <w:szCs w:val="13"/>
          <w:color w:val="auto"/>
        </w:rPr>
      </w:pPr>
    </w:p>
    <w:p>
      <w:pPr>
        <w:jc w:val="both"/>
        <w:ind w:left="1080" w:firstLine="739"/>
        <w:spacing w:after="0" w:line="254" w:lineRule="auto"/>
        <w:tabs>
          <w:tab w:leader="none" w:pos="2410" w:val="left"/>
        </w:tabs>
        <w:numPr>
          <w:ilvl w:val="2"/>
          <w:numId w:val="154"/>
        </w:numPr>
        <w:rPr>
          <w:rFonts w:ascii="Arial" w:cs="Arial" w:eastAsia="Arial" w:hAnsi="Arial"/>
          <w:sz w:val="13"/>
          <w:szCs w:val="13"/>
          <w:color w:val="auto"/>
        </w:rPr>
      </w:pPr>
      <w:r>
        <w:rPr>
          <w:rFonts w:ascii="Arial" w:cs="Arial" w:eastAsia="Arial" w:hAnsi="Arial"/>
          <w:sz w:val="13"/>
          <w:szCs w:val="13"/>
          <w:u w:val="single" w:color="auto"/>
          <w:color w:val="auto"/>
        </w:rPr>
        <w:t>Breach of Contractual Obligation</w:t>
      </w:r>
      <w:r>
        <w:rPr>
          <w:rFonts w:ascii="Arial" w:cs="Arial" w:eastAsia="Arial" w:hAnsi="Arial"/>
          <w:sz w:val="13"/>
          <w:szCs w:val="13"/>
          <w:color w:val="auto"/>
        </w:rPr>
        <w:t>. Any Loan Party or any Subsidiary thereof fails to make any payment when due (whether by scheduled maturity, required prepayment, acceleration, demand, or otherwise) in respect of any Material Contract or fails to observe or perform any other agreement or condition relating to any such Material Contract or contained in any instrument or agreement evidencing, securing or relating thereto, or any other event occurs, the effect of which default or other event is to cause, or to permit the counterparty to such Material Contract to terminate such Material Contract; or</w:t>
      </w:r>
    </w:p>
    <w:p>
      <w:pPr>
        <w:spacing w:after="0" w:line="123" w:lineRule="exact"/>
        <w:rPr>
          <w:rFonts w:ascii="Arial" w:cs="Arial" w:eastAsia="Arial" w:hAnsi="Arial"/>
          <w:sz w:val="13"/>
          <w:szCs w:val="13"/>
          <w:color w:val="auto"/>
        </w:rPr>
      </w:pPr>
    </w:p>
    <w:p>
      <w:pPr>
        <w:jc w:val="both"/>
        <w:ind w:left="1080" w:firstLine="739"/>
        <w:spacing w:after="0" w:line="275" w:lineRule="auto"/>
        <w:tabs>
          <w:tab w:leader="none" w:pos="2410" w:val="left"/>
        </w:tabs>
        <w:numPr>
          <w:ilvl w:val="2"/>
          <w:numId w:val="154"/>
        </w:numPr>
        <w:rPr>
          <w:rFonts w:ascii="Arial" w:cs="Arial" w:eastAsia="Arial" w:hAnsi="Arial"/>
          <w:sz w:val="12"/>
          <w:szCs w:val="12"/>
          <w:color w:val="auto"/>
        </w:rPr>
      </w:pPr>
      <w:r>
        <w:rPr>
          <w:rFonts w:ascii="Arial" w:cs="Arial" w:eastAsia="Arial" w:hAnsi="Arial"/>
          <w:sz w:val="12"/>
          <w:szCs w:val="12"/>
          <w:u w:val="single" w:color="auto"/>
          <w:color w:val="auto"/>
        </w:rPr>
        <w:t>Indictment</w:t>
      </w:r>
      <w:r>
        <w:rPr>
          <w:rFonts w:ascii="Arial" w:cs="Arial" w:eastAsia="Arial" w:hAnsi="Arial"/>
          <w:sz w:val="12"/>
          <w:szCs w:val="12"/>
          <w:color w:val="auto"/>
        </w:rPr>
        <w:t>. (i) Any Loan Party is (A) criminally indicted or convicted of a felony for fraud or dishonesty in connection with the Loan Parties’ business, or (B) charged by a Governmental Authority under any law that would reasonably be expected to lead to forfeiture of any material portion of Collateral, or (ii) any director or senior officer of any Loan Party is</w:t>
      </w:r>
    </w:p>
    <w:p>
      <w:pPr>
        <w:ind w:left="1280" w:hanging="207"/>
        <w:spacing w:after="0"/>
        <w:tabs>
          <w:tab w:leader="none" w:pos="1280" w:val="left"/>
        </w:tabs>
        <w:numPr>
          <w:ilvl w:val="0"/>
          <w:numId w:val="155"/>
        </w:numPr>
        <w:rPr>
          <w:rFonts w:ascii="Arial" w:cs="Arial" w:eastAsia="Arial" w:hAnsi="Arial"/>
          <w:sz w:val="12"/>
          <w:szCs w:val="12"/>
          <w:color w:val="auto"/>
        </w:rPr>
      </w:pPr>
      <w:r>
        <w:rPr>
          <w:rFonts w:ascii="Arial" w:cs="Arial" w:eastAsia="Arial" w:hAnsi="Arial"/>
          <w:sz w:val="12"/>
          <w:szCs w:val="12"/>
          <w:color w:val="auto"/>
        </w:rPr>
        <w:t>criminally indicted or convicted of a felony for fraud or dishonesty in connection with the Loan Parties’ business, unless such director or senior officer promptly resigns or is removed or</w:t>
      </w:r>
    </w:p>
    <w:p>
      <w:pPr>
        <w:spacing w:after="0" w:line="296"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117" w:name="page118"/>
    <w:bookmarkEnd w:id="117"/>
    <w:p>
      <w:pPr>
        <w:ind w:left="1060"/>
        <w:spacing w:after="0"/>
        <w:rPr>
          <w:sz w:val="20"/>
          <w:szCs w:val="20"/>
          <w:color w:val="auto"/>
        </w:rPr>
      </w:pPr>
      <w:r>
        <w:rPr>
          <w:rFonts w:ascii="Arial" w:cs="Arial" w:eastAsia="Arial" w:hAnsi="Arial"/>
          <w:sz w:val="13"/>
          <w:szCs w:val="13"/>
          <w:color w:val="auto"/>
        </w:rPr>
        <w:t>replaced or (B) charged by a Governmental Authority under any law that would reasonably be expected to lead to forfeiture of any material portion of Collateral; or</w:t>
      </w:r>
    </w:p>
    <w:p>
      <w:pPr>
        <w:spacing w:after="0" w:line="149" w:lineRule="exact"/>
        <w:rPr>
          <w:sz w:val="20"/>
          <w:szCs w:val="20"/>
          <w:color w:val="auto"/>
        </w:rPr>
      </w:pPr>
    </w:p>
    <w:p>
      <w:pPr>
        <w:jc w:val="both"/>
        <w:ind w:left="1080" w:firstLine="739"/>
        <w:spacing w:after="0" w:line="258" w:lineRule="auto"/>
        <w:tabs>
          <w:tab w:leader="none" w:pos="2410" w:val="left"/>
        </w:tabs>
        <w:numPr>
          <w:ilvl w:val="0"/>
          <w:numId w:val="156"/>
        </w:numPr>
        <w:rPr>
          <w:rFonts w:ascii="Arial" w:cs="Arial" w:eastAsia="Arial" w:hAnsi="Arial"/>
          <w:sz w:val="13"/>
          <w:szCs w:val="13"/>
          <w:color w:val="auto"/>
        </w:rPr>
      </w:pPr>
      <w:r>
        <w:rPr>
          <w:rFonts w:ascii="Arial" w:cs="Arial" w:eastAsia="Arial" w:hAnsi="Arial"/>
          <w:sz w:val="13"/>
          <w:szCs w:val="13"/>
          <w:u w:val="single" w:color="auto"/>
          <w:color w:val="auto"/>
        </w:rPr>
        <w:t>Guaranty</w:t>
      </w:r>
      <w:r>
        <w:rPr>
          <w:rFonts w:ascii="Arial" w:cs="Arial" w:eastAsia="Arial" w:hAnsi="Arial"/>
          <w:sz w:val="13"/>
          <w:szCs w:val="13"/>
          <w:color w:val="auto"/>
        </w:rPr>
        <w:t>. The termination or attempted termination by any Loan Party, Subsidiary of a Loan Party, or Affiliate of a Loan Party of any Facility Guaranty prior to the payment in full of the Obligations (other than contingent indemnification claims for which a claim has not been asserted), except as expressly permitted hereunder or under any other Loan Document.</w:t>
      </w:r>
    </w:p>
    <w:p>
      <w:pPr>
        <w:spacing w:after="0" w:line="117"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3"/>
          <w:szCs w:val="13"/>
          <w:b w:val="1"/>
          <w:bCs w:val="1"/>
          <w:color w:val="auto"/>
        </w:rPr>
        <w:t>8.02</w:t>
      </w:r>
      <w:r>
        <w:rPr>
          <w:sz w:val="20"/>
          <w:szCs w:val="20"/>
          <w:color w:val="auto"/>
        </w:rPr>
        <w:tab/>
      </w:r>
      <w:r>
        <w:rPr>
          <w:rFonts w:ascii="Arial" w:cs="Arial" w:eastAsia="Arial" w:hAnsi="Arial"/>
          <w:sz w:val="12"/>
          <w:szCs w:val="12"/>
          <w:b w:val="1"/>
          <w:bCs w:val="1"/>
          <w:color w:val="auto"/>
        </w:rPr>
        <w:t>Remedies Upon Event of Default</w:t>
      </w:r>
      <w:r>
        <w:rPr>
          <w:rFonts w:ascii="Arial" w:cs="Arial" w:eastAsia="Arial" w:hAnsi="Arial"/>
          <w:sz w:val="12"/>
          <w:szCs w:val="12"/>
          <w:color w:val="auto"/>
        </w:rPr>
        <w:t>. If any Event of Default occurs and is continuing, the Agent may, or, at the request of the Required Lenders shall, take any or all of the following</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3"/>
          <w:szCs w:val="13"/>
          <w:color w:val="auto"/>
        </w:rPr>
        <w:t>actions:</w:t>
      </w:r>
    </w:p>
    <w:p>
      <w:pPr>
        <w:spacing w:after="0" w:line="138" w:lineRule="exact"/>
        <w:rPr>
          <w:sz w:val="20"/>
          <w:szCs w:val="20"/>
          <w:color w:val="auto"/>
        </w:rPr>
      </w:pPr>
    </w:p>
    <w:p>
      <w:pPr>
        <w:ind w:left="1080" w:firstLine="739"/>
        <w:spacing w:after="0" w:line="271" w:lineRule="auto"/>
        <w:tabs>
          <w:tab w:leader="none" w:pos="2403" w:val="left"/>
        </w:tabs>
        <w:numPr>
          <w:ilvl w:val="0"/>
          <w:numId w:val="157"/>
        </w:numPr>
        <w:rPr>
          <w:rFonts w:ascii="Arial" w:cs="Arial" w:eastAsia="Arial" w:hAnsi="Arial"/>
          <w:sz w:val="13"/>
          <w:szCs w:val="13"/>
          <w:color w:val="auto"/>
        </w:rPr>
      </w:pPr>
      <w:r>
        <w:rPr>
          <w:rFonts w:ascii="Arial" w:cs="Arial" w:eastAsia="Arial" w:hAnsi="Arial"/>
          <w:sz w:val="13"/>
          <w:szCs w:val="13"/>
          <w:color w:val="auto"/>
        </w:rPr>
        <w:t>declare the Revolving Commitments of each Revolving Lender to make Revolving Loans and any obligation of the L/C Issuer to make L/C Credit Extensions to be terminated, whereupon such Revolving Commitments and obligations shall be terminated;</w:t>
      </w:r>
    </w:p>
    <w:p>
      <w:pPr>
        <w:spacing w:after="0" w:line="112" w:lineRule="exact"/>
        <w:rPr>
          <w:rFonts w:ascii="Arial" w:cs="Arial" w:eastAsia="Arial" w:hAnsi="Arial"/>
          <w:sz w:val="13"/>
          <w:szCs w:val="13"/>
          <w:color w:val="auto"/>
        </w:rPr>
      </w:pPr>
    </w:p>
    <w:p>
      <w:pPr>
        <w:ind w:left="1080" w:firstLine="739"/>
        <w:spacing w:after="0" w:line="314" w:lineRule="auto"/>
        <w:tabs>
          <w:tab w:leader="none" w:pos="2410" w:val="left"/>
        </w:tabs>
        <w:numPr>
          <w:ilvl w:val="0"/>
          <w:numId w:val="157"/>
        </w:numPr>
        <w:rPr>
          <w:rFonts w:ascii="Arial" w:cs="Arial" w:eastAsia="Arial" w:hAnsi="Arial"/>
          <w:sz w:val="12"/>
          <w:szCs w:val="12"/>
          <w:color w:val="auto"/>
        </w:rPr>
      </w:pPr>
      <w:r>
        <w:rPr>
          <w:rFonts w:ascii="Arial" w:cs="Arial" w:eastAsia="Arial" w:hAnsi="Arial"/>
          <w:sz w:val="12"/>
          <w:szCs w:val="12"/>
          <w:color w:val="auto"/>
        </w:rPr>
        <w:t>declare the unpaid principal amount of all outstanding Loans, all interest accrued and unpaid thereon, and all other Obligations (excluding Other Liabilities not then due and payable) to be immediately due and payable, without presentment, demand, protest or other notice of any kind, all of which are hereby expressly waived by the Loan Parties;</w:t>
      </w:r>
    </w:p>
    <w:p>
      <w:pPr>
        <w:spacing w:after="0" w:line="89" w:lineRule="exact"/>
        <w:rPr>
          <w:rFonts w:ascii="Arial" w:cs="Arial" w:eastAsia="Arial" w:hAnsi="Arial"/>
          <w:sz w:val="12"/>
          <w:szCs w:val="12"/>
          <w:color w:val="auto"/>
        </w:rPr>
      </w:pPr>
    </w:p>
    <w:p>
      <w:pPr>
        <w:ind w:left="2400" w:hanging="581"/>
        <w:spacing w:after="0"/>
        <w:tabs>
          <w:tab w:leader="none" w:pos="2400" w:val="left"/>
        </w:tabs>
        <w:numPr>
          <w:ilvl w:val="0"/>
          <w:numId w:val="157"/>
        </w:numPr>
        <w:rPr>
          <w:rFonts w:ascii="Arial" w:cs="Arial" w:eastAsia="Arial" w:hAnsi="Arial"/>
          <w:sz w:val="13"/>
          <w:szCs w:val="13"/>
          <w:color w:val="auto"/>
        </w:rPr>
      </w:pPr>
      <w:r>
        <w:rPr>
          <w:rFonts w:ascii="Arial" w:cs="Arial" w:eastAsia="Arial" w:hAnsi="Arial"/>
          <w:sz w:val="13"/>
          <w:szCs w:val="13"/>
          <w:color w:val="auto"/>
        </w:rPr>
        <w:t>require that the Loan Parties Cash Collateralize the L/C Obligations; and</w:t>
      </w:r>
    </w:p>
    <w:p>
      <w:pPr>
        <w:spacing w:after="0" w:line="147" w:lineRule="exact"/>
        <w:rPr>
          <w:rFonts w:ascii="Arial" w:cs="Arial" w:eastAsia="Arial" w:hAnsi="Arial"/>
          <w:sz w:val="13"/>
          <w:szCs w:val="13"/>
          <w:color w:val="auto"/>
        </w:rPr>
      </w:pPr>
    </w:p>
    <w:p>
      <w:pPr>
        <w:jc w:val="both"/>
        <w:ind w:left="1080" w:firstLine="739"/>
        <w:spacing w:after="0" w:line="282" w:lineRule="auto"/>
        <w:tabs>
          <w:tab w:leader="none" w:pos="2410" w:val="left"/>
        </w:tabs>
        <w:numPr>
          <w:ilvl w:val="0"/>
          <w:numId w:val="157"/>
        </w:numPr>
        <w:rPr>
          <w:rFonts w:ascii="Arial" w:cs="Arial" w:eastAsia="Arial" w:hAnsi="Arial"/>
          <w:sz w:val="12"/>
          <w:szCs w:val="12"/>
          <w:color w:val="auto"/>
        </w:rPr>
      </w:pPr>
      <w:r>
        <w:rPr>
          <w:rFonts w:ascii="Arial" w:cs="Arial" w:eastAsia="Arial" w:hAnsi="Arial"/>
          <w:sz w:val="12"/>
          <w:szCs w:val="12"/>
          <w:color w:val="auto"/>
        </w:rPr>
        <w:t>whether or not the maturity of the Obligations shall have been accelerated pursuant hereto, proceed to protect, enforce and exercise all rights and remedies of the Credit Parties under this Agreement, any of the other Loan Documents or Law, including, but not limited to, by suit in equity, action at law or other appropriate proceeding, whether for the specific performance of any covenant or agreement contained in this Agreement and the other Loan Documents or any instrument pursuant to which the Obligations are evidenced, and, if such amount shall have become due, by declaration or otherwise, proceed to enforce the payment thereof or any other legal or equitable right of the Credit Parties;</w:t>
      </w:r>
    </w:p>
    <w:p>
      <w:pPr>
        <w:spacing w:after="0" w:line="108" w:lineRule="exact"/>
        <w:rPr>
          <w:sz w:val="20"/>
          <w:szCs w:val="20"/>
          <w:color w:val="auto"/>
        </w:rPr>
      </w:pPr>
    </w:p>
    <w:p>
      <w:pPr>
        <w:jc w:val="both"/>
        <w:ind w:left="220"/>
        <w:spacing w:after="0" w:line="254" w:lineRule="auto"/>
        <w:rPr>
          <w:sz w:val="20"/>
          <w:szCs w:val="20"/>
          <w:color w:val="auto"/>
        </w:rPr>
      </w:pP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upon the occurrence of any Default or Event of Default with respect to any Loan Party or any Subsidiary thereof under </w:t>
      </w:r>
      <w:r>
        <w:rPr>
          <w:rFonts w:ascii="Arial" w:cs="Arial" w:eastAsia="Arial" w:hAnsi="Arial"/>
          <w:sz w:val="13"/>
          <w:szCs w:val="13"/>
          <w:u w:val="single" w:color="auto"/>
          <w:color w:val="auto"/>
        </w:rPr>
        <w:t>Section 8.01(f)</w:t>
      </w:r>
      <w:r>
        <w:rPr>
          <w:rFonts w:ascii="Arial" w:cs="Arial" w:eastAsia="Arial" w:hAnsi="Arial"/>
          <w:sz w:val="13"/>
          <w:szCs w:val="13"/>
          <w:color w:val="auto"/>
        </w:rPr>
        <w:t>, the obligation of each Revolving Lender to make Revolving Loans and any obligation of the L/C Issuer to make L/C Credit Extensions shall automatically terminate, the unpaid principal amount of all outstanding Loans, all interest accrued thereon and all other Obligations shall automatically become due and payable, and the obligation of the Loan Parties to Cash Collateralize the L/C Obligations as aforesaid shall automatically become effective, in each case without further act of the Agent or any Lender.</w:t>
      </w:r>
    </w:p>
    <w:p>
      <w:pPr>
        <w:spacing w:after="0" w:line="124"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No remedy herein is intended to be exclusive of any other remedy and each and every remedy shall be cumulative and shall be in addition to every other remedy given hereunder or now or hereafter existing at law or in equity or by statute or any other provision of Law.</w:t>
      </w:r>
    </w:p>
    <w:p>
      <w:pPr>
        <w:spacing w:after="0" w:line="109" w:lineRule="exact"/>
        <w:rPr>
          <w:sz w:val="20"/>
          <w:szCs w:val="20"/>
          <w:color w:val="auto"/>
        </w:rPr>
      </w:pPr>
    </w:p>
    <w:p>
      <w:pPr>
        <w:jc w:val="both"/>
        <w:ind w:left="220" w:firstLine="809"/>
        <w:spacing w:after="0" w:line="261" w:lineRule="auto"/>
        <w:rPr>
          <w:sz w:val="20"/>
          <w:szCs w:val="20"/>
          <w:color w:val="auto"/>
        </w:rPr>
      </w:pPr>
      <w:r>
        <w:rPr>
          <w:rFonts w:ascii="Arial" w:cs="Arial" w:eastAsia="Arial" w:hAnsi="Arial"/>
          <w:sz w:val="13"/>
          <w:szCs w:val="13"/>
          <w:b w:val="1"/>
          <w:bCs w:val="1"/>
          <w:color w:val="auto"/>
        </w:rPr>
        <w:t>8.03 Application of Funds</w:t>
      </w:r>
      <w:r>
        <w:rPr>
          <w:rFonts w:ascii="Arial" w:cs="Arial" w:eastAsia="Arial" w:hAnsi="Arial"/>
          <w:sz w:val="13"/>
          <w:szCs w:val="13"/>
          <w:color w:val="auto"/>
        </w:rPr>
        <w:t>. After the exercise of remedies provided for in</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8.02</w:t>
      </w:r>
      <w:r>
        <w:rPr>
          <w:rFonts w:ascii="Arial" w:cs="Arial" w:eastAsia="Arial" w:hAnsi="Arial"/>
          <w:sz w:val="13"/>
          <w:szCs w:val="13"/>
          <w:b w:val="1"/>
          <w:bCs w:val="1"/>
          <w:color w:val="auto"/>
        </w:rPr>
        <w:t xml:space="preserve"> </w:t>
      </w:r>
      <w:r>
        <w:rPr>
          <w:rFonts w:ascii="Arial" w:cs="Arial" w:eastAsia="Arial" w:hAnsi="Arial"/>
          <w:sz w:val="13"/>
          <w:szCs w:val="13"/>
          <w:color w:val="auto"/>
        </w:rPr>
        <w:t>(or after the Obligations have automatically become immediately due and payable and the L/C</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Obligations have automatically been required to be Cash Collateralized as set forth in the proviso to </w:t>
      </w:r>
      <w:r>
        <w:rPr>
          <w:rFonts w:ascii="Arial" w:cs="Arial" w:eastAsia="Arial" w:hAnsi="Arial"/>
          <w:sz w:val="13"/>
          <w:szCs w:val="13"/>
          <w:u w:val="single" w:color="auto"/>
          <w:color w:val="auto"/>
        </w:rPr>
        <w:t>Section 8.02</w:t>
      </w:r>
      <w:r>
        <w:rPr>
          <w:rFonts w:ascii="Arial" w:cs="Arial" w:eastAsia="Arial" w:hAnsi="Arial"/>
          <w:sz w:val="13"/>
          <w:szCs w:val="13"/>
          <w:color w:val="auto"/>
        </w:rPr>
        <w:t xml:space="preserve">), any amounts received on account of the Obligations shall, subject to the provisions of </w:t>
      </w:r>
      <w:r>
        <w:rPr>
          <w:rFonts w:ascii="Arial" w:cs="Arial" w:eastAsia="Arial" w:hAnsi="Arial"/>
          <w:sz w:val="13"/>
          <w:szCs w:val="13"/>
          <w:u w:val="single" w:color="auto"/>
          <w:color w:val="auto"/>
        </w:rPr>
        <w:t>Section 2.16</w:t>
      </w:r>
      <w:r>
        <w:rPr>
          <w:rFonts w:ascii="Arial" w:cs="Arial" w:eastAsia="Arial" w:hAnsi="Arial"/>
          <w:sz w:val="13"/>
          <w:szCs w:val="13"/>
          <w:color w:val="auto"/>
        </w:rPr>
        <w:t>, be applied by the Agent in the following order:</w:t>
      </w:r>
    </w:p>
    <w:p>
      <w:pPr>
        <w:spacing w:after="0" w:line="267"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118" w:name="page119"/>
    <w:bookmarkEnd w:id="118"/>
    <w:p>
      <w:pPr>
        <w:jc w:val="both"/>
        <w:ind w:left="1080" w:firstLine="745"/>
        <w:spacing w:after="0" w:line="273" w:lineRule="auto"/>
        <w:rPr>
          <w:sz w:val="20"/>
          <w:szCs w:val="20"/>
          <w:color w:val="auto"/>
        </w:rPr>
      </w:pPr>
      <w:r>
        <w:rPr>
          <w:rFonts w:ascii="Arial" w:cs="Arial" w:eastAsia="Arial" w:hAnsi="Arial"/>
          <w:sz w:val="13"/>
          <w:szCs w:val="13"/>
          <w:u w:val="single" w:color="auto"/>
          <w:color w:val="auto"/>
        </w:rPr>
        <w:t>First</w:t>
      </w:r>
      <w:r>
        <w:rPr>
          <w:rFonts w:ascii="Arial" w:cs="Arial" w:eastAsia="Arial" w:hAnsi="Arial"/>
          <w:sz w:val="13"/>
          <w:szCs w:val="13"/>
          <w:color w:val="auto"/>
        </w:rPr>
        <w:t xml:space="preserve">, to payment of that portion of the Obligations (excluding the Other Liabilities) constituting fees, indemnities, Credit Party Expenses and other amounts (including fees, charges and disbursements of counsel to the Agent and amounts payable under </w:t>
      </w:r>
      <w:r>
        <w:rPr>
          <w:rFonts w:ascii="Arial" w:cs="Arial" w:eastAsia="Arial" w:hAnsi="Arial"/>
          <w:sz w:val="13"/>
          <w:szCs w:val="13"/>
          <w:u w:val="single" w:color="auto"/>
          <w:color w:val="auto"/>
        </w:rPr>
        <w:t>Article III</w:t>
      </w:r>
      <w:r>
        <w:rPr>
          <w:rFonts w:ascii="Arial" w:cs="Arial" w:eastAsia="Arial" w:hAnsi="Arial"/>
          <w:sz w:val="13"/>
          <w:szCs w:val="13"/>
          <w:color w:val="auto"/>
        </w:rPr>
        <w:t>) payable to the Agent;</w:t>
      </w:r>
    </w:p>
    <w:p>
      <w:pPr>
        <w:spacing w:after="0" w:line="112" w:lineRule="exact"/>
        <w:rPr>
          <w:sz w:val="20"/>
          <w:szCs w:val="20"/>
          <w:color w:val="auto"/>
        </w:rPr>
      </w:pPr>
    </w:p>
    <w:p>
      <w:pPr>
        <w:jc w:val="both"/>
        <w:ind w:left="1080" w:firstLine="746"/>
        <w:spacing w:after="0" w:line="290" w:lineRule="auto"/>
        <w:rPr>
          <w:sz w:val="20"/>
          <w:szCs w:val="20"/>
          <w:color w:val="auto"/>
        </w:rPr>
      </w:pPr>
      <w:r>
        <w:rPr>
          <w:rFonts w:ascii="Arial" w:cs="Arial" w:eastAsia="Arial" w:hAnsi="Arial"/>
          <w:sz w:val="12"/>
          <w:szCs w:val="12"/>
          <w:u w:val="single" w:color="auto"/>
          <w:color w:val="auto"/>
        </w:rPr>
        <w:t>Second</w:t>
      </w:r>
      <w:r>
        <w:rPr>
          <w:rFonts w:ascii="Arial" w:cs="Arial" w:eastAsia="Arial" w:hAnsi="Arial"/>
          <w:sz w:val="12"/>
          <w:szCs w:val="12"/>
          <w:color w:val="auto"/>
        </w:rPr>
        <w:t xml:space="preserve">, to payment of that portion of the Obligations (excluding the Other Liabilities) constituting indemnities (including indemnities due under </w:t>
      </w:r>
      <w:r>
        <w:rPr>
          <w:rFonts w:ascii="Arial" w:cs="Arial" w:eastAsia="Arial" w:hAnsi="Arial"/>
          <w:sz w:val="12"/>
          <w:szCs w:val="12"/>
          <w:u w:val="single" w:color="auto"/>
          <w:color w:val="auto"/>
        </w:rPr>
        <w:t>Section 10.03</w:t>
      </w:r>
      <w:r>
        <w:rPr>
          <w:rFonts w:ascii="Arial" w:cs="Arial" w:eastAsia="Arial" w:hAnsi="Arial"/>
          <w:sz w:val="12"/>
          <w:szCs w:val="12"/>
          <w:color w:val="auto"/>
        </w:rPr>
        <w:t xml:space="preserve"> hereof), Credit Party Expenses, and other amounts (other than principal, interest and fees) payable to the Lenders and the L/C Issuer (including Credit Party Expenses to the respective Lenders and the L/C Issuer and amounts payable under </w:t>
      </w:r>
      <w:r>
        <w:rPr>
          <w:rFonts w:ascii="Arial" w:cs="Arial" w:eastAsia="Arial" w:hAnsi="Arial"/>
          <w:sz w:val="12"/>
          <w:szCs w:val="12"/>
          <w:u w:val="single" w:color="auto"/>
          <w:color w:val="auto"/>
        </w:rPr>
        <w:t>Article III</w:t>
      </w:r>
      <w:r>
        <w:rPr>
          <w:rFonts w:ascii="Arial" w:cs="Arial" w:eastAsia="Arial" w:hAnsi="Arial"/>
          <w:sz w:val="12"/>
          <w:szCs w:val="12"/>
          <w:color w:val="auto"/>
        </w:rPr>
        <w:t xml:space="preserve">), ratably among them in proportion to the amounts described in this clause </w:t>
      </w:r>
      <w:r>
        <w:rPr>
          <w:rFonts w:ascii="Arial" w:cs="Arial" w:eastAsia="Arial" w:hAnsi="Arial"/>
          <w:sz w:val="12"/>
          <w:szCs w:val="12"/>
          <w:u w:val="single" w:color="auto"/>
          <w:color w:val="auto"/>
        </w:rPr>
        <w:t>Second</w:t>
      </w:r>
      <w:r>
        <w:rPr>
          <w:rFonts w:ascii="Arial" w:cs="Arial" w:eastAsia="Arial" w:hAnsi="Arial"/>
          <w:sz w:val="12"/>
          <w:szCs w:val="12"/>
          <w:color w:val="auto"/>
        </w:rPr>
        <w:t xml:space="preserve"> payable to them;</w:t>
      </w:r>
    </w:p>
    <w:p>
      <w:pPr>
        <w:spacing w:after="0" w:line="103" w:lineRule="exact"/>
        <w:rPr>
          <w:sz w:val="20"/>
          <w:szCs w:val="20"/>
          <w:color w:val="auto"/>
        </w:rPr>
      </w:pPr>
    </w:p>
    <w:p>
      <w:pPr>
        <w:jc w:val="both"/>
        <w:ind w:left="1080" w:firstLine="746"/>
        <w:spacing w:after="0" w:line="271" w:lineRule="auto"/>
        <w:rPr>
          <w:sz w:val="20"/>
          <w:szCs w:val="20"/>
          <w:color w:val="auto"/>
        </w:rPr>
      </w:pPr>
      <w:r>
        <w:rPr>
          <w:rFonts w:ascii="Arial" w:cs="Arial" w:eastAsia="Arial" w:hAnsi="Arial"/>
          <w:sz w:val="13"/>
          <w:szCs w:val="13"/>
          <w:u w:val="single" w:color="auto"/>
          <w:color w:val="auto"/>
        </w:rPr>
        <w:t>Third</w:t>
      </w:r>
      <w:r>
        <w:rPr>
          <w:rFonts w:ascii="Arial" w:cs="Arial" w:eastAsia="Arial" w:hAnsi="Arial"/>
          <w:sz w:val="13"/>
          <w:szCs w:val="13"/>
          <w:color w:val="auto"/>
        </w:rPr>
        <w:t>, to the extent not previously reimbursed by the Revolving Lenders, to payment to the Agent of that portion of the Obligations constituting principal and accrued and unpaid interest on any Permitted Overadvances;</w:t>
      </w:r>
    </w:p>
    <w:p>
      <w:pPr>
        <w:spacing w:after="0" w:line="113" w:lineRule="exact"/>
        <w:rPr>
          <w:sz w:val="20"/>
          <w:szCs w:val="20"/>
          <w:color w:val="auto"/>
        </w:rPr>
      </w:pPr>
    </w:p>
    <w:p>
      <w:pPr>
        <w:jc w:val="both"/>
        <w:ind w:left="1080" w:firstLine="746"/>
        <w:spacing w:after="0" w:line="271" w:lineRule="auto"/>
        <w:rPr>
          <w:sz w:val="20"/>
          <w:szCs w:val="20"/>
          <w:color w:val="auto"/>
        </w:rPr>
      </w:pPr>
      <w:r>
        <w:rPr>
          <w:rFonts w:ascii="Arial" w:cs="Arial" w:eastAsia="Arial" w:hAnsi="Arial"/>
          <w:sz w:val="13"/>
          <w:szCs w:val="13"/>
          <w:u w:val="single" w:color="auto"/>
          <w:color w:val="auto"/>
        </w:rPr>
        <w:t>Fourth</w:t>
      </w:r>
      <w:r>
        <w:rPr>
          <w:rFonts w:ascii="Arial" w:cs="Arial" w:eastAsia="Arial" w:hAnsi="Arial"/>
          <w:sz w:val="13"/>
          <w:szCs w:val="13"/>
          <w:color w:val="auto"/>
        </w:rPr>
        <w:t>, to the extent that Swing Line Loans have not been refinanced by a Committed Loan, payment to the Swing Line Lender of that portion of the Obligations constituting principal and accrued and unpaid interest on the Swing Line Loans;</w:t>
      </w:r>
    </w:p>
    <w:p>
      <w:pPr>
        <w:spacing w:after="0" w:line="113" w:lineRule="exact"/>
        <w:rPr>
          <w:sz w:val="20"/>
          <w:szCs w:val="20"/>
          <w:color w:val="auto"/>
        </w:rPr>
      </w:pPr>
    </w:p>
    <w:p>
      <w:pPr>
        <w:jc w:val="both"/>
        <w:ind w:left="1080" w:firstLine="746"/>
        <w:spacing w:after="0" w:line="258" w:lineRule="auto"/>
        <w:rPr>
          <w:sz w:val="20"/>
          <w:szCs w:val="20"/>
          <w:color w:val="auto"/>
        </w:rPr>
      </w:pPr>
      <w:r>
        <w:rPr>
          <w:rFonts w:ascii="Arial" w:cs="Arial" w:eastAsia="Arial" w:hAnsi="Arial"/>
          <w:sz w:val="13"/>
          <w:szCs w:val="13"/>
          <w:u w:val="single" w:color="auto"/>
          <w:color w:val="auto"/>
        </w:rPr>
        <w:t>Fifth</w:t>
      </w:r>
      <w:r>
        <w:rPr>
          <w:rFonts w:ascii="Arial" w:cs="Arial" w:eastAsia="Arial" w:hAnsi="Arial"/>
          <w:sz w:val="13"/>
          <w:szCs w:val="13"/>
          <w:color w:val="auto"/>
        </w:rPr>
        <w:t xml:space="preserve">, to payment of that portion of the Obligations constituting accrued and unpaid interest on the Committed Loans, L/C Borrowings and other Obligations (other than the FILO Loan), and fees (including Letter of Credit Fees and Commitment Fees), ratably among the Revolving Lenders and the L/C Issuer in proportion to the respective amounts described in this clause </w:t>
      </w:r>
      <w:r>
        <w:rPr>
          <w:rFonts w:ascii="Arial" w:cs="Arial" w:eastAsia="Arial" w:hAnsi="Arial"/>
          <w:sz w:val="13"/>
          <w:szCs w:val="13"/>
          <w:u w:val="single" w:color="auto"/>
          <w:color w:val="auto"/>
        </w:rPr>
        <w:t>Fifth</w:t>
      </w:r>
      <w:r>
        <w:rPr>
          <w:rFonts w:ascii="Arial" w:cs="Arial" w:eastAsia="Arial" w:hAnsi="Arial"/>
          <w:sz w:val="13"/>
          <w:szCs w:val="13"/>
          <w:color w:val="auto"/>
        </w:rPr>
        <w:t xml:space="preserve"> payable to them;</w:t>
      </w:r>
    </w:p>
    <w:p>
      <w:pPr>
        <w:spacing w:after="0" w:line="121" w:lineRule="exact"/>
        <w:rPr>
          <w:sz w:val="20"/>
          <w:szCs w:val="20"/>
          <w:color w:val="auto"/>
        </w:rPr>
      </w:pPr>
    </w:p>
    <w:p>
      <w:pPr>
        <w:jc w:val="both"/>
        <w:ind w:left="1080" w:firstLine="746"/>
        <w:spacing w:after="0" w:line="271" w:lineRule="auto"/>
        <w:rPr>
          <w:sz w:val="20"/>
          <w:szCs w:val="20"/>
          <w:color w:val="auto"/>
        </w:rPr>
      </w:pPr>
      <w:r>
        <w:rPr>
          <w:rFonts w:ascii="Arial" w:cs="Arial" w:eastAsia="Arial" w:hAnsi="Arial"/>
          <w:sz w:val="13"/>
          <w:szCs w:val="13"/>
          <w:u w:val="single" w:color="auto"/>
          <w:color w:val="auto"/>
        </w:rPr>
        <w:t>Sixth</w:t>
      </w:r>
      <w:r>
        <w:rPr>
          <w:rFonts w:ascii="Arial" w:cs="Arial" w:eastAsia="Arial" w:hAnsi="Arial"/>
          <w:sz w:val="13"/>
          <w:szCs w:val="13"/>
          <w:color w:val="auto"/>
        </w:rPr>
        <w:t xml:space="preserve">, to payment of that portion of the Obligations constituting unpaid principal of the Committed Loans and L/C Borrowings, ratably among the Revolving Lenders and the L/C Issuer in proportion to the respective amounts described in this clause </w:t>
      </w:r>
      <w:r>
        <w:rPr>
          <w:rFonts w:ascii="Arial" w:cs="Arial" w:eastAsia="Arial" w:hAnsi="Arial"/>
          <w:sz w:val="13"/>
          <w:szCs w:val="13"/>
          <w:u w:val="single" w:color="auto"/>
          <w:color w:val="auto"/>
        </w:rPr>
        <w:t>Sixth</w:t>
      </w:r>
      <w:r>
        <w:rPr>
          <w:rFonts w:ascii="Arial" w:cs="Arial" w:eastAsia="Arial" w:hAnsi="Arial"/>
          <w:sz w:val="13"/>
          <w:szCs w:val="13"/>
          <w:color w:val="auto"/>
        </w:rPr>
        <w:t xml:space="preserve"> held by them;</w:t>
      </w:r>
    </w:p>
    <w:p>
      <w:pPr>
        <w:spacing w:after="0" w:line="113" w:lineRule="exact"/>
        <w:rPr>
          <w:sz w:val="20"/>
          <w:szCs w:val="20"/>
          <w:color w:val="auto"/>
        </w:rPr>
      </w:pPr>
    </w:p>
    <w:p>
      <w:pPr>
        <w:ind w:left="1820"/>
        <w:spacing w:after="0"/>
        <w:rPr>
          <w:sz w:val="20"/>
          <w:szCs w:val="20"/>
          <w:color w:val="auto"/>
        </w:rPr>
      </w:pPr>
      <w:r>
        <w:rPr>
          <w:rFonts w:ascii="Arial" w:cs="Arial" w:eastAsia="Arial" w:hAnsi="Arial"/>
          <w:sz w:val="12"/>
          <w:szCs w:val="12"/>
          <w:u w:val="single" w:color="auto"/>
          <w:color w:val="auto"/>
        </w:rPr>
        <w:t>Seventh</w:t>
      </w:r>
      <w:r>
        <w:rPr>
          <w:rFonts w:ascii="Arial" w:cs="Arial" w:eastAsia="Arial" w:hAnsi="Arial"/>
          <w:sz w:val="12"/>
          <w:szCs w:val="12"/>
          <w:color w:val="auto"/>
        </w:rPr>
        <w:t>, to the Agent for the account of the L/C Issuer, to Cash Collateralize that portion of L/C Obligations comprised of the aggregate undrawn amount of Letters of Credit;</w:t>
      </w:r>
    </w:p>
    <w:p>
      <w:pPr>
        <w:spacing w:after="0" w:line="159" w:lineRule="exact"/>
        <w:rPr>
          <w:sz w:val="20"/>
          <w:szCs w:val="20"/>
          <w:color w:val="auto"/>
        </w:rPr>
      </w:pPr>
    </w:p>
    <w:p>
      <w:pPr>
        <w:jc w:val="both"/>
        <w:ind w:left="1080" w:firstLine="746"/>
        <w:spacing w:after="0" w:line="271" w:lineRule="auto"/>
        <w:rPr>
          <w:sz w:val="20"/>
          <w:szCs w:val="20"/>
          <w:color w:val="auto"/>
        </w:rPr>
      </w:pPr>
      <w:r>
        <w:rPr>
          <w:rFonts w:ascii="Arial" w:cs="Arial" w:eastAsia="Arial" w:hAnsi="Arial"/>
          <w:sz w:val="13"/>
          <w:szCs w:val="13"/>
          <w:u w:val="single" w:color="auto"/>
          <w:color w:val="auto"/>
        </w:rPr>
        <w:t>Eighth</w:t>
      </w:r>
      <w:r>
        <w:rPr>
          <w:rFonts w:ascii="Arial" w:cs="Arial" w:eastAsia="Arial" w:hAnsi="Arial"/>
          <w:sz w:val="13"/>
          <w:szCs w:val="13"/>
          <w:color w:val="auto"/>
        </w:rPr>
        <w:t xml:space="preserve">, to payment of that portion of the Obligations constituting accrued and unpaid interest on the FILO Loan, ratably among the FILO Lenders in proportion to the respective amounts described in this clause </w:t>
      </w:r>
      <w:r>
        <w:rPr>
          <w:rFonts w:ascii="Arial" w:cs="Arial" w:eastAsia="Arial" w:hAnsi="Arial"/>
          <w:sz w:val="13"/>
          <w:szCs w:val="13"/>
          <w:u w:val="single" w:color="auto"/>
          <w:color w:val="auto"/>
        </w:rPr>
        <w:t>Eighth</w:t>
      </w:r>
      <w:r>
        <w:rPr>
          <w:rFonts w:ascii="Arial" w:cs="Arial" w:eastAsia="Arial" w:hAnsi="Arial"/>
          <w:sz w:val="13"/>
          <w:szCs w:val="13"/>
          <w:color w:val="auto"/>
        </w:rPr>
        <w:t xml:space="preserve"> payable to them;</w:t>
      </w:r>
    </w:p>
    <w:p>
      <w:pPr>
        <w:spacing w:after="0" w:line="113" w:lineRule="exact"/>
        <w:rPr>
          <w:sz w:val="20"/>
          <w:szCs w:val="20"/>
          <w:color w:val="auto"/>
        </w:rPr>
      </w:pPr>
    </w:p>
    <w:p>
      <w:pPr>
        <w:jc w:val="both"/>
        <w:ind w:left="1080" w:firstLine="746"/>
        <w:spacing w:after="0" w:line="271" w:lineRule="auto"/>
        <w:rPr>
          <w:sz w:val="20"/>
          <w:szCs w:val="20"/>
          <w:color w:val="auto"/>
        </w:rPr>
      </w:pPr>
      <w:r>
        <w:rPr>
          <w:rFonts w:ascii="Arial" w:cs="Arial" w:eastAsia="Arial" w:hAnsi="Arial"/>
          <w:sz w:val="13"/>
          <w:szCs w:val="13"/>
          <w:u w:val="single" w:color="auto"/>
          <w:color w:val="auto"/>
        </w:rPr>
        <w:t>Ninth</w:t>
      </w:r>
      <w:r>
        <w:rPr>
          <w:rFonts w:ascii="Arial" w:cs="Arial" w:eastAsia="Arial" w:hAnsi="Arial"/>
          <w:sz w:val="13"/>
          <w:szCs w:val="13"/>
          <w:color w:val="auto"/>
        </w:rPr>
        <w:t xml:space="preserve">, to payment of that portion of the Obligations constituting unpaid principal of the FILO Loan, ratably among the FILO Lenders in proportion to the respective amounts described in this clause </w:t>
      </w:r>
      <w:r>
        <w:rPr>
          <w:rFonts w:ascii="Arial" w:cs="Arial" w:eastAsia="Arial" w:hAnsi="Arial"/>
          <w:sz w:val="13"/>
          <w:szCs w:val="13"/>
          <w:u w:val="single" w:color="auto"/>
          <w:color w:val="auto"/>
        </w:rPr>
        <w:t>Ninth</w:t>
      </w:r>
      <w:r>
        <w:rPr>
          <w:rFonts w:ascii="Arial" w:cs="Arial" w:eastAsia="Arial" w:hAnsi="Arial"/>
          <w:sz w:val="13"/>
          <w:szCs w:val="13"/>
          <w:color w:val="auto"/>
        </w:rPr>
        <w:t xml:space="preserve"> held by them;</w:t>
      </w:r>
    </w:p>
    <w:p>
      <w:pPr>
        <w:spacing w:after="0" w:line="113" w:lineRule="exact"/>
        <w:rPr>
          <w:sz w:val="20"/>
          <w:szCs w:val="20"/>
          <w:color w:val="auto"/>
        </w:rPr>
      </w:pPr>
    </w:p>
    <w:p>
      <w:pPr>
        <w:jc w:val="both"/>
        <w:ind w:left="1080" w:firstLine="746"/>
        <w:spacing w:after="0" w:line="271" w:lineRule="auto"/>
        <w:rPr>
          <w:sz w:val="20"/>
          <w:szCs w:val="20"/>
          <w:color w:val="auto"/>
        </w:rPr>
      </w:pPr>
      <w:r>
        <w:rPr>
          <w:rFonts w:ascii="Arial" w:cs="Arial" w:eastAsia="Arial" w:hAnsi="Arial"/>
          <w:sz w:val="13"/>
          <w:szCs w:val="13"/>
          <w:u w:val="single" w:color="auto"/>
          <w:color w:val="auto"/>
        </w:rPr>
        <w:t>Tenth</w:t>
      </w:r>
      <w:r>
        <w:rPr>
          <w:rFonts w:ascii="Arial" w:cs="Arial" w:eastAsia="Arial" w:hAnsi="Arial"/>
          <w:sz w:val="13"/>
          <w:szCs w:val="13"/>
          <w:color w:val="auto"/>
        </w:rPr>
        <w:t xml:space="preserve">, to payment of all other Obligations (including without limitation the cash collateralization of unliquidated indemnification obligations as provided in </w:t>
      </w:r>
      <w:r>
        <w:rPr>
          <w:rFonts w:ascii="Arial" w:cs="Arial" w:eastAsia="Arial" w:hAnsi="Arial"/>
          <w:sz w:val="13"/>
          <w:szCs w:val="13"/>
          <w:u w:val="single" w:color="auto"/>
          <w:color w:val="auto"/>
        </w:rPr>
        <w:t>Section 10.04</w:t>
      </w:r>
      <w:r>
        <w:rPr>
          <w:rFonts w:ascii="Arial" w:cs="Arial" w:eastAsia="Arial" w:hAnsi="Arial"/>
          <w:sz w:val="13"/>
          <w:szCs w:val="13"/>
          <w:color w:val="auto"/>
        </w:rPr>
        <w:t xml:space="preserve">, but excluding any Other Liabilities), ratably among the Credit Parties in proportion to the respective amounts described in this clause </w:t>
      </w:r>
      <w:r>
        <w:rPr>
          <w:rFonts w:ascii="Arial" w:cs="Arial" w:eastAsia="Arial" w:hAnsi="Arial"/>
          <w:sz w:val="13"/>
          <w:szCs w:val="13"/>
          <w:u w:val="single" w:color="auto"/>
          <w:color w:val="auto"/>
        </w:rPr>
        <w:t>Tenth</w:t>
      </w:r>
      <w:r>
        <w:rPr>
          <w:rFonts w:ascii="Arial" w:cs="Arial" w:eastAsia="Arial" w:hAnsi="Arial"/>
          <w:sz w:val="13"/>
          <w:szCs w:val="13"/>
          <w:color w:val="auto"/>
        </w:rPr>
        <w:t xml:space="preserve"> held by them;</w:t>
      </w:r>
    </w:p>
    <w:p>
      <w:pPr>
        <w:spacing w:after="0" w:line="113" w:lineRule="exact"/>
        <w:rPr>
          <w:sz w:val="20"/>
          <w:szCs w:val="20"/>
          <w:color w:val="auto"/>
        </w:rPr>
      </w:pPr>
    </w:p>
    <w:p>
      <w:pPr>
        <w:jc w:val="both"/>
        <w:ind w:left="1080" w:firstLine="746"/>
        <w:spacing w:after="0" w:line="271" w:lineRule="auto"/>
        <w:rPr>
          <w:sz w:val="20"/>
          <w:szCs w:val="20"/>
          <w:color w:val="auto"/>
        </w:rPr>
      </w:pPr>
      <w:r>
        <w:rPr>
          <w:rFonts w:ascii="Arial" w:cs="Arial" w:eastAsia="Arial" w:hAnsi="Arial"/>
          <w:sz w:val="13"/>
          <w:szCs w:val="13"/>
          <w:u w:val="single" w:color="auto"/>
          <w:color w:val="auto"/>
        </w:rPr>
        <w:t>Eleventh</w:t>
      </w:r>
      <w:r>
        <w:rPr>
          <w:rFonts w:ascii="Arial" w:cs="Arial" w:eastAsia="Arial" w:hAnsi="Arial"/>
          <w:sz w:val="13"/>
          <w:szCs w:val="13"/>
          <w:color w:val="auto"/>
        </w:rPr>
        <w:t xml:space="preserve">, to payment of that portion of the Obligations arising from Cash Management Services, ratably among the Credit Parties in proportion to the respective amounts described in this clause </w:t>
      </w:r>
      <w:r>
        <w:rPr>
          <w:rFonts w:ascii="Arial" w:cs="Arial" w:eastAsia="Arial" w:hAnsi="Arial"/>
          <w:sz w:val="13"/>
          <w:szCs w:val="13"/>
          <w:u w:val="single" w:color="auto"/>
          <w:color w:val="auto"/>
        </w:rPr>
        <w:t>Eleventh</w:t>
      </w:r>
      <w:r>
        <w:rPr>
          <w:rFonts w:ascii="Arial" w:cs="Arial" w:eastAsia="Arial" w:hAnsi="Arial"/>
          <w:sz w:val="13"/>
          <w:szCs w:val="13"/>
          <w:color w:val="auto"/>
        </w:rPr>
        <w:t xml:space="preserve"> held by them;</w:t>
      </w:r>
    </w:p>
    <w:p>
      <w:pPr>
        <w:spacing w:after="0" w:line="260"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119" w:name="page120"/>
    <w:bookmarkEnd w:id="119"/>
    <w:p>
      <w:pPr>
        <w:ind w:left="1080" w:firstLine="746"/>
        <w:spacing w:after="0" w:line="273" w:lineRule="auto"/>
        <w:rPr>
          <w:sz w:val="20"/>
          <w:szCs w:val="20"/>
          <w:color w:val="auto"/>
        </w:rPr>
      </w:pPr>
      <w:r>
        <w:rPr>
          <w:rFonts w:ascii="Arial" w:cs="Arial" w:eastAsia="Arial" w:hAnsi="Arial"/>
          <w:sz w:val="13"/>
          <w:szCs w:val="13"/>
          <w:u w:val="single" w:color="auto"/>
          <w:color w:val="auto"/>
        </w:rPr>
        <w:t>Twelfth</w:t>
      </w:r>
      <w:r>
        <w:rPr>
          <w:rFonts w:ascii="Arial" w:cs="Arial" w:eastAsia="Arial" w:hAnsi="Arial"/>
          <w:sz w:val="13"/>
          <w:szCs w:val="13"/>
          <w:color w:val="auto"/>
        </w:rPr>
        <w:t xml:space="preserve">, to payment of all other Obligations, including all other Obligations arising from Bank Products, ratably among the Credit Parties in proportion to the respective amounts described in this clause </w:t>
      </w:r>
      <w:r>
        <w:rPr>
          <w:rFonts w:ascii="Arial" w:cs="Arial" w:eastAsia="Arial" w:hAnsi="Arial"/>
          <w:sz w:val="13"/>
          <w:szCs w:val="13"/>
          <w:u w:val="single" w:color="auto"/>
          <w:color w:val="auto"/>
        </w:rPr>
        <w:t>Twelfth</w:t>
      </w:r>
      <w:r>
        <w:rPr>
          <w:rFonts w:ascii="Arial" w:cs="Arial" w:eastAsia="Arial" w:hAnsi="Arial"/>
          <w:sz w:val="13"/>
          <w:szCs w:val="13"/>
          <w:color w:val="auto"/>
        </w:rPr>
        <w:t xml:space="preserve"> held by them; and</w:t>
      </w:r>
    </w:p>
    <w:p>
      <w:pPr>
        <w:spacing w:after="0" w:line="112" w:lineRule="exact"/>
        <w:rPr>
          <w:sz w:val="20"/>
          <w:szCs w:val="20"/>
          <w:color w:val="auto"/>
        </w:rPr>
      </w:pPr>
    </w:p>
    <w:p>
      <w:pPr>
        <w:jc w:val="center"/>
        <w:ind w:right="180"/>
        <w:spacing w:after="0"/>
        <w:rPr>
          <w:sz w:val="20"/>
          <w:szCs w:val="20"/>
          <w:color w:val="auto"/>
        </w:rPr>
      </w:pPr>
      <w:r>
        <w:rPr>
          <w:rFonts w:ascii="Arial" w:cs="Arial" w:eastAsia="Arial" w:hAnsi="Arial"/>
          <w:sz w:val="13"/>
          <w:szCs w:val="13"/>
          <w:u w:val="single" w:color="auto"/>
          <w:color w:val="auto"/>
        </w:rPr>
        <w:t>Last</w:t>
      </w:r>
      <w:r>
        <w:rPr>
          <w:rFonts w:ascii="Arial" w:cs="Arial" w:eastAsia="Arial" w:hAnsi="Arial"/>
          <w:sz w:val="13"/>
          <w:szCs w:val="13"/>
          <w:color w:val="auto"/>
        </w:rPr>
        <w:t>, the balance, if any, after all of the Obligations have been indefeasibly paid in full, to the Loan Parties or as otherwise required by Law.</w:t>
      </w:r>
    </w:p>
    <w:p>
      <w:pPr>
        <w:spacing w:after="0" w:line="148" w:lineRule="exact"/>
        <w:rPr>
          <w:sz w:val="20"/>
          <w:szCs w:val="20"/>
          <w:color w:val="auto"/>
        </w:rPr>
      </w:pPr>
    </w:p>
    <w:p>
      <w:pPr>
        <w:jc w:val="both"/>
        <w:ind w:left="220"/>
        <w:spacing w:after="0" w:line="258" w:lineRule="auto"/>
        <w:rPr>
          <w:sz w:val="20"/>
          <w:szCs w:val="20"/>
          <w:color w:val="auto"/>
        </w:rPr>
      </w:pPr>
      <w:r>
        <w:rPr>
          <w:rFonts w:ascii="Arial" w:cs="Arial" w:eastAsia="Arial" w:hAnsi="Arial"/>
          <w:sz w:val="13"/>
          <w:szCs w:val="13"/>
          <w:color w:val="auto"/>
        </w:rPr>
        <w:t xml:space="preserve">Subject to </w:t>
      </w:r>
      <w:r>
        <w:rPr>
          <w:rFonts w:ascii="Arial" w:cs="Arial" w:eastAsia="Arial" w:hAnsi="Arial"/>
          <w:sz w:val="13"/>
          <w:szCs w:val="13"/>
          <w:u w:val="single" w:color="auto"/>
          <w:color w:val="auto"/>
        </w:rPr>
        <w:t>Section 2.03(c)</w:t>
      </w:r>
      <w:r>
        <w:rPr>
          <w:rFonts w:ascii="Arial" w:cs="Arial" w:eastAsia="Arial" w:hAnsi="Arial"/>
          <w:sz w:val="13"/>
          <w:szCs w:val="13"/>
          <w:color w:val="auto"/>
        </w:rPr>
        <w:t xml:space="preserve">, amounts used to Cash Collateralize the aggregate undrawn amount of Letters of Credit pursuant to clause </w:t>
      </w:r>
      <w:r>
        <w:rPr>
          <w:rFonts w:ascii="Arial" w:cs="Arial" w:eastAsia="Arial" w:hAnsi="Arial"/>
          <w:sz w:val="13"/>
          <w:szCs w:val="13"/>
          <w:u w:val="single" w:color="auto"/>
          <w:color w:val="auto"/>
        </w:rPr>
        <w:t>Seventh</w:t>
      </w:r>
      <w:r>
        <w:rPr>
          <w:rFonts w:ascii="Arial" w:cs="Arial" w:eastAsia="Arial" w:hAnsi="Arial"/>
          <w:sz w:val="13"/>
          <w:szCs w:val="13"/>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121"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Excluded Swap Obligations with respect to any Loan Party shall not be paid with amounts received from such Loan Party, but appropriate adjustments shall be made with respect to payments from other Loan Parties to preserve the allocation to the Obligations otherwise set forth above in this Section.</w:t>
      </w:r>
    </w:p>
    <w:p>
      <w:pPr>
        <w:spacing w:after="0" w:line="109" w:lineRule="exact"/>
        <w:rPr>
          <w:sz w:val="20"/>
          <w:szCs w:val="20"/>
          <w:color w:val="auto"/>
        </w:rPr>
      </w:pPr>
    </w:p>
    <w:p>
      <w:pPr>
        <w:ind w:left="5320"/>
        <w:spacing w:after="0"/>
        <w:rPr>
          <w:sz w:val="20"/>
          <w:szCs w:val="20"/>
          <w:color w:val="auto"/>
        </w:rPr>
      </w:pPr>
      <w:r>
        <w:rPr>
          <w:rFonts w:ascii="Arial" w:cs="Arial" w:eastAsia="Arial" w:hAnsi="Arial"/>
          <w:sz w:val="13"/>
          <w:szCs w:val="13"/>
          <w:b w:val="1"/>
          <w:bCs w:val="1"/>
          <w:color w:val="auto"/>
        </w:rPr>
        <w:t>ARTICLE IX</w:t>
      </w:r>
    </w:p>
    <w:p>
      <w:pPr>
        <w:spacing w:after="0" w:line="18" w:lineRule="exact"/>
        <w:rPr>
          <w:sz w:val="20"/>
          <w:szCs w:val="20"/>
          <w:color w:val="auto"/>
        </w:rPr>
      </w:pPr>
    </w:p>
    <w:p>
      <w:pPr>
        <w:ind w:left="5320"/>
        <w:spacing w:after="0"/>
        <w:rPr>
          <w:sz w:val="20"/>
          <w:szCs w:val="20"/>
          <w:color w:val="auto"/>
        </w:rPr>
      </w:pPr>
      <w:r>
        <w:rPr>
          <w:rFonts w:ascii="Arial" w:cs="Arial" w:eastAsia="Arial" w:hAnsi="Arial"/>
          <w:sz w:val="13"/>
          <w:szCs w:val="13"/>
          <w:b w:val="1"/>
          <w:bCs w:val="1"/>
          <w:color w:val="auto"/>
        </w:rPr>
        <w:t>THE AGENT</w:t>
      </w:r>
    </w:p>
    <w:p>
      <w:pPr>
        <w:spacing w:after="0" w:line="134"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3"/>
          <w:szCs w:val="13"/>
          <w:b w:val="1"/>
          <w:bCs w:val="1"/>
          <w:color w:val="auto"/>
        </w:rPr>
        <w:t>9.01</w:t>
      </w:r>
      <w:r>
        <w:rPr>
          <w:sz w:val="20"/>
          <w:szCs w:val="20"/>
          <w:color w:val="auto"/>
        </w:rPr>
        <w:tab/>
      </w:r>
      <w:r>
        <w:rPr>
          <w:rFonts w:ascii="Arial" w:cs="Arial" w:eastAsia="Arial" w:hAnsi="Arial"/>
          <w:sz w:val="12"/>
          <w:szCs w:val="12"/>
          <w:b w:val="1"/>
          <w:bCs w:val="1"/>
          <w:color w:val="auto"/>
        </w:rPr>
        <w:t>Appointment and Authority</w:t>
      </w:r>
      <w:r>
        <w:rPr>
          <w:rFonts w:ascii="Arial" w:cs="Arial" w:eastAsia="Arial" w:hAnsi="Arial"/>
          <w:sz w:val="12"/>
          <w:szCs w:val="12"/>
          <w:color w:val="auto"/>
        </w:rPr>
        <w:t>.</w:t>
      </w:r>
    </w:p>
    <w:p>
      <w:pPr>
        <w:spacing w:after="0" w:line="152" w:lineRule="exact"/>
        <w:rPr>
          <w:sz w:val="20"/>
          <w:szCs w:val="20"/>
          <w:color w:val="auto"/>
        </w:rPr>
      </w:pPr>
    </w:p>
    <w:p>
      <w:pPr>
        <w:jc w:val="both"/>
        <w:ind w:left="220" w:firstLine="808"/>
        <w:spacing w:after="0" w:line="250" w:lineRule="auto"/>
        <w:rPr>
          <w:sz w:val="20"/>
          <w:szCs w:val="20"/>
          <w:color w:val="auto"/>
        </w:rPr>
      </w:pPr>
      <w:r>
        <w:rPr>
          <w:rFonts w:ascii="Arial" w:cs="Arial" w:eastAsia="Arial" w:hAnsi="Arial"/>
          <w:sz w:val="13"/>
          <w:szCs w:val="13"/>
          <w:color w:val="auto"/>
        </w:rPr>
        <w:t>Each of the Lenders (in its capacity as a Lender), the Swing Line Lender and the L/C Issuer hereby irrevocably appoints Bank of America to act on its behalf as the administrative agent and collateral agent hereunder and under the other Loan Documents and authorizes the Agent to take such actions on its behalf and to exercise such powers as are delegated to the Agent by the terms hereof or thereof (including, without limitation, acquiring, holding and enforcing any and all Liens on Collateral granted by any of the Loan Parties to secure any of the Obligations), together with such actions and powers as are reasonably incidental thereto. The provisions of this Article are solely for the benefit of the Agent and the other Credit Parties, and no Loan Party or any Subsidiary thereof shall have rights as a third party beneficiary of any of such provisions. It is understood and agreed that the use of the term “agent” herein or in any other Loan Documents (or any other similar term) with reference to the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22" w:lineRule="exact"/>
        <w:rPr>
          <w:sz w:val="20"/>
          <w:szCs w:val="20"/>
          <w:color w:val="auto"/>
        </w:rPr>
      </w:pPr>
    </w:p>
    <w:p>
      <w:pPr>
        <w:jc w:val="both"/>
        <w:ind w:left="220" w:firstLine="808"/>
        <w:spacing w:after="0" w:line="284" w:lineRule="auto"/>
        <w:rPr>
          <w:sz w:val="20"/>
          <w:szCs w:val="20"/>
          <w:color w:val="auto"/>
        </w:rPr>
      </w:pPr>
      <w:r>
        <w:rPr>
          <w:rFonts w:ascii="Arial" w:cs="Arial" w:eastAsia="Arial" w:hAnsi="Arial"/>
          <w:sz w:val="12"/>
          <w:szCs w:val="12"/>
          <w:b w:val="1"/>
          <w:bCs w:val="1"/>
          <w:color w:val="auto"/>
        </w:rPr>
        <w:t>9.02 Rights as a Lender</w:t>
      </w:r>
      <w:r>
        <w:rPr>
          <w:rFonts w:ascii="Arial" w:cs="Arial" w:eastAsia="Arial" w:hAnsi="Arial"/>
          <w:sz w:val="12"/>
          <w:szCs w:val="12"/>
          <w:color w:val="auto"/>
        </w:rPr>
        <w:t>. The Person serving as the Agent hereunder shall have the same rights and powers in its capacity as a Lender as any other Lender and may exercise the same as</w:t>
      </w:r>
      <w:r>
        <w:rPr>
          <w:rFonts w:ascii="Arial" w:cs="Arial" w:eastAsia="Arial" w:hAnsi="Arial"/>
          <w:sz w:val="12"/>
          <w:szCs w:val="12"/>
          <w:b w:val="1"/>
          <w:bCs w:val="1"/>
          <w:color w:val="auto"/>
        </w:rPr>
        <w:t xml:space="preserve"> </w:t>
      </w:r>
      <w:r>
        <w:rPr>
          <w:rFonts w:ascii="Arial" w:cs="Arial" w:eastAsia="Arial" w:hAnsi="Arial"/>
          <w:sz w:val="12"/>
          <w:szCs w:val="12"/>
          <w:color w:val="auto"/>
        </w:rPr>
        <w:t>though it were not the Agent and the term “Lender” or “Lenders” shall, unless otherwise expressly indicated or unless the context otherwise requires, include the Person serving as the Agent hereunder in its individual capacity. Such Person and its Affiliates may accept deposits from, lend money to, act as the financial advisor or in any other advisory capacity for and generally engage in any kind of business with the Loan Parties or any Subsidiary or other Affiliate thereof as if such Person were not the Agent hereunder and without any duty to account therefor to the Lenders.</w:t>
      </w:r>
    </w:p>
    <w:p>
      <w:pPr>
        <w:spacing w:after="0" w:line="103" w:lineRule="exact"/>
        <w:rPr>
          <w:sz w:val="20"/>
          <w:szCs w:val="20"/>
          <w:color w:val="auto"/>
        </w:rPr>
      </w:pPr>
    </w:p>
    <w:p>
      <w:pPr>
        <w:jc w:val="both"/>
        <w:ind w:left="220" w:firstLine="808"/>
        <w:spacing w:after="0" w:line="278" w:lineRule="auto"/>
        <w:rPr>
          <w:sz w:val="20"/>
          <w:szCs w:val="20"/>
          <w:color w:val="auto"/>
        </w:rPr>
      </w:pPr>
      <w:r>
        <w:rPr>
          <w:rFonts w:ascii="Arial" w:cs="Arial" w:eastAsia="Arial" w:hAnsi="Arial"/>
          <w:sz w:val="13"/>
          <w:szCs w:val="13"/>
          <w:b w:val="1"/>
          <w:bCs w:val="1"/>
          <w:color w:val="auto"/>
        </w:rPr>
        <w:t>9.03 Exculpatory Provisions</w:t>
      </w:r>
      <w:r>
        <w:rPr>
          <w:rFonts w:ascii="Arial" w:cs="Arial" w:eastAsia="Arial" w:hAnsi="Arial"/>
          <w:sz w:val="13"/>
          <w:szCs w:val="13"/>
          <w:color w:val="auto"/>
        </w:rPr>
        <w:t>. The Agent shall not have any duties or obligations except those expressly set forth herein and in the other Loan Documents. Without limiting the</w:t>
      </w:r>
      <w:r>
        <w:rPr>
          <w:rFonts w:ascii="Arial" w:cs="Arial" w:eastAsia="Arial" w:hAnsi="Arial"/>
          <w:sz w:val="13"/>
          <w:szCs w:val="13"/>
          <w:b w:val="1"/>
          <w:bCs w:val="1"/>
          <w:color w:val="auto"/>
        </w:rPr>
        <w:t xml:space="preserve"> </w:t>
      </w:r>
      <w:r>
        <w:rPr>
          <w:rFonts w:ascii="Arial" w:cs="Arial" w:eastAsia="Arial" w:hAnsi="Arial"/>
          <w:sz w:val="13"/>
          <w:szCs w:val="13"/>
          <w:color w:val="auto"/>
        </w:rPr>
        <w:t>generality of the foregoing, the Agent:</w:t>
      </w:r>
    </w:p>
    <w:p>
      <w:pPr>
        <w:spacing w:after="0" w:line="108" w:lineRule="exact"/>
        <w:rPr>
          <w:sz w:val="20"/>
          <w:szCs w:val="20"/>
          <w:color w:val="auto"/>
        </w:rPr>
      </w:pPr>
    </w:p>
    <w:p>
      <w:pPr>
        <w:ind w:left="2400" w:hanging="581"/>
        <w:spacing w:after="0"/>
        <w:tabs>
          <w:tab w:leader="none" w:pos="2400" w:val="left"/>
        </w:tabs>
        <w:numPr>
          <w:ilvl w:val="0"/>
          <w:numId w:val="158"/>
        </w:numPr>
        <w:rPr>
          <w:rFonts w:ascii="Arial" w:cs="Arial" w:eastAsia="Arial" w:hAnsi="Arial"/>
          <w:sz w:val="13"/>
          <w:szCs w:val="13"/>
          <w:color w:val="auto"/>
        </w:rPr>
      </w:pPr>
      <w:r>
        <w:rPr>
          <w:rFonts w:ascii="Arial" w:cs="Arial" w:eastAsia="Arial" w:hAnsi="Arial"/>
          <w:sz w:val="13"/>
          <w:szCs w:val="13"/>
          <w:color w:val="auto"/>
        </w:rPr>
        <w:t>shall not be subject to any fiduciary or other implied duties, regardless of whether a Default or Event of Default has occurred and is continuing;</w:t>
      </w:r>
    </w:p>
    <w:p>
      <w:pPr>
        <w:spacing w:after="0" w:line="295"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120" w:name="page121"/>
    <w:bookmarkEnd w:id="120"/>
    <w:p>
      <w:pPr>
        <w:jc w:val="both"/>
        <w:ind w:left="1080" w:firstLine="738"/>
        <w:spacing w:after="0" w:line="316" w:lineRule="auto"/>
        <w:tabs>
          <w:tab w:leader="none" w:pos="2410" w:val="left"/>
        </w:tabs>
        <w:numPr>
          <w:ilvl w:val="0"/>
          <w:numId w:val="159"/>
        </w:numPr>
        <w:rPr>
          <w:rFonts w:ascii="Arial" w:cs="Arial" w:eastAsia="Arial" w:hAnsi="Arial"/>
          <w:sz w:val="11"/>
          <w:szCs w:val="11"/>
          <w:color w:val="auto"/>
        </w:rPr>
      </w:pPr>
      <w:r>
        <w:rPr>
          <w:rFonts w:ascii="Arial" w:cs="Arial" w:eastAsia="Arial" w:hAnsi="Arial"/>
          <w:sz w:val="11"/>
          <w:szCs w:val="11"/>
          <w:color w:val="auto"/>
        </w:rPr>
        <w:t xml:space="preserve">shall not have any duty to take any discretionary action or exercise any discretionary powers, except discretionary rights and powers expressly contemplated hereby or by the other Loan Documents that the Agent is required to exercise as directed in writing by the Applicable Lenders,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Agent shall not be required to take any action that, in its opinion or the opinion of its counsel, may expose the Agent to liability or that is contrary to any Loan Document or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91" w:lineRule="exact"/>
        <w:rPr>
          <w:rFonts w:ascii="Arial" w:cs="Arial" w:eastAsia="Arial" w:hAnsi="Arial"/>
          <w:sz w:val="11"/>
          <w:szCs w:val="11"/>
          <w:color w:val="auto"/>
        </w:rPr>
      </w:pPr>
    </w:p>
    <w:p>
      <w:pPr>
        <w:ind w:left="1080" w:firstLine="739"/>
        <w:spacing w:after="0" w:line="314" w:lineRule="auto"/>
        <w:tabs>
          <w:tab w:leader="none" w:pos="2403" w:val="left"/>
        </w:tabs>
        <w:numPr>
          <w:ilvl w:val="0"/>
          <w:numId w:val="159"/>
        </w:numPr>
        <w:rPr>
          <w:rFonts w:ascii="Arial" w:cs="Arial" w:eastAsia="Arial" w:hAnsi="Arial"/>
          <w:sz w:val="12"/>
          <w:szCs w:val="12"/>
          <w:color w:val="auto"/>
        </w:rPr>
      </w:pPr>
      <w:r>
        <w:rPr>
          <w:rFonts w:ascii="Arial" w:cs="Arial" w:eastAsia="Arial" w:hAnsi="Arial"/>
          <w:sz w:val="12"/>
          <w:szCs w:val="12"/>
          <w:color w:val="auto"/>
        </w:rPr>
        <w:t>shall not, except as expressly set forth herein and in the other Loan Documents, have any duty to disclose, and shall not be liable for the failure to disclose, any information relating to the Loan Parties or any of its Affiliates that is communicated to or obtained by the Person serving as the Agent or any of its Affiliates in any capacity.</w:t>
      </w:r>
    </w:p>
    <w:p>
      <w:pPr>
        <w:spacing w:after="0" w:line="89" w:lineRule="exact"/>
        <w:rPr>
          <w:sz w:val="20"/>
          <w:szCs w:val="20"/>
          <w:color w:val="auto"/>
        </w:rPr>
      </w:pPr>
    </w:p>
    <w:p>
      <w:pPr>
        <w:jc w:val="both"/>
        <w:ind w:left="220"/>
        <w:spacing w:after="0" w:line="258" w:lineRule="auto"/>
        <w:rPr>
          <w:sz w:val="20"/>
          <w:szCs w:val="20"/>
          <w:color w:val="auto"/>
        </w:rPr>
      </w:pPr>
      <w:r>
        <w:rPr>
          <w:rFonts w:ascii="Arial" w:cs="Arial" w:eastAsia="Arial" w:hAnsi="Arial"/>
          <w:sz w:val="13"/>
          <w:szCs w:val="13"/>
          <w:color w:val="auto"/>
        </w:rPr>
        <w:t xml:space="preserve">The Agent shall not be liable for any action taken or not taken by it (i) with the Consent or at the request of the Applicable Lenders (as the Agent shall believe in good faith shall be necessary under the circumstances as provided in </w:t>
      </w:r>
      <w:r>
        <w:rPr>
          <w:rFonts w:ascii="Arial" w:cs="Arial" w:eastAsia="Arial" w:hAnsi="Arial"/>
          <w:sz w:val="13"/>
          <w:szCs w:val="13"/>
          <w:u w:val="single" w:color="auto"/>
          <w:color w:val="auto"/>
        </w:rPr>
        <w:t>Sections 10.01</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8.02</w:t>
      </w:r>
      <w:r>
        <w:rPr>
          <w:rFonts w:ascii="Arial" w:cs="Arial" w:eastAsia="Arial" w:hAnsi="Arial"/>
          <w:sz w:val="13"/>
          <w:szCs w:val="13"/>
          <w:color w:val="auto"/>
        </w:rPr>
        <w:t>) or (ii) in the absence of its own gross negligence or willful misconduct as determined by a final and non-appealable judgment of a court of competent jurisdiction.</w:t>
      </w:r>
    </w:p>
    <w:p>
      <w:pPr>
        <w:spacing w:after="0" w:line="121" w:lineRule="exact"/>
        <w:rPr>
          <w:sz w:val="20"/>
          <w:szCs w:val="20"/>
          <w:color w:val="auto"/>
        </w:rPr>
      </w:pPr>
    </w:p>
    <w:p>
      <w:pPr>
        <w:jc w:val="both"/>
        <w:ind w:left="220" w:firstLine="808"/>
        <w:spacing w:after="0" w:line="251" w:lineRule="auto"/>
        <w:rPr>
          <w:sz w:val="20"/>
          <w:szCs w:val="20"/>
          <w:color w:val="auto"/>
        </w:rPr>
      </w:pPr>
      <w:r>
        <w:rPr>
          <w:rFonts w:ascii="Arial" w:cs="Arial" w:eastAsia="Arial" w:hAnsi="Arial"/>
          <w:sz w:val="13"/>
          <w:szCs w:val="13"/>
          <w:color w:val="auto"/>
        </w:rPr>
        <w:t>The Agent shall not be deemed to have knowledge of any Default or Event of Default unless and until notice describing such Default or Event of Default is given to the Agent by the Loan Parties, a Lender or the L/C Issuer. In the event that the Agent obtains such actual knowledge or receives such a notice, the Agent shall give prompt notice thereof to each of the other Credit Parties. Upon the occurrence of a Default or an Event of Default, the Agent shall take such action with respect to such Default or Event of Default as shall be reasonably directed by the Applicable Lenders. Unless and until the Agent shall have received such direction, the Agent may (but shall not be obligated to) take such action, or refrain from taking such action, with respect to any such Default or Event of Default as it shall deem advisable in the best interest of the Credit Parties. In no event shall the Agent be required to comply with any such directions to the extent that the Agent believes that its compliance with such directions would be unlawful.</w:t>
      </w:r>
    </w:p>
    <w:p>
      <w:pPr>
        <w:spacing w:after="0" w:line="125" w:lineRule="exact"/>
        <w:rPr>
          <w:sz w:val="20"/>
          <w:szCs w:val="20"/>
          <w:color w:val="auto"/>
        </w:rPr>
      </w:pPr>
    </w:p>
    <w:p>
      <w:pPr>
        <w:jc w:val="both"/>
        <w:ind w:left="220" w:firstLine="808"/>
        <w:spacing w:after="0" w:line="278" w:lineRule="auto"/>
        <w:rPr>
          <w:sz w:val="20"/>
          <w:szCs w:val="20"/>
          <w:color w:val="auto"/>
        </w:rPr>
      </w:pPr>
      <w:r>
        <w:rPr>
          <w:rFonts w:ascii="Arial" w:cs="Arial" w:eastAsia="Arial" w:hAnsi="Arial"/>
          <w:sz w:val="12"/>
          <w:szCs w:val="12"/>
          <w:color w:val="auto"/>
        </w:rPr>
        <w:t xml:space="preserve">The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the creation, perfection or priority of any Lien purported to be created by the Security Documents, (v) the value or the sufficiency of any Collateral, or (vi) the satisfaction of any condition set forth in </w:t>
      </w:r>
      <w:r>
        <w:rPr>
          <w:rFonts w:ascii="Arial" w:cs="Arial" w:eastAsia="Arial" w:hAnsi="Arial"/>
          <w:sz w:val="12"/>
          <w:szCs w:val="12"/>
          <w:u w:val="single" w:color="auto"/>
          <w:color w:val="auto"/>
        </w:rPr>
        <w:t>Article IV</w:t>
      </w:r>
      <w:r>
        <w:rPr>
          <w:rFonts w:ascii="Arial" w:cs="Arial" w:eastAsia="Arial" w:hAnsi="Arial"/>
          <w:sz w:val="12"/>
          <w:szCs w:val="12"/>
          <w:color w:val="auto"/>
        </w:rPr>
        <w:t xml:space="preserve"> or elsewhere herein, other than to confirm receipt of items expressly required to be delivered to the Agent.</w:t>
      </w:r>
    </w:p>
    <w:p>
      <w:pPr>
        <w:spacing w:after="0" w:line="107"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3"/>
          <w:szCs w:val="13"/>
          <w:b w:val="1"/>
          <w:bCs w:val="1"/>
          <w:color w:val="auto"/>
        </w:rPr>
        <w:t>9.04</w:t>
      </w:r>
      <w:r>
        <w:rPr>
          <w:sz w:val="20"/>
          <w:szCs w:val="20"/>
          <w:color w:val="auto"/>
        </w:rPr>
        <w:tab/>
      </w:r>
      <w:r>
        <w:rPr>
          <w:rFonts w:ascii="Arial" w:cs="Arial" w:eastAsia="Arial" w:hAnsi="Arial"/>
          <w:sz w:val="11"/>
          <w:szCs w:val="11"/>
          <w:b w:val="1"/>
          <w:bCs w:val="1"/>
          <w:color w:val="auto"/>
        </w:rPr>
        <w:t>Reliance by Agent</w:t>
      </w:r>
      <w:r>
        <w:rPr>
          <w:rFonts w:ascii="Arial" w:cs="Arial" w:eastAsia="Arial" w:hAnsi="Arial"/>
          <w:sz w:val="11"/>
          <w:szCs w:val="11"/>
          <w:color w:val="auto"/>
        </w:rPr>
        <w:t>.</w:t>
      </w:r>
    </w:p>
    <w:p>
      <w:pPr>
        <w:spacing w:after="0" w:line="152" w:lineRule="exact"/>
        <w:rPr>
          <w:sz w:val="20"/>
          <w:szCs w:val="20"/>
          <w:color w:val="auto"/>
        </w:rPr>
      </w:pPr>
    </w:p>
    <w:p>
      <w:pPr>
        <w:jc w:val="both"/>
        <w:ind w:left="220" w:firstLine="808"/>
        <w:spacing w:after="0" w:line="254" w:lineRule="auto"/>
        <w:rPr>
          <w:sz w:val="20"/>
          <w:szCs w:val="20"/>
          <w:color w:val="auto"/>
        </w:rPr>
      </w:pPr>
      <w:r>
        <w:rPr>
          <w:rFonts w:ascii="Arial" w:cs="Arial" w:eastAsia="Arial" w:hAnsi="Arial"/>
          <w:sz w:val="13"/>
          <w:szCs w:val="13"/>
          <w:color w:val="auto"/>
        </w:rPr>
        <w:t>The Agent shall be entitled to rely upon, and shall not incur any liability for relying upon, any notice, request, certificate, consent, statement, instrument, document or other writing (including, but not limited to, any electronic message, Internet or intranet website posting or other distribution) believed by it to be genuine and to have been signed, sent or otherwise authenticated by the proper Person. The Agent also may rely upon any statement made to it orally or by telephone and believed by it to have been made by the proper Person, and shall not incur any liability for relying thereon. In determining compliance</w:t>
      </w:r>
    </w:p>
    <w:p>
      <w:pPr>
        <w:spacing w:after="0" w:line="271"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121" w:name="page122"/>
    <w:bookmarkEnd w:id="121"/>
    <w:p>
      <w:pPr>
        <w:jc w:val="both"/>
        <w:ind w:left="220"/>
        <w:spacing w:after="0" w:line="255" w:lineRule="auto"/>
        <w:rPr>
          <w:sz w:val="20"/>
          <w:szCs w:val="20"/>
          <w:color w:val="auto"/>
        </w:rPr>
      </w:pPr>
      <w:r>
        <w:rPr>
          <w:rFonts w:ascii="Arial" w:cs="Arial" w:eastAsia="Arial" w:hAnsi="Arial"/>
          <w:sz w:val="13"/>
          <w:szCs w:val="13"/>
          <w:color w:val="auto"/>
        </w:rPr>
        <w:t>with any condition hereunder to the making of a Loan, or the issuance, extension, renewal or increase of a Letter of Credit, that by its terms must be fulfilled to the satisfaction of a Lender or the L/C Issuer, the Agent may presume that such condition is satisfactory to such Lender or the L/C Issuer unless the Agent shall have received written notice to the contrary from such Lender or the L/C Issuer prior to the making of such Loan or the issuance of such Letter of Credit. The Agent may consult with legal counsel (who may be counsel for any Loan Party), independent accountants and other experts selected by it, and shall not be liable for any action taken or not taken by it in accordance with the advice of any such counsel, accountants or experts.</w:t>
      </w:r>
    </w:p>
    <w:p>
      <w:pPr>
        <w:spacing w:after="0" w:line="119" w:lineRule="exact"/>
        <w:rPr>
          <w:sz w:val="20"/>
          <w:szCs w:val="20"/>
          <w:color w:val="auto"/>
        </w:rPr>
      </w:pPr>
    </w:p>
    <w:p>
      <w:pPr>
        <w:jc w:val="both"/>
        <w:ind w:left="220" w:firstLine="808"/>
        <w:spacing w:after="0" w:line="280" w:lineRule="auto"/>
        <w:rPr>
          <w:sz w:val="20"/>
          <w:szCs w:val="20"/>
          <w:color w:val="auto"/>
        </w:rPr>
      </w:pPr>
      <w:r>
        <w:rPr>
          <w:rFonts w:ascii="Arial" w:cs="Arial" w:eastAsia="Arial" w:hAnsi="Arial"/>
          <w:sz w:val="12"/>
          <w:szCs w:val="12"/>
          <w:b w:val="1"/>
          <w:bCs w:val="1"/>
          <w:color w:val="auto"/>
        </w:rPr>
        <w:t>9.05 Delegation of Duties</w:t>
      </w:r>
      <w:r>
        <w:rPr>
          <w:rFonts w:ascii="Arial" w:cs="Arial" w:eastAsia="Arial" w:hAnsi="Arial"/>
          <w:sz w:val="12"/>
          <w:szCs w:val="12"/>
          <w:color w:val="auto"/>
        </w:rPr>
        <w:t>. The Agent may perform any and all of its duties and exercise its rights and powers hereunder or under any other Loan Document by or through any one or</w:t>
      </w:r>
      <w:r>
        <w:rPr>
          <w:rFonts w:ascii="Arial" w:cs="Arial" w:eastAsia="Arial" w:hAnsi="Arial"/>
          <w:sz w:val="12"/>
          <w:szCs w:val="12"/>
          <w:b w:val="1"/>
          <w:bCs w:val="1"/>
          <w:color w:val="auto"/>
        </w:rPr>
        <w:t xml:space="preserve"> </w:t>
      </w:r>
      <w:r>
        <w:rPr>
          <w:rFonts w:ascii="Arial" w:cs="Arial" w:eastAsia="Arial" w:hAnsi="Arial"/>
          <w:sz w:val="12"/>
          <w:szCs w:val="12"/>
          <w:color w:val="auto"/>
        </w:rPr>
        <w:t>more sub-agents appointed by the Agent. The Agent and any such sub-agent may perform any and all of its duties and exercise its rights and powers by or through their respective Related Parties. The exculpatory provisions of this Article shall apply to any such sub-agent and to the Related Parties of the Agent and any such sub-agent, and shall apply to their respective activities in connection with the syndication of the credit facilities provided for herein as well as activities as the Agent. The Agent shall not be responsible for the negligence or misconduct of any sub-agents except to the extent that a court of competent jurisdiction determines in a final and non-appealable judgment that the Agent acted with gross negligence or willful misconduct in the selection of such sub-agents.</w:t>
      </w:r>
    </w:p>
    <w:p>
      <w:pPr>
        <w:spacing w:after="0" w:line="105" w:lineRule="exact"/>
        <w:rPr>
          <w:sz w:val="20"/>
          <w:szCs w:val="20"/>
          <w:color w:val="auto"/>
        </w:rPr>
      </w:pPr>
    </w:p>
    <w:p>
      <w:pPr>
        <w:jc w:val="both"/>
        <w:ind w:left="220" w:firstLine="808"/>
        <w:spacing w:after="0" w:line="270" w:lineRule="auto"/>
        <w:rPr>
          <w:sz w:val="20"/>
          <w:szCs w:val="20"/>
          <w:color w:val="auto"/>
        </w:rPr>
      </w:pPr>
      <w:r>
        <w:rPr>
          <w:rFonts w:ascii="Arial" w:cs="Arial" w:eastAsia="Arial" w:hAnsi="Arial"/>
          <w:sz w:val="12"/>
          <w:szCs w:val="12"/>
          <w:b w:val="1"/>
          <w:bCs w:val="1"/>
          <w:color w:val="auto"/>
        </w:rPr>
        <w:t xml:space="preserve">9.06 Resignation of Agent </w:t>
      </w:r>
      <w:r>
        <w:rPr>
          <w:rFonts w:ascii="Arial" w:cs="Arial" w:eastAsia="Arial" w:hAnsi="Arial"/>
          <w:sz w:val="12"/>
          <w:szCs w:val="12"/>
          <w:color w:val="auto"/>
        </w:rPr>
        <w:t>The Agent may at any time give written notice of its resignation to the Lenders, the L/C Issuer and the Lead Borrower. Upon receipt of any such notice of</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resignation, the Required Lenders shall have the right, in consultation with the Lead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Agent gives notice of its resignation, then the retiring Agent may on behalf of the Lenders and the L/C Issuer, appoint a successor Agent meeting the qualifications set forth above;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the Agent shall notify the Lead Borrower and the Lenders that no qualifying Person has accepted such appointment, then such resignation shall nonetheless become effective in accordance with such notice and (1) the retiring Agent shall be discharged from its duties and obligations hereunder and under the other Loan Documents (except that in the case of any Collateral held by the Agent on behalf of the Lenders or the L/C Issuer under any of the Loan Documents, the retiring Agent shall continue to hold such collateral security until such time as a successor Agent is appointed) and (2) all payments, communications and determinations provided to be made by, to or through the Agent shall instead be made by or to each Lender and the L/C Issuer directly, until such time as the Required Lenders appoint a successor Agent as provided for above in this Section. Upon the acceptance of a successor’s appointment as Agent hereunder, such successor shall succeed to and become vested with all of the rights, powers, privileges and duties of the retiring (or retired) Agent, and the retiring Agent shall be discharged from all of its duties and obligations hereunder or under the other Loan Documents (if not already discharged therefrom as provided above in this Section). The fees payable by the Borrowers to a successor Agent shall be the same as those payable to its predecessor unless otherwise agreed between the Lead Borrower and such successor. After the retiring Agent’s resignation hereunder and under the other Loan Documents, the provisions of this Article and </w:t>
      </w:r>
      <w:r>
        <w:rPr>
          <w:rFonts w:ascii="Arial" w:cs="Arial" w:eastAsia="Arial" w:hAnsi="Arial"/>
          <w:sz w:val="12"/>
          <w:szCs w:val="12"/>
          <w:u w:val="single" w:color="auto"/>
          <w:color w:val="auto"/>
        </w:rPr>
        <w:t>Section 10.04</w:t>
      </w:r>
      <w:r>
        <w:rPr>
          <w:rFonts w:ascii="Arial" w:cs="Arial" w:eastAsia="Arial" w:hAnsi="Arial"/>
          <w:sz w:val="12"/>
          <w:szCs w:val="12"/>
          <w:color w:val="auto"/>
        </w:rPr>
        <w:t xml:space="preserve"> shall continue in effect for the benefit of such retiring Agent, its sub-agents and their respective Related Parties in respect of any actions taken or omitted to be taken by any of them while the retiring Agent was acting as Agent hereunder.</w:t>
      </w:r>
    </w:p>
    <w:p>
      <w:pPr>
        <w:spacing w:after="0" w:line="117" w:lineRule="exact"/>
        <w:rPr>
          <w:sz w:val="20"/>
          <w:szCs w:val="20"/>
          <w:color w:val="auto"/>
        </w:rPr>
      </w:pPr>
    </w:p>
    <w:p>
      <w:pPr>
        <w:jc w:val="both"/>
        <w:ind w:left="220" w:firstLine="808"/>
        <w:spacing w:after="0" w:line="261" w:lineRule="auto"/>
        <w:rPr>
          <w:sz w:val="20"/>
          <w:szCs w:val="20"/>
          <w:color w:val="auto"/>
        </w:rPr>
      </w:pPr>
      <w:r>
        <w:rPr>
          <w:rFonts w:ascii="Arial" w:cs="Arial" w:eastAsia="Arial" w:hAnsi="Arial"/>
          <w:sz w:val="13"/>
          <w:szCs w:val="13"/>
          <w:b w:val="1"/>
          <w:bCs w:val="1"/>
          <w:color w:val="auto"/>
        </w:rPr>
        <w:t>9.07 Non-Reliance on Agent and Other Lenders</w:t>
      </w:r>
      <w:r>
        <w:rPr>
          <w:rFonts w:ascii="Arial" w:cs="Arial" w:eastAsia="Arial" w:hAnsi="Arial"/>
          <w:sz w:val="13"/>
          <w:szCs w:val="13"/>
          <w:color w:val="auto"/>
        </w:rPr>
        <w:t>. Each Lender and the L/C Issuer acknowledges that it has, independently and without reliance upon the Agent or any other Lender or</w:t>
      </w:r>
      <w:r>
        <w:rPr>
          <w:rFonts w:ascii="Arial" w:cs="Arial" w:eastAsia="Arial" w:hAnsi="Arial"/>
          <w:sz w:val="13"/>
          <w:szCs w:val="13"/>
          <w:b w:val="1"/>
          <w:bCs w:val="1"/>
          <w:color w:val="auto"/>
        </w:rPr>
        <w:t xml:space="preserve"> </w:t>
      </w:r>
      <w:r>
        <w:rPr>
          <w:rFonts w:ascii="Arial" w:cs="Arial" w:eastAsia="Arial" w:hAnsi="Arial"/>
          <w:sz w:val="13"/>
          <w:szCs w:val="13"/>
          <w:color w:val="auto"/>
        </w:rPr>
        <w:t>any of their Related Parties and based on such documents and information as it has deemed appropriate, made its own credit analysis and decision to enter into this Agreement. Each Lender and the L/C Issuer also</w:t>
      </w:r>
    </w:p>
    <w:p>
      <w:pPr>
        <w:spacing w:after="0" w:line="267"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122" w:name="page123"/>
    <w:bookmarkEnd w:id="122"/>
    <w:p>
      <w:pPr>
        <w:jc w:val="both"/>
        <w:ind w:left="220"/>
        <w:spacing w:after="0" w:line="255" w:lineRule="auto"/>
        <w:rPr>
          <w:sz w:val="20"/>
          <w:szCs w:val="20"/>
          <w:color w:val="auto"/>
        </w:rPr>
      </w:pPr>
      <w:r>
        <w:rPr>
          <w:rFonts w:ascii="Arial" w:cs="Arial" w:eastAsia="Arial" w:hAnsi="Arial"/>
          <w:sz w:val="13"/>
          <w:szCs w:val="13"/>
          <w:color w:val="auto"/>
        </w:rPr>
        <w:t xml:space="preserve">acknowledges that it will, independently and without reliance upon the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Except as provided in </w:t>
      </w:r>
      <w:r>
        <w:rPr>
          <w:rFonts w:ascii="Arial" w:cs="Arial" w:eastAsia="Arial" w:hAnsi="Arial"/>
          <w:sz w:val="13"/>
          <w:szCs w:val="13"/>
          <w:u w:val="single" w:color="auto"/>
          <w:color w:val="auto"/>
        </w:rPr>
        <w:t>Section 9.12</w:t>
      </w:r>
      <w:r>
        <w:rPr>
          <w:rFonts w:ascii="Arial" w:cs="Arial" w:eastAsia="Arial" w:hAnsi="Arial"/>
          <w:sz w:val="13"/>
          <w:szCs w:val="13"/>
          <w:color w:val="auto"/>
        </w:rPr>
        <w:t>, the Agent shall not have any duty or responsibility to provide any Credit Party with any other credit or other information concerning the affairs, financial condition or business of any Loan Party that may come into the possession of the Agent.</w:t>
      </w:r>
    </w:p>
    <w:p>
      <w:pPr>
        <w:spacing w:after="0" w:line="119" w:lineRule="exact"/>
        <w:rPr>
          <w:sz w:val="20"/>
          <w:szCs w:val="20"/>
          <w:color w:val="auto"/>
        </w:rPr>
      </w:pPr>
    </w:p>
    <w:p>
      <w:pPr>
        <w:jc w:val="both"/>
        <w:ind w:left="220" w:firstLine="808"/>
        <w:spacing w:after="0" w:line="278" w:lineRule="auto"/>
        <w:rPr>
          <w:sz w:val="20"/>
          <w:szCs w:val="20"/>
          <w:color w:val="auto"/>
        </w:rPr>
      </w:pPr>
      <w:r>
        <w:rPr>
          <w:rFonts w:ascii="Arial" w:cs="Arial" w:eastAsia="Arial" w:hAnsi="Arial"/>
          <w:sz w:val="13"/>
          <w:szCs w:val="13"/>
          <w:b w:val="1"/>
          <w:bCs w:val="1"/>
          <w:color w:val="auto"/>
        </w:rPr>
        <w:t xml:space="preserve">9.08 No Other Duties, Etc. </w:t>
      </w:r>
      <w:r>
        <w:rPr>
          <w:rFonts w:ascii="Arial" w:cs="Arial" w:eastAsia="Arial" w:hAnsi="Arial"/>
          <w:sz w:val="13"/>
          <w:szCs w:val="13"/>
          <w:color w:val="auto"/>
        </w:rPr>
        <w:t>Anything herein to the contrary notwithstanding, none of the Bookrunner, Arranger or Syndication Agent listed on the cover page hereof shall have any</w:t>
      </w:r>
      <w:r>
        <w:rPr>
          <w:rFonts w:ascii="Arial" w:cs="Arial" w:eastAsia="Arial" w:hAnsi="Arial"/>
          <w:sz w:val="13"/>
          <w:szCs w:val="13"/>
          <w:b w:val="1"/>
          <w:bCs w:val="1"/>
          <w:color w:val="auto"/>
        </w:rPr>
        <w:t xml:space="preserve"> </w:t>
      </w:r>
      <w:r>
        <w:rPr>
          <w:rFonts w:ascii="Arial" w:cs="Arial" w:eastAsia="Arial" w:hAnsi="Arial"/>
          <w:sz w:val="13"/>
          <w:szCs w:val="13"/>
          <w:color w:val="auto"/>
        </w:rPr>
        <w:t>powers, duties or responsibilities under this Agreement or any of the other Loan Documents, except in its capacity as the Agent, a Lender or the L/C Issuer hereunder.</w:t>
      </w:r>
    </w:p>
    <w:p>
      <w:pPr>
        <w:spacing w:after="0" w:line="104" w:lineRule="exact"/>
        <w:rPr>
          <w:sz w:val="20"/>
          <w:szCs w:val="20"/>
          <w:color w:val="auto"/>
        </w:rPr>
      </w:pPr>
    </w:p>
    <w:p>
      <w:pPr>
        <w:jc w:val="both"/>
        <w:ind w:left="220" w:firstLine="808"/>
        <w:spacing w:after="0" w:line="261" w:lineRule="auto"/>
        <w:rPr>
          <w:sz w:val="20"/>
          <w:szCs w:val="20"/>
          <w:color w:val="auto"/>
        </w:rPr>
      </w:pPr>
      <w:r>
        <w:rPr>
          <w:rFonts w:ascii="Arial" w:cs="Arial" w:eastAsia="Arial" w:hAnsi="Arial"/>
          <w:sz w:val="13"/>
          <w:szCs w:val="13"/>
          <w:b w:val="1"/>
          <w:bCs w:val="1"/>
          <w:color w:val="auto"/>
        </w:rPr>
        <w:t>9.09 Agent May File Proofs of Claim</w:t>
      </w:r>
      <w:r>
        <w:rPr>
          <w:rFonts w:ascii="Arial" w:cs="Arial" w:eastAsia="Arial" w:hAnsi="Arial"/>
          <w:sz w:val="13"/>
          <w:szCs w:val="13"/>
          <w:color w:val="auto"/>
        </w:rPr>
        <w:t>. In case of the pendency of any proceeding under any Debtor Relief Law or any other judicial proceeding relative to any Loan Party, the Agent</w:t>
      </w:r>
      <w:r>
        <w:rPr>
          <w:rFonts w:ascii="Arial" w:cs="Arial" w:eastAsia="Arial" w:hAnsi="Arial"/>
          <w:sz w:val="13"/>
          <w:szCs w:val="13"/>
          <w:b w:val="1"/>
          <w:bCs w:val="1"/>
          <w:color w:val="auto"/>
        </w:rPr>
        <w:t xml:space="preserve"> </w:t>
      </w:r>
      <w:r>
        <w:rPr>
          <w:rFonts w:ascii="Arial" w:cs="Arial" w:eastAsia="Arial" w:hAnsi="Arial"/>
          <w:sz w:val="13"/>
          <w:szCs w:val="13"/>
          <w:color w:val="auto"/>
        </w:rPr>
        <w:t>(irrespective of whether the principal of any Loan or L/C Obligation shall then be due and payable as herein expressed or by declaration or otherwise and irrespective of whether the Agent shall have made any demand on the Loan Parties) shall be entitled and empowered, by intervention in such proceeding or otherwise</w:t>
      </w:r>
    </w:p>
    <w:p>
      <w:pPr>
        <w:spacing w:after="0" w:line="120" w:lineRule="exact"/>
        <w:rPr>
          <w:sz w:val="20"/>
          <w:szCs w:val="20"/>
          <w:color w:val="auto"/>
        </w:rPr>
      </w:pPr>
    </w:p>
    <w:p>
      <w:pPr>
        <w:jc w:val="both"/>
        <w:ind w:left="1080" w:firstLine="739"/>
        <w:spacing w:after="0" w:line="315" w:lineRule="auto"/>
        <w:tabs>
          <w:tab w:leader="none" w:pos="2403" w:val="left"/>
        </w:tabs>
        <w:numPr>
          <w:ilvl w:val="0"/>
          <w:numId w:val="160"/>
        </w:numPr>
        <w:rPr>
          <w:rFonts w:ascii="Arial" w:cs="Arial" w:eastAsia="Arial" w:hAnsi="Arial"/>
          <w:sz w:val="11"/>
          <w:szCs w:val="11"/>
          <w:color w:val="auto"/>
        </w:rPr>
      </w:pPr>
      <w:r>
        <w:rPr>
          <w:rFonts w:ascii="Arial" w:cs="Arial" w:eastAsia="Arial" w:hAnsi="Arial"/>
          <w:sz w:val="11"/>
          <w:szCs w:val="11"/>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 the Agent and the other Credit Parties (including any claim for the reasonable compensation, expenses, disbursements and advances of the Lenders, the L/C Issuer, the Agent, such Credit Parties and their respective agents and counsel and all other amounts due the Lenders, the L/C Issuer the Agent and such Credit Parties under </w:t>
      </w:r>
      <w:r>
        <w:rPr>
          <w:rFonts w:ascii="Arial" w:cs="Arial" w:eastAsia="Arial" w:hAnsi="Arial"/>
          <w:sz w:val="11"/>
          <w:szCs w:val="11"/>
          <w:u w:val="single" w:color="auto"/>
          <w:color w:val="auto"/>
        </w:rPr>
        <w:t>Sections 2.03(i), 2.03(j)</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2.03(k)</w:t>
      </w:r>
      <w:r>
        <w:rPr>
          <w:rFonts w:ascii="Arial" w:cs="Arial" w:eastAsia="Arial" w:hAnsi="Arial"/>
          <w:sz w:val="11"/>
          <w:szCs w:val="11"/>
          <w:color w:val="auto"/>
        </w:rPr>
        <w:t xml:space="preserve">, </w:t>
      </w:r>
      <w:r>
        <w:rPr>
          <w:rFonts w:ascii="Arial" w:cs="Arial" w:eastAsia="Arial" w:hAnsi="Arial"/>
          <w:sz w:val="11"/>
          <w:szCs w:val="11"/>
          <w:u w:val="single" w:color="auto"/>
          <w:color w:val="auto"/>
        </w:rPr>
        <w:t>2.09</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10.04</w:t>
      </w:r>
      <w:r>
        <w:rPr>
          <w:rFonts w:ascii="Arial" w:cs="Arial" w:eastAsia="Arial" w:hAnsi="Arial"/>
          <w:sz w:val="11"/>
          <w:szCs w:val="11"/>
          <w:color w:val="auto"/>
        </w:rPr>
        <w:t>) allowed in such judicial proceeding; and</w:t>
      </w:r>
    </w:p>
    <w:p>
      <w:pPr>
        <w:spacing w:after="0" w:line="92" w:lineRule="exact"/>
        <w:rPr>
          <w:rFonts w:ascii="Arial" w:cs="Arial" w:eastAsia="Arial" w:hAnsi="Arial"/>
          <w:sz w:val="11"/>
          <w:szCs w:val="11"/>
          <w:color w:val="auto"/>
        </w:rPr>
      </w:pPr>
    </w:p>
    <w:p>
      <w:pPr>
        <w:ind w:left="2400" w:hanging="581"/>
        <w:spacing w:after="0"/>
        <w:tabs>
          <w:tab w:leader="none" w:pos="2400" w:val="left"/>
        </w:tabs>
        <w:numPr>
          <w:ilvl w:val="0"/>
          <w:numId w:val="160"/>
        </w:numPr>
        <w:rPr>
          <w:rFonts w:ascii="Arial" w:cs="Arial" w:eastAsia="Arial" w:hAnsi="Arial"/>
          <w:sz w:val="13"/>
          <w:szCs w:val="13"/>
          <w:color w:val="auto"/>
        </w:rPr>
      </w:pPr>
      <w:r>
        <w:rPr>
          <w:rFonts w:ascii="Arial" w:cs="Arial" w:eastAsia="Arial" w:hAnsi="Arial"/>
          <w:sz w:val="13"/>
          <w:szCs w:val="13"/>
          <w:color w:val="auto"/>
        </w:rPr>
        <w:t>to collect and receive any monies or other property payable or deliverable on any such claims and to distribute the same;</w:t>
      </w:r>
    </w:p>
    <w:p>
      <w:pPr>
        <w:spacing w:after="0" w:line="148" w:lineRule="exact"/>
        <w:rPr>
          <w:sz w:val="20"/>
          <w:szCs w:val="20"/>
          <w:color w:val="auto"/>
        </w:rPr>
      </w:pPr>
    </w:p>
    <w:p>
      <w:pPr>
        <w:jc w:val="both"/>
        <w:ind w:left="220"/>
        <w:spacing w:after="0" w:line="258" w:lineRule="auto"/>
        <w:rPr>
          <w:sz w:val="20"/>
          <w:szCs w:val="20"/>
          <w:color w:val="auto"/>
        </w:rPr>
      </w:pPr>
      <w:r>
        <w:rPr>
          <w:rFonts w:ascii="Arial" w:cs="Arial" w:eastAsia="Arial" w:hAnsi="Arial"/>
          <w:sz w:val="13"/>
          <w:szCs w:val="13"/>
          <w:color w:val="auto"/>
        </w:rPr>
        <w:t xml:space="preserve">and any custodian, receiver, assignee, trustee, liquidator, sequestrator or other similar official in any such judicial proceeding is hereby authorized by each Lender and the L/C Issuer to make such payments to the Agent and to pay to the Agent any amount due for the reasonable compensation, expenses, disbursements and advances of the Agent and its agents and counsel, and any other amounts due the Agent under </w:t>
      </w:r>
      <w:r>
        <w:rPr>
          <w:rFonts w:ascii="Arial" w:cs="Arial" w:eastAsia="Arial" w:hAnsi="Arial"/>
          <w:sz w:val="13"/>
          <w:szCs w:val="13"/>
          <w:u w:val="single" w:color="auto"/>
          <w:color w:val="auto"/>
        </w:rPr>
        <w:t>Sections 2.09</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10.04</w:t>
      </w:r>
      <w:r>
        <w:rPr>
          <w:rFonts w:ascii="Arial" w:cs="Arial" w:eastAsia="Arial" w:hAnsi="Arial"/>
          <w:sz w:val="13"/>
          <w:szCs w:val="13"/>
          <w:color w:val="auto"/>
        </w:rPr>
        <w:t>.</w:t>
      </w:r>
    </w:p>
    <w:p>
      <w:pPr>
        <w:spacing w:after="0" w:line="121" w:lineRule="exact"/>
        <w:rPr>
          <w:sz w:val="20"/>
          <w:szCs w:val="20"/>
          <w:color w:val="auto"/>
        </w:rPr>
      </w:pPr>
    </w:p>
    <w:p>
      <w:pPr>
        <w:jc w:val="both"/>
        <w:ind w:left="220" w:firstLine="808"/>
        <w:spacing w:after="0" w:line="314" w:lineRule="auto"/>
        <w:rPr>
          <w:sz w:val="20"/>
          <w:szCs w:val="20"/>
          <w:color w:val="auto"/>
        </w:rPr>
      </w:pPr>
      <w:r>
        <w:rPr>
          <w:rFonts w:ascii="Arial" w:cs="Arial" w:eastAsia="Arial" w:hAnsi="Arial"/>
          <w:sz w:val="12"/>
          <w:szCs w:val="12"/>
          <w:color w:val="auto"/>
        </w:rPr>
        <w:t>Nothing contained herein shall be deemed to authorize the Agent to authorize or consent to or accept or adopt on behalf of any Credit Party any plan of reorganization, arrangement, adjustment or composition affecting the Obligations or the rights of any Credit Party or to authorize the Agent to vote in respect of the claim of any Credit Party in any such proceeding.</w:t>
      </w:r>
    </w:p>
    <w:p>
      <w:pPr>
        <w:spacing w:after="0" w:line="85"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3"/>
          <w:szCs w:val="13"/>
          <w:b w:val="1"/>
          <w:bCs w:val="1"/>
          <w:color w:val="auto"/>
        </w:rPr>
        <w:t>9.10</w:t>
      </w:r>
      <w:r>
        <w:rPr>
          <w:sz w:val="20"/>
          <w:szCs w:val="20"/>
          <w:color w:val="auto"/>
        </w:rPr>
        <w:tab/>
      </w:r>
      <w:r>
        <w:rPr>
          <w:rFonts w:ascii="Arial" w:cs="Arial" w:eastAsia="Arial" w:hAnsi="Arial"/>
          <w:sz w:val="12"/>
          <w:szCs w:val="12"/>
          <w:b w:val="1"/>
          <w:bCs w:val="1"/>
          <w:color w:val="auto"/>
        </w:rPr>
        <w:t>Collateral and Guaranty Matters</w:t>
      </w:r>
      <w:r>
        <w:rPr>
          <w:rFonts w:ascii="Arial" w:cs="Arial" w:eastAsia="Arial" w:hAnsi="Arial"/>
          <w:sz w:val="12"/>
          <w:szCs w:val="12"/>
          <w:color w:val="auto"/>
        </w:rPr>
        <w:t>. The Credit Parties irrevocably authorize the Agent, at its option and in its discretion,</w:t>
      </w:r>
    </w:p>
    <w:p>
      <w:pPr>
        <w:spacing w:after="0" w:line="152" w:lineRule="exact"/>
        <w:rPr>
          <w:sz w:val="20"/>
          <w:szCs w:val="20"/>
          <w:color w:val="auto"/>
        </w:rPr>
      </w:pPr>
    </w:p>
    <w:p>
      <w:pPr>
        <w:jc w:val="both"/>
        <w:ind w:left="1080" w:firstLine="739"/>
        <w:spacing w:after="0" w:line="258" w:lineRule="auto"/>
        <w:tabs>
          <w:tab w:leader="none" w:pos="2403" w:val="left"/>
        </w:tabs>
        <w:numPr>
          <w:ilvl w:val="0"/>
          <w:numId w:val="161"/>
        </w:numPr>
        <w:rPr>
          <w:rFonts w:ascii="Arial" w:cs="Arial" w:eastAsia="Arial" w:hAnsi="Arial"/>
          <w:sz w:val="13"/>
          <w:szCs w:val="13"/>
          <w:color w:val="auto"/>
        </w:rPr>
      </w:pPr>
      <w:r>
        <w:rPr>
          <w:rFonts w:ascii="Arial" w:cs="Arial" w:eastAsia="Arial" w:hAnsi="Arial"/>
          <w:sz w:val="13"/>
          <w:szCs w:val="13"/>
          <w:color w:val="auto"/>
        </w:rPr>
        <w:t>to release any Lien on any property granted to or held by the Agent under any Loan Document (i) upon termination of the Aggregate Commitments and payment in full of all Obligations (other than contingent indemnification obligations for which no claim has been asserted) and the expiration, termination or Cash Collateralization of all Letters of Credit, (ii) that is sold or to be sold as part of or in connection with any sale permitted hereunder or under any</w:t>
      </w:r>
    </w:p>
    <w:p>
      <w:pPr>
        <w:spacing w:after="0" w:line="269"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123" w:name="page124"/>
    <w:bookmarkEnd w:id="123"/>
    <w:p>
      <w:pPr>
        <w:ind w:left="1080"/>
        <w:spacing w:after="0"/>
        <w:rPr>
          <w:sz w:val="20"/>
          <w:szCs w:val="20"/>
          <w:color w:val="auto"/>
        </w:rPr>
      </w:pPr>
      <w:r>
        <w:rPr>
          <w:rFonts w:ascii="Arial" w:cs="Arial" w:eastAsia="Arial" w:hAnsi="Arial"/>
          <w:sz w:val="13"/>
          <w:szCs w:val="13"/>
          <w:color w:val="auto"/>
        </w:rPr>
        <w:t xml:space="preserve">other Loan Document, or (iii) if approved, authorized or ratified in writing by the Applicable Lenders in accordance with </w:t>
      </w:r>
      <w:r>
        <w:rPr>
          <w:rFonts w:ascii="Arial" w:cs="Arial" w:eastAsia="Arial" w:hAnsi="Arial"/>
          <w:sz w:val="13"/>
          <w:szCs w:val="13"/>
          <w:u w:val="single" w:color="auto"/>
          <w:color w:val="auto"/>
        </w:rPr>
        <w:t>Section 10.01</w:t>
      </w:r>
      <w:r>
        <w:rPr>
          <w:rFonts w:ascii="Arial" w:cs="Arial" w:eastAsia="Arial" w:hAnsi="Arial"/>
          <w:sz w:val="13"/>
          <w:szCs w:val="13"/>
          <w:color w:val="auto"/>
        </w:rPr>
        <w:t>;</w:t>
      </w:r>
    </w:p>
    <w:p>
      <w:pPr>
        <w:spacing w:after="0" w:line="149" w:lineRule="exact"/>
        <w:rPr>
          <w:sz w:val="20"/>
          <w:szCs w:val="20"/>
          <w:color w:val="auto"/>
        </w:rPr>
      </w:pPr>
    </w:p>
    <w:p>
      <w:pPr>
        <w:ind w:left="1080" w:firstLine="739"/>
        <w:spacing w:after="0" w:line="271" w:lineRule="auto"/>
        <w:tabs>
          <w:tab w:leader="none" w:pos="2410" w:val="left"/>
        </w:tabs>
        <w:numPr>
          <w:ilvl w:val="0"/>
          <w:numId w:val="162"/>
        </w:numPr>
        <w:rPr>
          <w:rFonts w:ascii="Arial" w:cs="Arial" w:eastAsia="Arial" w:hAnsi="Arial"/>
          <w:sz w:val="13"/>
          <w:szCs w:val="13"/>
          <w:color w:val="auto"/>
        </w:rPr>
      </w:pPr>
      <w:r>
        <w:rPr>
          <w:rFonts w:ascii="Arial" w:cs="Arial" w:eastAsia="Arial" w:hAnsi="Arial"/>
          <w:sz w:val="13"/>
          <w:szCs w:val="13"/>
          <w:color w:val="auto"/>
        </w:rPr>
        <w:t>to subordinate any Lien on any property granted to or held by the Agent under any Loan Document to the holder of any Lien on such property that is permitted by clause (h) of the definition of Permitted Encumbrances; and</w:t>
      </w:r>
    </w:p>
    <w:p>
      <w:pPr>
        <w:spacing w:after="0" w:line="112" w:lineRule="exact"/>
        <w:rPr>
          <w:rFonts w:ascii="Arial" w:cs="Arial" w:eastAsia="Arial" w:hAnsi="Arial"/>
          <w:sz w:val="13"/>
          <w:szCs w:val="13"/>
          <w:color w:val="auto"/>
        </w:rPr>
      </w:pPr>
    </w:p>
    <w:p>
      <w:pPr>
        <w:ind w:left="2400" w:hanging="581"/>
        <w:spacing w:after="0"/>
        <w:tabs>
          <w:tab w:leader="none" w:pos="2400" w:val="left"/>
        </w:tabs>
        <w:numPr>
          <w:ilvl w:val="0"/>
          <w:numId w:val="162"/>
        </w:numPr>
        <w:rPr>
          <w:rFonts w:ascii="Arial" w:cs="Arial" w:eastAsia="Arial" w:hAnsi="Arial"/>
          <w:sz w:val="12"/>
          <w:szCs w:val="12"/>
          <w:color w:val="auto"/>
        </w:rPr>
      </w:pPr>
      <w:r>
        <w:rPr>
          <w:rFonts w:ascii="Arial" w:cs="Arial" w:eastAsia="Arial" w:hAnsi="Arial"/>
          <w:sz w:val="12"/>
          <w:szCs w:val="12"/>
          <w:color w:val="auto"/>
        </w:rPr>
        <w:t>to release any Guarantor from its obligations under the Facility Guaranty if such Person ceases to be a Subsidiary as a result of a transaction permitted hereunder.</w:t>
      </w:r>
    </w:p>
    <w:p>
      <w:pPr>
        <w:spacing w:after="0" w:line="159" w:lineRule="exact"/>
        <w:rPr>
          <w:sz w:val="20"/>
          <w:szCs w:val="20"/>
          <w:color w:val="auto"/>
        </w:rPr>
      </w:pPr>
    </w:p>
    <w:p>
      <w:pPr>
        <w:jc w:val="both"/>
        <w:ind w:left="220"/>
        <w:spacing w:after="0" w:line="252" w:lineRule="auto"/>
        <w:rPr>
          <w:sz w:val="20"/>
          <w:szCs w:val="20"/>
          <w:color w:val="auto"/>
        </w:rPr>
      </w:pPr>
      <w:r>
        <w:rPr>
          <w:rFonts w:ascii="Arial" w:cs="Arial" w:eastAsia="Arial" w:hAnsi="Arial"/>
          <w:sz w:val="13"/>
          <w:szCs w:val="13"/>
          <w:color w:val="auto"/>
        </w:rPr>
        <w:t xml:space="preserve">Upon request by the Agent at any time, the Applicable Lenders will confirm in writing the Agent’s authority to release or subordinate its interest in particular types or items of property, or to release any Guarantor from its obligations under the Facility Guaranty pursuant to this </w:t>
      </w:r>
      <w:r>
        <w:rPr>
          <w:rFonts w:ascii="Arial" w:cs="Arial" w:eastAsia="Arial" w:hAnsi="Arial"/>
          <w:sz w:val="13"/>
          <w:szCs w:val="13"/>
          <w:u w:val="single" w:color="auto"/>
          <w:color w:val="auto"/>
        </w:rPr>
        <w:t>Section 9.10</w:t>
      </w:r>
      <w:r>
        <w:rPr>
          <w:rFonts w:ascii="Arial" w:cs="Arial" w:eastAsia="Arial" w:hAnsi="Arial"/>
          <w:sz w:val="13"/>
          <w:szCs w:val="13"/>
          <w:color w:val="auto"/>
        </w:rPr>
        <w:t xml:space="preserve">. In each case as specified in this </w:t>
      </w:r>
      <w:r>
        <w:rPr>
          <w:rFonts w:ascii="Arial" w:cs="Arial" w:eastAsia="Arial" w:hAnsi="Arial"/>
          <w:sz w:val="13"/>
          <w:szCs w:val="13"/>
          <w:u w:val="single" w:color="auto"/>
          <w:color w:val="auto"/>
        </w:rPr>
        <w:t>Section 9.10</w:t>
      </w:r>
      <w:r>
        <w:rPr>
          <w:rFonts w:ascii="Arial" w:cs="Arial" w:eastAsia="Arial" w:hAnsi="Arial"/>
          <w:sz w:val="13"/>
          <w:szCs w:val="13"/>
          <w:color w:val="auto"/>
        </w:rPr>
        <w:t xml:space="preserve">, the Agent will, at the Loan Parties’ expense, execute and deliver to the applicable Loan Party such documents as such Loan Party may reasonably request to evidence the release of such item of Collateral from the assignment and security interest granted under the Security Documents or to subordinate its interest in such item, or to release such Guarantor from its obligations under the Facility Guaranty, in each case in accordance with the terms of the Loan Documents and this </w:t>
      </w:r>
      <w:r>
        <w:rPr>
          <w:rFonts w:ascii="Arial" w:cs="Arial" w:eastAsia="Arial" w:hAnsi="Arial"/>
          <w:sz w:val="13"/>
          <w:szCs w:val="13"/>
          <w:u w:val="single" w:color="auto"/>
          <w:color w:val="auto"/>
        </w:rPr>
        <w:t>Section 9.10</w:t>
      </w:r>
      <w:r>
        <w:rPr>
          <w:rFonts w:ascii="Arial" w:cs="Arial" w:eastAsia="Arial" w:hAnsi="Arial"/>
          <w:sz w:val="13"/>
          <w:szCs w:val="13"/>
          <w:color w:val="auto"/>
        </w:rPr>
        <w:t>.</w:t>
      </w:r>
    </w:p>
    <w:p>
      <w:pPr>
        <w:spacing w:after="0" w:line="121" w:lineRule="exact"/>
        <w:rPr>
          <w:sz w:val="20"/>
          <w:szCs w:val="20"/>
          <w:color w:val="auto"/>
        </w:rPr>
      </w:pPr>
    </w:p>
    <w:p>
      <w:pPr>
        <w:ind w:left="1040"/>
        <w:spacing w:after="0"/>
        <w:tabs>
          <w:tab w:leader="none" w:pos="1660" w:val="left"/>
        </w:tabs>
        <w:rPr>
          <w:sz w:val="20"/>
          <w:szCs w:val="20"/>
          <w:color w:val="auto"/>
        </w:rPr>
      </w:pPr>
      <w:r>
        <w:rPr>
          <w:rFonts w:ascii="Arial" w:cs="Arial" w:eastAsia="Arial" w:hAnsi="Arial"/>
          <w:sz w:val="13"/>
          <w:szCs w:val="13"/>
          <w:b w:val="1"/>
          <w:bCs w:val="1"/>
          <w:color w:val="auto"/>
        </w:rPr>
        <w:t>9.11</w:t>
      </w:r>
      <w:r>
        <w:rPr>
          <w:sz w:val="20"/>
          <w:szCs w:val="20"/>
          <w:color w:val="auto"/>
        </w:rPr>
        <w:tab/>
      </w:r>
      <w:r>
        <w:rPr>
          <w:rFonts w:ascii="Arial" w:cs="Arial" w:eastAsia="Arial" w:hAnsi="Arial"/>
          <w:sz w:val="11"/>
          <w:szCs w:val="11"/>
          <w:b w:val="1"/>
          <w:bCs w:val="1"/>
          <w:color w:val="auto"/>
        </w:rPr>
        <w:t>Notice of Transfer</w:t>
      </w:r>
      <w:r>
        <w:rPr>
          <w:rFonts w:ascii="Arial" w:cs="Arial" w:eastAsia="Arial" w:hAnsi="Arial"/>
          <w:sz w:val="11"/>
          <w:szCs w:val="11"/>
          <w:color w:val="auto"/>
        </w:rPr>
        <w:t>.</w:t>
      </w:r>
    </w:p>
    <w:p>
      <w:pPr>
        <w:spacing w:after="0" w:line="152" w:lineRule="exact"/>
        <w:rPr>
          <w:sz w:val="20"/>
          <w:szCs w:val="20"/>
          <w:color w:val="auto"/>
        </w:rPr>
      </w:pPr>
    </w:p>
    <w:p>
      <w:pPr>
        <w:jc w:val="both"/>
        <w:ind w:left="220" w:firstLine="808"/>
        <w:spacing w:after="0" w:line="271" w:lineRule="auto"/>
        <w:rPr>
          <w:sz w:val="20"/>
          <w:szCs w:val="20"/>
          <w:color w:val="auto"/>
        </w:rPr>
      </w:pPr>
      <w:r>
        <w:rPr>
          <w:rFonts w:ascii="Arial" w:cs="Arial" w:eastAsia="Arial" w:hAnsi="Arial"/>
          <w:sz w:val="13"/>
          <w:szCs w:val="13"/>
          <w:color w:val="auto"/>
        </w:rPr>
        <w:t xml:space="preserve">The Agent may deem and treat a Lender party to this Agreement as the owner of such Lender’s portion of the Obligations for all purposes, unless and until, and except to the extent, an Assignment and Acceptance shall have become effective as set forth in </w:t>
      </w:r>
      <w:r>
        <w:rPr>
          <w:rFonts w:ascii="Arial" w:cs="Arial" w:eastAsia="Arial" w:hAnsi="Arial"/>
          <w:sz w:val="13"/>
          <w:szCs w:val="13"/>
          <w:u w:val="single" w:color="auto"/>
          <w:color w:val="auto"/>
        </w:rPr>
        <w:t>Section 10.06</w:t>
      </w:r>
      <w:r>
        <w:rPr>
          <w:rFonts w:ascii="Arial" w:cs="Arial" w:eastAsia="Arial" w:hAnsi="Arial"/>
          <w:sz w:val="13"/>
          <w:szCs w:val="13"/>
          <w:color w:val="auto"/>
        </w:rPr>
        <w:t>.</w:t>
      </w:r>
    </w:p>
    <w:p>
      <w:pPr>
        <w:spacing w:after="0" w:line="109"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3"/>
          <w:szCs w:val="13"/>
          <w:b w:val="1"/>
          <w:bCs w:val="1"/>
          <w:color w:val="auto"/>
        </w:rPr>
        <w:t>9.12</w:t>
      </w:r>
      <w:r>
        <w:rPr>
          <w:sz w:val="20"/>
          <w:szCs w:val="20"/>
          <w:color w:val="auto"/>
        </w:rPr>
        <w:tab/>
      </w:r>
      <w:r>
        <w:rPr>
          <w:rFonts w:ascii="Arial" w:cs="Arial" w:eastAsia="Arial" w:hAnsi="Arial"/>
          <w:sz w:val="11"/>
          <w:szCs w:val="11"/>
          <w:b w:val="1"/>
          <w:bCs w:val="1"/>
          <w:color w:val="auto"/>
        </w:rPr>
        <w:t>Reports and Financial Statements</w:t>
      </w:r>
      <w:r>
        <w:rPr>
          <w:rFonts w:ascii="Arial" w:cs="Arial" w:eastAsia="Arial" w:hAnsi="Arial"/>
          <w:sz w:val="11"/>
          <w:szCs w:val="11"/>
          <w:color w:val="auto"/>
        </w:rPr>
        <w:t>.</w:t>
      </w:r>
    </w:p>
    <w:p>
      <w:pPr>
        <w:spacing w:after="0" w:line="152" w:lineRule="exact"/>
        <w:rPr>
          <w:sz w:val="20"/>
          <w:szCs w:val="20"/>
          <w:color w:val="auto"/>
        </w:rPr>
      </w:pPr>
    </w:p>
    <w:p>
      <w:pPr>
        <w:ind w:left="1060"/>
        <w:spacing w:after="0"/>
        <w:rPr>
          <w:sz w:val="20"/>
          <w:szCs w:val="20"/>
          <w:color w:val="auto"/>
        </w:rPr>
      </w:pPr>
      <w:r>
        <w:rPr>
          <w:rFonts w:ascii="Arial" w:cs="Arial" w:eastAsia="Arial" w:hAnsi="Arial"/>
          <w:sz w:val="13"/>
          <w:szCs w:val="13"/>
          <w:color w:val="auto"/>
        </w:rPr>
        <w:t>By signing this Agreement, each Lender:</w:t>
      </w:r>
    </w:p>
    <w:p>
      <w:pPr>
        <w:spacing w:after="0" w:line="148" w:lineRule="exact"/>
        <w:rPr>
          <w:sz w:val="20"/>
          <w:szCs w:val="20"/>
          <w:color w:val="auto"/>
        </w:rPr>
      </w:pPr>
    </w:p>
    <w:p>
      <w:pPr>
        <w:jc w:val="both"/>
        <w:ind w:left="1080" w:firstLine="739"/>
        <w:spacing w:after="0" w:line="254" w:lineRule="auto"/>
        <w:tabs>
          <w:tab w:leader="none" w:pos="2403" w:val="left"/>
        </w:tabs>
        <w:numPr>
          <w:ilvl w:val="0"/>
          <w:numId w:val="163"/>
        </w:numPr>
        <w:rPr>
          <w:rFonts w:ascii="Arial" w:cs="Arial" w:eastAsia="Arial" w:hAnsi="Arial"/>
          <w:sz w:val="13"/>
          <w:szCs w:val="13"/>
          <w:color w:val="auto"/>
        </w:rPr>
      </w:pPr>
      <w:r>
        <w:rPr>
          <w:rFonts w:ascii="Arial" w:cs="Arial" w:eastAsia="Arial" w:hAnsi="Arial"/>
          <w:sz w:val="13"/>
          <w:szCs w:val="13"/>
          <w:color w:val="auto"/>
        </w:rPr>
        <w:t>agrees to furnish the Agent after the occurrence and during the continuance of a Cash Dominion Event (and thereafter at such frequency as the Agent may reasonably request) with a summary of all Other Liabilities due or to become due to such Lender. In connection with any distributions to be made hereunder, the Agent shall be entitled to assume that no amounts are due to any Lender on account of Other Liabilities unless the Agent has received written notice thereof from such Lender and if such notice is received, the Agent shall be entitled to assume that the only amounts due to such Lender on account of Other Liabilities is the amount set forth in such notice;</w:t>
      </w:r>
    </w:p>
    <w:p>
      <w:pPr>
        <w:spacing w:after="0" w:line="123" w:lineRule="exact"/>
        <w:rPr>
          <w:rFonts w:ascii="Arial" w:cs="Arial" w:eastAsia="Arial" w:hAnsi="Arial"/>
          <w:sz w:val="13"/>
          <w:szCs w:val="13"/>
          <w:color w:val="auto"/>
        </w:rPr>
      </w:pPr>
    </w:p>
    <w:p>
      <w:pPr>
        <w:ind w:left="1080" w:firstLine="739"/>
        <w:spacing w:after="0" w:line="271" w:lineRule="auto"/>
        <w:tabs>
          <w:tab w:leader="none" w:pos="2410" w:val="left"/>
        </w:tabs>
        <w:numPr>
          <w:ilvl w:val="0"/>
          <w:numId w:val="163"/>
        </w:numPr>
        <w:rPr>
          <w:rFonts w:ascii="Arial" w:cs="Arial" w:eastAsia="Arial" w:hAnsi="Arial"/>
          <w:sz w:val="13"/>
          <w:szCs w:val="13"/>
          <w:color w:val="auto"/>
        </w:rPr>
      </w:pPr>
      <w:r>
        <w:rPr>
          <w:rFonts w:ascii="Arial" w:cs="Arial" w:eastAsia="Arial" w:hAnsi="Arial"/>
          <w:sz w:val="13"/>
          <w:szCs w:val="13"/>
          <w:color w:val="auto"/>
        </w:rPr>
        <w:t>is deemed to have requested that the Agent furnish, and the Agent agrees to furnish, such Lender, promptly after they become available, copies of all Borrowing Base Certificates and financial statements required to be delivered by the Lead Borrower hereunder</w:t>
      </w:r>
    </w:p>
    <w:p>
      <w:pPr>
        <w:spacing w:after="0" w:line="112" w:lineRule="exact"/>
        <w:rPr>
          <w:rFonts w:ascii="Arial" w:cs="Arial" w:eastAsia="Arial" w:hAnsi="Arial"/>
          <w:sz w:val="13"/>
          <w:szCs w:val="13"/>
          <w:color w:val="auto"/>
        </w:rPr>
      </w:pPr>
    </w:p>
    <w:p>
      <w:pPr>
        <w:ind w:left="1080" w:firstLine="739"/>
        <w:spacing w:after="0" w:line="271" w:lineRule="auto"/>
        <w:tabs>
          <w:tab w:leader="none" w:pos="2403" w:val="left"/>
        </w:tabs>
        <w:numPr>
          <w:ilvl w:val="0"/>
          <w:numId w:val="163"/>
        </w:numPr>
        <w:rPr>
          <w:rFonts w:ascii="Arial" w:cs="Arial" w:eastAsia="Arial" w:hAnsi="Arial"/>
          <w:sz w:val="13"/>
          <w:szCs w:val="13"/>
          <w:color w:val="auto"/>
        </w:rPr>
      </w:pPr>
      <w:r>
        <w:rPr>
          <w:rFonts w:ascii="Arial" w:cs="Arial" w:eastAsia="Arial" w:hAnsi="Arial"/>
          <w:sz w:val="13"/>
          <w:szCs w:val="13"/>
          <w:color w:val="auto"/>
        </w:rPr>
        <w:t>is deemed to have requested that the Agent furnish, and the Agent agrees to furnish, such Lender, promptly after they become available, copies of all commercial finance examinations and appraisals of the Collateral received by the Agent (collectively, the “Reports”);</w:t>
      </w:r>
    </w:p>
    <w:p>
      <w:pPr>
        <w:spacing w:after="0" w:line="112" w:lineRule="exact"/>
        <w:rPr>
          <w:rFonts w:ascii="Arial" w:cs="Arial" w:eastAsia="Arial" w:hAnsi="Arial"/>
          <w:sz w:val="13"/>
          <w:szCs w:val="13"/>
          <w:color w:val="auto"/>
        </w:rPr>
      </w:pPr>
    </w:p>
    <w:p>
      <w:pPr>
        <w:ind w:left="1080" w:firstLine="739"/>
        <w:spacing w:after="0" w:line="271" w:lineRule="auto"/>
        <w:tabs>
          <w:tab w:leader="none" w:pos="2410" w:val="left"/>
        </w:tabs>
        <w:numPr>
          <w:ilvl w:val="0"/>
          <w:numId w:val="163"/>
        </w:numPr>
        <w:rPr>
          <w:rFonts w:ascii="Arial" w:cs="Arial" w:eastAsia="Arial" w:hAnsi="Arial"/>
          <w:sz w:val="13"/>
          <w:szCs w:val="13"/>
          <w:color w:val="auto"/>
        </w:rPr>
      </w:pPr>
      <w:r>
        <w:rPr>
          <w:rFonts w:ascii="Arial" w:cs="Arial" w:eastAsia="Arial" w:hAnsi="Arial"/>
          <w:sz w:val="13"/>
          <w:szCs w:val="13"/>
          <w:color w:val="auto"/>
        </w:rPr>
        <w:t>expressly agrees and acknowledges that the Agent makes no representation or warranty as to the accuracy of the Borrowing Base Certificates, financial statements or Reports, and shall not be liable for any information contained in any Borrowing Base Certificate, financial statement or Report;</w:t>
      </w:r>
    </w:p>
    <w:p>
      <w:pPr>
        <w:spacing w:after="0" w:line="260"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124" w:name="page125"/>
    <w:bookmarkEnd w:id="124"/>
    <w:p>
      <w:pPr>
        <w:jc w:val="both"/>
        <w:ind w:left="1080" w:firstLine="739"/>
        <w:spacing w:after="0" w:line="259" w:lineRule="auto"/>
        <w:tabs>
          <w:tab w:leader="none" w:pos="2403" w:val="left"/>
        </w:tabs>
        <w:numPr>
          <w:ilvl w:val="0"/>
          <w:numId w:val="164"/>
        </w:numPr>
        <w:rPr>
          <w:rFonts w:ascii="Arial" w:cs="Arial" w:eastAsia="Arial" w:hAnsi="Arial"/>
          <w:sz w:val="13"/>
          <w:szCs w:val="13"/>
          <w:color w:val="auto"/>
        </w:rPr>
      </w:pPr>
      <w:r>
        <w:rPr>
          <w:rFonts w:ascii="Arial" w:cs="Arial" w:eastAsia="Arial" w:hAnsi="Arial"/>
          <w:sz w:val="13"/>
          <w:szCs w:val="13"/>
          <w:color w:val="auto"/>
        </w:rPr>
        <w:t>expressly agrees and acknowledges that the Reports are not comprehensive audits or examinations, that the Agent or any other party performing any audit or examination will inspect only specific information regarding the Loan Parties and will rely significantly upon the Loan Parties' books and records, as well as on representations of the Loan Parties' personnel;</w:t>
      </w:r>
    </w:p>
    <w:p>
      <w:pPr>
        <w:spacing w:after="0" w:line="120" w:lineRule="exact"/>
        <w:rPr>
          <w:rFonts w:ascii="Arial" w:cs="Arial" w:eastAsia="Arial" w:hAnsi="Arial"/>
          <w:sz w:val="13"/>
          <w:szCs w:val="13"/>
          <w:color w:val="auto"/>
        </w:rPr>
      </w:pPr>
    </w:p>
    <w:p>
      <w:pPr>
        <w:ind w:left="2380" w:hanging="561"/>
        <w:spacing w:after="0"/>
        <w:tabs>
          <w:tab w:leader="none" w:pos="2380" w:val="left"/>
        </w:tabs>
        <w:numPr>
          <w:ilvl w:val="0"/>
          <w:numId w:val="164"/>
        </w:numPr>
        <w:rPr>
          <w:rFonts w:ascii="Arial" w:cs="Arial" w:eastAsia="Arial" w:hAnsi="Arial"/>
          <w:sz w:val="12"/>
          <w:szCs w:val="12"/>
          <w:color w:val="auto"/>
        </w:rPr>
      </w:pPr>
      <w:r>
        <w:rPr>
          <w:rFonts w:ascii="Arial" w:cs="Arial" w:eastAsia="Arial" w:hAnsi="Arial"/>
          <w:sz w:val="12"/>
          <w:szCs w:val="12"/>
          <w:color w:val="auto"/>
        </w:rPr>
        <w:t xml:space="preserve">agrees to keep all Borrowing Base Certificates, financial statements and Reports confidential in accordance with the provisions of </w:t>
      </w:r>
      <w:r>
        <w:rPr>
          <w:rFonts w:ascii="Arial" w:cs="Arial" w:eastAsia="Arial" w:hAnsi="Arial"/>
          <w:sz w:val="12"/>
          <w:szCs w:val="12"/>
          <w:u w:val="single" w:color="auto"/>
          <w:color w:val="auto"/>
        </w:rPr>
        <w:t>Section 10.07</w:t>
      </w:r>
      <w:r>
        <w:rPr>
          <w:rFonts w:ascii="Arial" w:cs="Arial" w:eastAsia="Arial" w:hAnsi="Arial"/>
          <w:sz w:val="12"/>
          <w:szCs w:val="12"/>
          <w:color w:val="auto"/>
        </w:rPr>
        <w:t xml:space="preserve"> hereof; and</w:t>
      </w:r>
    </w:p>
    <w:p>
      <w:pPr>
        <w:spacing w:after="0" w:line="159" w:lineRule="exact"/>
        <w:rPr>
          <w:rFonts w:ascii="Arial" w:cs="Arial" w:eastAsia="Arial" w:hAnsi="Arial"/>
          <w:sz w:val="12"/>
          <w:szCs w:val="12"/>
          <w:color w:val="auto"/>
        </w:rPr>
      </w:pPr>
    </w:p>
    <w:p>
      <w:pPr>
        <w:jc w:val="both"/>
        <w:ind w:left="1080" w:firstLine="739"/>
        <w:spacing w:after="0" w:line="251" w:lineRule="auto"/>
        <w:tabs>
          <w:tab w:leader="none" w:pos="2410" w:val="left"/>
        </w:tabs>
        <w:numPr>
          <w:ilvl w:val="0"/>
          <w:numId w:val="164"/>
        </w:numPr>
        <w:rPr>
          <w:rFonts w:ascii="Arial" w:cs="Arial" w:eastAsia="Arial" w:hAnsi="Arial"/>
          <w:sz w:val="13"/>
          <w:szCs w:val="13"/>
          <w:color w:val="auto"/>
        </w:rPr>
      </w:pPr>
      <w:r>
        <w:rPr>
          <w:rFonts w:ascii="Arial" w:cs="Arial" w:eastAsia="Arial" w:hAnsi="Arial"/>
          <w:sz w:val="13"/>
          <w:szCs w:val="13"/>
          <w:color w:val="auto"/>
        </w:rPr>
        <w:t>without limiting the generality of any other indemnification provision contained in this Agreement, agrees: (i) to hold the Agent and any such other Lender preparing a Report harmless from any action the indemnifying Lender may take or conclusion the indemnifying Lender may reach or draw from any Report in connection with any Credit Extensions that the indemnifying Lender has made or may make to the Borrowers, or the indemnifying Lender's participation in, or the indemnifying Lender's purchase of, a Loan or Loans; and (ii) to pay and protect, and indemnify, defend, and hold the Agent and any such other Lender preparing a Report harmless from and against, the claims, actions, proceedings, damages, costs, expenses, and other amounts (including attorney costs) incurred by the Agent and any such other Lender preparing a Report as the direct or indirect result of any third parties who might obtain all or part of any Report through the indemnifying Lender.</w:t>
      </w:r>
    </w:p>
    <w:p>
      <w:pPr>
        <w:spacing w:after="0" w:line="121"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3"/>
          <w:szCs w:val="13"/>
          <w:b w:val="1"/>
          <w:bCs w:val="1"/>
          <w:color w:val="auto"/>
        </w:rPr>
        <w:t>9.13</w:t>
      </w:r>
      <w:r>
        <w:rPr>
          <w:sz w:val="20"/>
          <w:szCs w:val="20"/>
          <w:color w:val="auto"/>
        </w:rPr>
        <w:tab/>
      </w:r>
      <w:r>
        <w:rPr>
          <w:rFonts w:ascii="Arial" w:cs="Arial" w:eastAsia="Arial" w:hAnsi="Arial"/>
          <w:sz w:val="11"/>
          <w:szCs w:val="11"/>
          <w:b w:val="1"/>
          <w:bCs w:val="1"/>
          <w:color w:val="auto"/>
        </w:rPr>
        <w:t>Agency for Perfection</w:t>
      </w:r>
      <w:r>
        <w:rPr>
          <w:rFonts w:ascii="Arial" w:cs="Arial" w:eastAsia="Arial" w:hAnsi="Arial"/>
          <w:sz w:val="11"/>
          <w:szCs w:val="11"/>
          <w:color w:val="auto"/>
        </w:rPr>
        <w:t>.</w:t>
      </w:r>
    </w:p>
    <w:p>
      <w:pPr>
        <w:spacing w:after="0" w:line="152" w:lineRule="exact"/>
        <w:rPr>
          <w:sz w:val="20"/>
          <w:szCs w:val="20"/>
          <w:color w:val="auto"/>
        </w:rPr>
      </w:pPr>
    </w:p>
    <w:p>
      <w:pPr>
        <w:jc w:val="both"/>
        <w:ind w:left="220" w:firstLine="808"/>
        <w:spacing w:after="0" w:line="254" w:lineRule="auto"/>
        <w:rPr>
          <w:sz w:val="20"/>
          <w:szCs w:val="20"/>
          <w:color w:val="auto"/>
        </w:rPr>
      </w:pPr>
      <w:r>
        <w:rPr>
          <w:rFonts w:ascii="Arial" w:cs="Arial" w:eastAsia="Arial" w:hAnsi="Arial"/>
          <w:sz w:val="13"/>
          <w:szCs w:val="13"/>
          <w:color w:val="auto"/>
        </w:rPr>
        <w:t>Each Credit Party hereby appoints each other Credit Party as agent for the purpose of perfecting Liens for the benefit of the Credit Parties, in assets which, in accordance with Article 9 of the UCC or any other Law of the United States can be perfected only by possession or control. Should any Credit Party (other than the Agent) obtain possession or control of any such Collateral, such Credit Party shall notify the Agent thereof, and, promptly upon the Agent's request therefor shall deliver such Collateral to the Agent or otherwise deal with such Collateral in accordance with the Agent's instructions.</w:t>
      </w:r>
    </w:p>
    <w:p>
      <w:pPr>
        <w:spacing w:after="0" w:line="120" w:lineRule="exact"/>
        <w:rPr>
          <w:sz w:val="20"/>
          <w:szCs w:val="20"/>
          <w:color w:val="auto"/>
        </w:rPr>
      </w:pPr>
    </w:p>
    <w:p>
      <w:pPr>
        <w:jc w:val="both"/>
        <w:ind w:left="220" w:firstLine="809"/>
        <w:spacing w:after="0" w:line="275" w:lineRule="auto"/>
        <w:rPr>
          <w:sz w:val="20"/>
          <w:szCs w:val="20"/>
          <w:color w:val="auto"/>
        </w:rPr>
      </w:pPr>
      <w:r>
        <w:rPr>
          <w:rFonts w:ascii="Arial" w:cs="Arial" w:eastAsia="Arial" w:hAnsi="Arial"/>
          <w:sz w:val="12"/>
          <w:szCs w:val="12"/>
          <w:b w:val="1"/>
          <w:bCs w:val="1"/>
          <w:color w:val="auto"/>
        </w:rPr>
        <w:t>9.14 Indemnification of Agent</w:t>
      </w:r>
      <w:r>
        <w:rPr>
          <w:rFonts w:ascii="Arial" w:cs="Arial" w:eastAsia="Arial" w:hAnsi="Arial"/>
          <w:sz w:val="12"/>
          <w:szCs w:val="12"/>
          <w:color w:val="auto"/>
        </w:rPr>
        <w:t>. Without limiting the obligations of Loan Parties hereunder, to the extent that the Loan Parties for any reason fails to indefeasibly pay any amount</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required under </w:t>
      </w:r>
      <w:r>
        <w:rPr>
          <w:rFonts w:ascii="Arial" w:cs="Arial" w:eastAsia="Arial" w:hAnsi="Arial"/>
          <w:sz w:val="12"/>
          <w:szCs w:val="12"/>
          <w:u w:val="single" w:color="auto"/>
          <w:color w:val="auto"/>
        </w:rPr>
        <w:t>Section 10.04</w:t>
      </w:r>
      <w:r>
        <w:rPr>
          <w:rFonts w:ascii="Arial" w:cs="Arial" w:eastAsia="Arial" w:hAnsi="Arial"/>
          <w:sz w:val="12"/>
          <w:szCs w:val="12"/>
          <w:color w:val="auto"/>
        </w:rPr>
        <w:t xml:space="preserve"> to be paid by them to the Agent (or any sub-agent thereof), the Lenders shall indemnify the Agent, any sub-agent thereof, the L/C Issuer and any Related Party, as the case may be ratably according to their Applicable Percentages, from and against any and all liabilities, obligations, losses, damages, penalties, actions, judgments, suits, costs, expenses or disbursements of any kind or nature whatsoever that may be imposed on, incurred by, or asserted against the Agent, any sub-agent thereof, the L/C Issuer and their Related Parties in any way relating to or arising out of this Agreement or any other Loan Document or any action taken or omitted to be taken by the Agent, any sub-agent thereof, the L/C Issuer and their Related Parties in connection therewith; </w:t>
      </w:r>
      <w:r>
        <w:rPr>
          <w:rFonts w:ascii="Arial" w:cs="Arial" w:eastAsia="Arial" w:hAnsi="Arial"/>
          <w:sz w:val="12"/>
          <w:szCs w:val="12"/>
          <w:u w:val="single" w:color="auto"/>
          <w:color w:val="auto"/>
        </w:rPr>
        <w:t>provided</w:t>
      </w:r>
      <w:r>
        <w:rPr>
          <w:rFonts w:ascii="Arial" w:cs="Arial" w:eastAsia="Arial" w:hAnsi="Arial"/>
          <w:sz w:val="12"/>
          <w:szCs w:val="12"/>
          <w:color w:val="auto"/>
        </w:rPr>
        <w:t>, that no Lender shall be liable for any portion of such liabilities, obligations, losses, damages, penalties, actions, judgments, suits, costs, expenses or disbursements resulting from the Agent’s, any sub-agent’s, the L/C Issuer’s and their Related Parties’ gross negligence or willful misconduct as determined by a final and nonappealable judgment of a court of competent jurisdiction.</w:t>
      </w:r>
    </w:p>
    <w:p>
      <w:pPr>
        <w:spacing w:after="0" w:line="109" w:lineRule="exact"/>
        <w:rPr>
          <w:sz w:val="20"/>
          <w:szCs w:val="20"/>
          <w:color w:val="auto"/>
        </w:rPr>
      </w:pPr>
    </w:p>
    <w:p>
      <w:pPr>
        <w:jc w:val="both"/>
        <w:ind w:left="220" w:firstLine="809"/>
        <w:spacing w:after="0" w:line="278" w:lineRule="auto"/>
        <w:rPr>
          <w:sz w:val="20"/>
          <w:szCs w:val="20"/>
          <w:color w:val="auto"/>
        </w:rPr>
      </w:pPr>
      <w:r>
        <w:rPr>
          <w:rFonts w:ascii="Arial" w:cs="Arial" w:eastAsia="Arial" w:hAnsi="Arial"/>
          <w:sz w:val="13"/>
          <w:szCs w:val="13"/>
          <w:b w:val="1"/>
          <w:bCs w:val="1"/>
          <w:color w:val="auto"/>
        </w:rPr>
        <w:t xml:space="preserve">9.15 Relation among Lenders </w:t>
      </w:r>
      <w:r>
        <w:rPr>
          <w:rFonts w:ascii="Arial" w:cs="Arial" w:eastAsia="Arial" w:hAnsi="Arial"/>
          <w:sz w:val="13"/>
          <w:szCs w:val="13"/>
          <w:color w:val="auto"/>
        </w:rPr>
        <w:t>The Lenders are not partners or co-venturers, and no Lender shall be liable for the acts or omissions of, or (except as otherwise set forth herein in case of</w:t>
      </w:r>
      <w:r>
        <w:rPr>
          <w:rFonts w:ascii="Arial" w:cs="Arial" w:eastAsia="Arial" w:hAnsi="Arial"/>
          <w:sz w:val="13"/>
          <w:szCs w:val="13"/>
          <w:b w:val="1"/>
          <w:bCs w:val="1"/>
          <w:color w:val="auto"/>
        </w:rPr>
        <w:t xml:space="preserve"> </w:t>
      </w:r>
      <w:r>
        <w:rPr>
          <w:rFonts w:ascii="Arial" w:cs="Arial" w:eastAsia="Arial" w:hAnsi="Arial"/>
          <w:sz w:val="13"/>
          <w:szCs w:val="13"/>
          <w:color w:val="auto"/>
        </w:rPr>
        <w:t>the Agent) authorized to act for, any other Lender.</w:t>
      </w:r>
    </w:p>
    <w:p>
      <w:pPr>
        <w:spacing w:after="0" w:line="255"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125" w:name="page126"/>
    <w:bookmarkEnd w:id="125"/>
    <w:p>
      <w:pPr>
        <w:jc w:val="center"/>
        <w:ind w:right="-219"/>
        <w:spacing w:after="0"/>
        <w:rPr>
          <w:sz w:val="20"/>
          <w:szCs w:val="20"/>
          <w:color w:val="auto"/>
        </w:rPr>
      </w:pPr>
      <w:r>
        <w:rPr>
          <w:rFonts w:ascii="Arial" w:cs="Arial" w:eastAsia="Arial" w:hAnsi="Arial"/>
          <w:sz w:val="13"/>
          <w:szCs w:val="13"/>
          <w:b w:val="1"/>
          <w:bCs w:val="1"/>
          <w:color w:val="auto"/>
        </w:rPr>
        <w:t>ARTICLE X MISCELLANEOUS</w:t>
      </w:r>
    </w:p>
    <w:p>
      <w:pPr>
        <w:spacing w:after="0" w:line="149" w:lineRule="exact"/>
        <w:rPr>
          <w:sz w:val="20"/>
          <w:szCs w:val="20"/>
          <w:color w:val="auto"/>
        </w:rPr>
      </w:pPr>
    </w:p>
    <w:p>
      <w:pPr>
        <w:jc w:val="both"/>
        <w:ind w:left="220" w:firstLine="808"/>
        <w:spacing w:after="0" w:line="261" w:lineRule="auto"/>
        <w:rPr>
          <w:sz w:val="20"/>
          <w:szCs w:val="20"/>
          <w:color w:val="auto"/>
        </w:rPr>
      </w:pPr>
      <w:r>
        <w:rPr>
          <w:rFonts w:ascii="Arial" w:cs="Arial" w:eastAsia="Arial" w:hAnsi="Arial"/>
          <w:sz w:val="13"/>
          <w:szCs w:val="13"/>
          <w:b w:val="1"/>
          <w:bCs w:val="1"/>
          <w:color w:val="auto"/>
        </w:rPr>
        <w:t xml:space="preserve">10.01 Amendments, Etc. </w:t>
      </w:r>
      <w:r>
        <w:rPr>
          <w:rFonts w:ascii="Arial" w:cs="Arial" w:eastAsia="Arial" w:hAnsi="Arial"/>
          <w:sz w:val="13"/>
          <w:szCs w:val="13"/>
          <w:color w:val="auto"/>
        </w:rPr>
        <w:t>(a) No amendment or waiver of any provision of this Agreement or any other Loan Document, and no Consent to any departure by any Loan Party therefrom,</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shall be effective unless in writing signed by the Agent, with the Consent of the Required Lenders, and the Lead Borrower or the applicable Loan Party, as the case may be, and each such waiver or Consent shall be effective only in the specific instance and for the specific purpose for which given;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no such amendment, waiver or consent shall:</w:t>
      </w:r>
    </w:p>
    <w:p>
      <w:pPr>
        <w:spacing w:after="0" w:line="120" w:lineRule="exact"/>
        <w:rPr>
          <w:sz w:val="20"/>
          <w:szCs w:val="20"/>
          <w:color w:val="auto"/>
        </w:rPr>
      </w:pPr>
    </w:p>
    <w:p>
      <w:pPr>
        <w:ind w:left="3120" w:hanging="556"/>
        <w:spacing w:after="0"/>
        <w:tabs>
          <w:tab w:leader="none" w:pos="3120" w:val="left"/>
        </w:tabs>
        <w:numPr>
          <w:ilvl w:val="0"/>
          <w:numId w:val="165"/>
        </w:numPr>
        <w:rPr>
          <w:rFonts w:ascii="Arial" w:cs="Arial" w:eastAsia="Arial" w:hAnsi="Arial"/>
          <w:sz w:val="12"/>
          <w:szCs w:val="12"/>
          <w:color w:val="auto"/>
        </w:rPr>
      </w:pPr>
      <w:r>
        <w:rPr>
          <w:rFonts w:ascii="Arial" w:cs="Arial" w:eastAsia="Arial" w:hAnsi="Arial"/>
          <w:sz w:val="12"/>
          <w:szCs w:val="12"/>
          <w:color w:val="auto"/>
        </w:rPr>
        <w:t xml:space="preserve">increase the Commitment of any Lender (or reinstate any Commitment terminated pursuant to </w:t>
      </w:r>
      <w:r>
        <w:rPr>
          <w:rFonts w:ascii="Arial" w:cs="Arial" w:eastAsia="Arial" w:hAnsi="Arial"/>
          <w:sz w:val="12"/>
          <w:szCs w:val="12"/>
          <w:u w:val="single" w:color="auto"/>
          <w:color w:val="auto"/>
        </w:rPr>
        <w:t>Section 8.02</w:t>
      </w:r>
      <w:r>
        <w:rPr>
          <w:rFonts w:ascii="Arial" w:cs="Arial" w:eastAsia="Arial" w:hAnsi="Arial"/>
          <w:sz w:val="12"/>
          <w:szCs w:val="12"/>
          <w:color w:val="auto"/>
        </w:rPr>
        <w:t>) without the written Consent of such Lender;</w:t>
      </w:r>
    </w:p>
    <w:p>
      <w:pPr>
        <w:spacing w:after="0" w:line="159" w:lineRule="exact"/>
        <w:rPr>
          <w:rFonts w:ascii="Arial" w:cs="Arial" w:eastAsia="Arial" w:hAnsi="Arial"/>
          <w:sz w:val="12"/>
          <w:szCs w:val="12"/>
          <w:color w:val="auto"/>
        </w:rPr>
      </w:pPr>
    </w:p>
    <w:p>
      <w:pPr>
        <w:jc w:val="both"/>
        <w:ind w:left="1080" w:firstLine="1484"/>
        <w:spacing w:after="0" w:line="290" w:lineRule="auto"/>
        <w:tabs>
          <w:tab w:leader="none" w:pos="3165" w:val="left"/>
        </w:tabs>
        <w:numPr>
          <w:ilvl w:val="0"/>
          <w:numId w:val="165"/>
        </w:numPr>
        <w:rPr>
          <w:rFonts w:ascii="Arial" w:cs="Arial" w:eastAsia="Arial" w:hAnsi="Arial"/>
          <w:sz w:val="12"/>
          <w:szCs w:val="12"/>
          <w:color w:val="auto"/>
        </w:rPr>
      </w:pPr>
      <w:r>
        <w:rPr>
          <w:rFonts w:ascii="Arial" w:cs="Arial" w:eastAsia="Arial" w:hAnsi="Arial"/>
          <w:sz w:val="12"/>
          <w:szCs w:val="12"/>
          <w:color w:val="auto"/>
        </w:rPr>
        <w:t>as to any Lender, postpone any date fixed by this Agreement or any other Loan Document for (i) any scheduled payment (including the Maturity Date) of principal, interest, fees or other amounts due hereunder or under any of the other Loan Documents without the written Consent of such Lender, or (ii) any scheduled or mandatory reduction or termination of the Aggregate Revolving Commitments hereunder or under any other Loan Document, without the written Consent of such Lender;</w:t>
      </w:r>
    </w:p>
    <w:p>
      <w:pPr>
        <w:spacing w:after="0" w:line="103" w:lineRule="exact"/>
        <w:rPr>
          <w:rFonts w:ascii="Arial" w:cs="Arial" w:eastAsia="Arial" w:hAnsi="Arial"/>
          <w:sz w:val="12"/>
          <w:szCs w:val="12"/>
          <w:color w:val="auto"/>
        </w:rPr>
      </w:pPr>
    </w:p>
    <w:p>
      <w:pPr>
        <w:jc w:val="both"/>
        <w:ind w:left="1080" w:firstLine="1484"/>
        <w:spacing w:after="0" w:line="254" w:lineRule="auto"/>
        <w:tabs>
          <w:tab w:leader="none" w:pos="3202" w:val="left"/>
        </w:tabs>
        <w:numPr>
          <w:ilvl w:val="0"/>
          <w:numId w:val="165"/>
        </w:numPr>
        <w:rPr>
          <w:rFonts w:ascii="Arial" w:cs="Arial" w:eastAsia="Arial" w:hAnsi="Arial"/>
          <w:sz w:val="13"/>
          <w:szCs w:val="13"/>
          <w:color w:val="auto"/>
        </w:rPr>
      </w:pPr>
      <w:r>
        <w:rPr>
          <w:rFonts w:ascii="Arial" w:cs="Arial" w:eastAsia="Arial" w:hAnsi="Arial"/>
          <w:sz w:val="13"/>
          <w:szCs w:val="13"/>
          <w:color w:val="auto"/>
        </w:rPr>
        <w:t xml:space="preserve">as to any Lender, reduce the principal of, or the rate of interest specified herein on, any Loan or L/C Borrowing held by such Lender, or (subject to clause (iv) of the second proviso to this </w:t>
      </w:r>
      <w:r>
        <w:rPr>
          <w:rFonts w:ascii="Arial" w:cs="Arial" w:eastAsia="Arial" w:hAnsi="Arial"/>
          <w:sz w:val="13"/>
          <w:szCs w:val="13"/>
          <w:u w:val="single" w:color="auto"/>
          <w:color w:val="auto"/>
        </w:rPr>
        <w:t>Section 10.01</w:t>
      </w:r>
      <w:r>
        <w:rPr>
          <w:rFonts w:ascii="Arial" w:cs="Arial" w:eastAsia="Arial" w:hAnsi="Arial"/>
          <w:sz w:val="13"/>
          <w:szCs w:val="13"/>
          <w:color w:val="auto"/>
        </w:rPr>
        <w:t xml:space="preserve">) any fees or other amounts payable hereunder or under any other Loan Document to or for the account of such Lender, without the written Consent of such Lender;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only the Consent of the Required Lenders shall be necessary (i) to amend the definition of “Default Rate” or to waive any obligation of the Borrowers to pay interest or Letter of Credit Fees at the Default Rate;</w:t>
      </w:r>
    </w:p>
    <w:p>
      <w:pPr>
        <w:spacing w:after="0" w:line="123" w:lineRule="exact"/>
        <w:rPr>
          <w:rFonts w:ascii="Arial" w:cs="Arial" w:eastAsia="Arial" w:hAnsi="Arial"/>
          <w:sz w:val="13"/>
          <w:szCs w:val="13"/>
          <w:color w:val="auto"/>
        </w:rPr>
      </w:pPr>
    </w:p>
    <w:p>
      <w:pPr>
        <w:ind w:left="3180" w:hanging="616"/>
        <w:spacing w:after="0"/>
        <w:tabs>
          <w:tab w:leader="none" w:pos="3180" w:val="left"/>
        </w:tabs>
        <w:numPr>
          <w:ilvl w:val="0"/>
          <w:numId w:val="165"/>
        </w:numPr>
        <w:rPr>
          <w:rFonts w:ascii="Arial" w:cs="Arial" w:eastAsia="Arial" w:hAnsi="Arial"/>
          <w:sz w:val="11"/>
          <w:szCs w:val="11"/>
          <w:color w:val="auto"/>
        </w:rPr>
      </w:pPr>
      <w:r>
        <w:rPr>
          <w:rFonts w:ascii="Arial" w:cs="Arial" w:eastAsia="Arial" w:hAnsi="Arial"/>
          <w:sz w:val="11"/>
          <w:szCs w:val="11"/>
          <w:color w:val="auto"/>
        </w:rPr>
        <w:t xml:space="preserve">as to any Lender, change </w:t>
      </w:r>
      <w:r>
        <w:rPr>
          <w:rFonts w:ascii="Arial" w:cs="Arial" w:eastAsia="Arial" w:hAnsi="Arial"/>
          <w:sz w:val="11"/>
          <w:szCs w:val="11"/>
          <w:u w:val="single" w:color="auto"/>
          <w:color w:val="auto"/>
        </w:rPr>
        <w:t>Section 2.13</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Section 8.03</w:t>
      </w:r>
      <w:r>
        <w:rPr>
          <w:rFonts w:ascii="Arial" w:cs="Arial" w:eastAsia="Arial" w:hAnsi="Arial"/>
          <w:sz w:val="11"/>
          <w:szCs w:val="11"/>
          <w:color w:val="auto"/>
        </w:rPr>
        <w:t xml:space="preserve"> in a manner that would alter the pro rata sharing of payments required thereby without the written</w:t>
      </w:r>
    </w:p>
    <w:p>
      <w:pPr>
        <w:spacing w:after="0" w:line="36" w:lineRule="exact"/>
        <w:rPr>
          <w:rFonts w:ascii="Arial" w:cs="Arial" w:eastAsia="Arial" w:hAnsi="Arial"/>
          <w:sz w:val="11"/>
          <w:szCs w:val="11"/>
          <w:color w:val="auto"/>
        </w:rPr>
      </w:pPr>
    </w:p>
    <w:p>
      <w:pPr>
        <w:ind w:left="1080"/>
        <w:spacing w:after="0"/>
        <w:rPr>
          <w:rFonts w:ascii="Arial" w:cs="Arial" w:eastAsia="Arial" w:hAnsi="Arial"/>
          <w:sz w:val="11"/>
          <w:szCs w:val="11"/>
          <w:color w:val="auto"/>
        </w:rPr>
      </w:pPr>
      <w:r>
        <w:rPr>
          <w:rFonts w:ascii="Arial" w:cs="Arial" w:eastAsia="Arial" w:hAnsi="Arial"/>
          <w:sz w:val="13"/>
          <w:szCs w:val="13"/>
          <w:color w:val="auto"/>
        </w:rPr>
        <w:t>Consent of such Lender;</w:t>
      </w:r>
    </w:p>
    <w:p>
      <w:pPr>
        <w:spacing w:after="0" w:line="137" w:lineRule="exact"/>
        <w:rPr>
          <w:rFonts w:ascii="Arial" w:cs="Arial" w:eastAsia="Arial" w:hAnsi="Arial"/>
          <w:sz w:val="11"/>
          <w:szCs w:val="11"/>
          <w:color w:val="auto"/>
        </w:rPr>
      </w:pPr>
    </w:p>
    <w:p>
      <w:pPr>
        <w:jc w:val="both"/>
        <w:ind w:left="1080" w:firstLine="1484"/>
        <w:spacing w:after="0" w:line="258" w:lineRule="auto"/>
        <w:tabs>
          <w:tab w:leader="none" w:pos="3157" w:val="left"/>
        </w:tabs>
        <w:numPr>
          <w:ilvl w:val="0"/>
          <w:numId w:val="165"/>
        </w:numPr>
        <w:rPr>
          <w:rFonts w:ascii="Arial" w:cs="Arial" w:eastAsia="Arial" w:hAnsi="Arial"/>
          <w:sz w:val="13"/>
          <w:szCs w:val="13"/>
          <w:color w:val="auto"/>
        </w:rPr>
      </w:pPr>
      <w:r>
        <w:rPr>
          <w:rFonts w:ascii="Arial" w:cs="Arial" w:eastAsia="Arial" w:hAnsi="Arial"/>
          <w:sz w:val="13"/>
          <w:szCs w:val="13"/>
          <w:color w:val="auto"/>
        </w:rPr>
        <w:t>change any provision of this Section or the definition of “Required Lenders”, “Required Supermajority Lenders” or any other provision hereof or of any Loan Document specifying the number or percentage of Lenders required to amend, waive or otherwise modify any rights hereunder or under any other Loan Document or make any determination or grant any consent hereunder or thereunder, without the written Consent of each Lender;</w:t>
      </w:r>
    </w:p>
    <w:p>
      <w:pPr>
        <w:spacing w:after="0" w:line="121" w:lineRule="exact"/>
        <w:rPr>
          <w:rFonts w:ascii="Arial" w:cs="Arial" w:eastAsia="Arial" w:hAnsi="Arial"/>
          <w:sz w:val="13"/>
          <w:szCs w:val="13"/>
          <w:color w:val="auto"/>
        </w:rPr>
      </w:pPr>
    </w:p>
    <w:p>
      <w:pPr>
        <w:ind w:left="3180" w:hanging="617"/>
        <w:spacing w:after="0"/>
        <w:tabs>
          <w:tab w:leader="none" w:pos="3180" w:val="left"/>
        </w:tabs>
        <w:numPr>
          <w:ilvl w:val="0"/>
          <w:numId w:val="165"/>
        </w:numPr>
        <w:rPr>
          <w:rFonts w:ascii="Arial" w:cs="Arial" w:eastAsia="Arial" w:hAnsi="Arial"/>
          <w:sz w:val="12"/>
          <w:szCs w:val="12"/>
          <w:color w:val="auto"/>
        </w:rPr>
      </w:pPr>
      <w:r>
        <w:rPr>
          <w:rFonts w:ascii="Arial" w:cs="Arial" w:eastAsia="Arial" w:hAnsi="Arial"/>
          <w:sz w:val="12"/>
          <w:szCs w:val="12"/>
          <w:color w:val="auto"/>
        </w:rPr>
        <w:t>except as expressly permitted hereunder or under any other Loan Document, release, or limit the liability of, any Loan Party without the written</w:t>
      </w:r>
    </w:p>
    <w:p>
      <w:pPr>
        <w:spacing w:after="0" w:line="25" w:lineRule="exact"/>
        <w:rPr>
          <w:rFonts w:ascii="Arial" w:cs="Arial" w:eastAsia="Arial" w:hAnsi="Arial"/>
          <w:sz w:val="12"/>
          <w:szCs w:val="12"/>
          <w:color w:val="auto"/>
        </w:rPr>
      </w:pPr>
    </w:p>
    <w:p>
      <w:pPr>
        <w:ind w:left="1080"/>
        <w:spacing w:after="0"/>
        <w:rPr>
          <w:rFonts w:ascii="Arial" w:cs="Arial" w:eastAsia="Arial" w:hAnsi="Arial"/>
          <w:sz w:val="12"/>
          <w:szCs w:val="12"/>
          <w:color w:val="auto"/>
        </w:rPr>
      </w:pPr>
      <w:r>
        <w:rPr>
          <w:rFonts w:ascii="Arial" w:cs="Arial" w:eastAsia="Arial" w:hAnsi="Arial"/>
          <w:sz w:val="13"/>
          <w:szCs w:val="13"/>
          <w:color w:val="auto"/>
        </w:rPr>
        <w:t>Consent of each Lender;</w:t>
      </w:r>
    </w:p>
    <w:p>
      <w:pPr>
        <w:spacing w:after="0" w:line="137" w:lineRule="exact"/>
        <w:rPr>
          <w:rFonts w:ascii="Arial" w:cs="Arial" w:eastAsia="Arial" w:hAnsi="Arial"/>
          <w:sz w:val="12"/>
          <w:szCs w:val="12"/>
          <w:color w:val="auto"/>
        </w:rPr>
      </w:pPr>
    </w:p>
    <w:p>
      <w:pPr>
        <w:ind w:left="1080" w:firstLine="1483"/>
        <w:spacing w:after="0" w:line="271" w:lineRule="auto"/>
        <w:tabs>
          <w:tab w:leader="none" w:pos="3229" w:val="left"/>
        </w:tabs>
        <w:numPr>
          <w:ilvl w:val="0"/>
          <w:numId w:val="165"/>
        </w:numPr>
        <w:rPr>
          <w:rFonts w:ascii="Arial" w:cs="Arial" w:eastAsia="Arial" w:hAnsi="Arial"/>
          <w:sz w:val="13"/>
          <w:szCs w:val="13"/>
          <w:color w:val="auto"/>
        </w:rPr>
      </w:pPr>
      <w:r>
        <w:rPr>
          <w:rFonts w:ascii="Arial" w:cs="Arial" w:eastAsia="Arial" w:hAnsi="Arial"/>
          <w:sz w:val="13"/>
          <w:szCs w:val="13"/>
          <w:color w:val="auto"/>
        </w:rPr>
        <w:t xml:space="preserve">except for Permitted Dispositions or as provided in </w:t>
      </w:r>
      <w:r>
        <w:rPr>
          <w:rFonts w:ascii="Arial" w:cs="Arial" w:eastAsia="Arial" w:hAnsi="Arial"/>
          <w:sz w:val="13"/>
          <w:szCs w:val="13"/>
          <w:u w:val="single" w:color="auto"/>
          <w:color w:val="auto"/>
        </w:rPr>
        <w:t>Section 9.10</w:t>
      </w:r>
      <w:r>
        <w:rPr>
          <w:rFonts w:ascii="Arial" w:cs="Arial" w:eastAsia="Arial" w:hAnsi="Arial"/>
          <w:sz w:val="13"/>
          <w:szCs w:val="13"/>
          <w:color w:val="auto"/>
        </w:rPr>
        <w:t>, release all or substantially all of the Collateral from the Liens of the Security Documents without the written Consent of each Lender;</w:t>
      </w:r>
    </w:p>
    <w:p>
      <w:pPr>
        <w:spacing w:after="0" w:line="112" w:lineRule="exact"/>
        <w:rPr>
          <w:rFonts w:ascii="Arial" w:cs="Arial" w:eastAsia="Arial" w:hAnsi="Arial"/>
          <w:sz w:val="13"/>
          <w:szCs w:val="13"/>
          <w:color w:val="auto"/>
        </w:rPr>
      </w:pPr>
    </w:p>
    <w:p>
      <w:pPr>
        <w:ind w:left="3260" w:hanging="696"/>
        <w:spacing w:after="0"/>
        <w:tabs>
          <w:tab w:leader="none" w:pos="3260" w:val="left"/>
        </w:tabs>
        <w:numPr>
          <w:ilvl w:val="0"/>
          <w:numId w:val="165"/>
        </w:numPr>
        <w:rPr>
          <w:rFonts w:ascii="Arial" w:cs="Arial" w:eastAsia="Arial" w:hAnsi="Arial"/>
          <w:sz w:val="12"/>
          <w:szCs w:val="12"/>
          <w:color w:val="auto"/>
        </w:rPr>
      </w:pPr>
      <w:r>
        <w:rPr>
          <w:rFonts w:ascii="Arial" w:cs="Arial" w:eastAsia="Arial" w:hAnsi="Arial"/>
          <w:sz w:val="12"/>
          <w:szCs w:val="12"/>
          <w:color w:val="auto"/>
        </w:rPr>
        <w:t xml:space="preserve">except as provided in </w:t>
      </w:r>
      <w:r>
        <w:rPr>
          <w:rFonts w:ascii="Arial" w:cs="Arial" w:eastAsia="Arial" w:hAnsi="Arial"/>
          <w:sz w:val="12"/>
          <w:szCs w:val="12"/>
          <w:u w:val="single" w:color="auto"/>
          <w:color w:val="auto"/>
        </w:rPr>
        <w:t>Section 2.15</w:t>
      </w:r>
      <w:r>
        <w:rPr>
          <w:rFonts w:ascii="Arial" w:cs="Arial" w:eastAsia="Arial" w:hAnsi="Arial"/>
          <w:sz w:val="12"/>
          <w:szCs w:val="12"/>
          <w:color w:val="auto"/>
        </w:rPr>
        <w:t>, increase the Aggregate Revolving Commitments without the written Consent of each Revolving Lender;</w:t>
      </w:r>
    </w:p>
    <w:p>
      <w:pPr>
        <w:spacing w:after="0" w:line="159" w:lineRule="exact"/>
        <w:rPr>
          <w:rFonts w:ascii="Arial" w:cs="Arial" w:eastAsia="Arial" w:hAnsi="Arial"/>
          <w:sz w:val="12"/>
          <w:szCs w:val="12"/>
          <w:color w:val="auto"/>
        </w:rPr>
      </w:pPr>
    </w:p>
    <w:p>
      <w:pPr>
        <w:ind w:left="3180" w:hanging="616"/>
        <w:spacing w:after="0"/>
        <w:tabs>
          <w:tab w:leader="none" w:pos="3180" w:val="left"/>
        </w:tabs>
        <w:numPr>
          <w:ilvl w:val="0"/>
          <w:numId w:val="165"/>
        </w:numPr>
        <w:rPr>
          <w:rFonts w:ascii="Arial" w:cs="Arial" w:eastAsia="Arial" w:hAnsi="Arial"/>
          <w:sz w:val="12"/>
          <w:szCs w:val="12"/>
          <w:color w:val="auto"/>
        </w:rPr>
      </w:pPr>
      <w:r>
        <w:rPr>
          <w:rFonts w:ascii="Arial" w:cs="Arial" w:eastAsia="Arial" w:hAnsi="Arial"/>
          <w:sz w:val="12"/>
          <w:szCs w:val="12"/>
          <w:color w:val="auto"/>
        </w:rPr>
        <w:t>increase any advance rate percentage set forth in the definition of the terms “Borrowing Base” or “FILO Borrowing Base” without the written Consent</w:t>
      </w:r>
    </w:p>
    <w:p>
      <w:pPr>
        <w:spacing w:after="0" w:line="25" w:lineRule="exact"/>
        <w:rPr>
          <w:rFonts w:ascii="Arial" w:cs="Arial" w:eastAsia="Arial" w:hAnsi="Arial"/>
          <w:sz w:val="12"/>
          <w:szCs w:val="12"/>
          <w:color w:val="auto"/>
        </w:rPr>
      </w:pPr>
    </w:p>
    <w:p>
      <w:pPr>
        <w:ind w:left="1080"/>
        <w:spacing w:after="0"/>
        <w:rPr>
          <w:rFonts w:ascii="Arial" w:cs="Arial" w:eastAsia="Arial" w:hAnsi="Arial"/>
          <w:sz w:val="12"/>
          <w:szCs w:val="12"/>
          <w:color w:val="auto"/>
        </w:rPr>
      </w:pPr>
      <w:r>
        <w:rPr>
          <w:rFonts w:ascii="Arial" w:cs="Arial" w:eastAsia="Arial" w:hAnsi="Arial"/>
          <w:sz w:val="13"/>
          <w:szCs w:val="13"/>
          <w:color w:val="auto"/>
        </w:rPr>
        <w:t>of each Lender</w:t>
      </w:r>
    </w:p>
    <w:p>
      <w:pPr>
        <w:spacing w:after="0" w:line="285"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4" w:right="439" w:bottom="1440" w:gutter="0" w:footer="0" w:header="0"/>
        </w:sectPr>
      </w:pPr>
    </w:p>
    <w:bookmarkStart w:id="126" w:name="page127"/>
    <w:bookmarkEnd w:id="126"/>
    <w:p>
      <w:pPr>
        <w:jc w:val="both"/>
        <w:ind w:left="1080"/>
        <w:spacing w:after="0" w:line="255" w:lineRule="auto"/>
        <w:rPr>
          <w:sz w:val="20"/>
          <w:szCs w:val="20"/>
          <w:color w:val="auto"/>
        </w:rPr>
      </w:pPr>
      <w:r>
        <w:rPr>
          <w:rFonts w:ascii="Arial" w:cs="Arial" w:eastAsia="Arial" w:hAnsi="Arial"/>
          <w:sz w:val="13"/>
          <w:szCs w:val="13"/>
          <w:color w:val="auto"/>
        </w:rPr>
        <w:t xml:space="preserve">or otherwise change the definition of the terms “Borrowing Base” or “FILO Borrowing Base” or any component definition thereof if as a result thereof the amounts available to be borrowed by the Borrowers would be increased without the written Consent of the Required Supermajority Lenders, </w:t>
      </w:r>
      <w:r>
        <w:rPr>
          <w:rFonts w:ascii="Arial" w:cs="Arial" w:eastAsia="Arial" w:hAnsi="Arial"/>
          <w:sz w:val="13"/>
          <w:szCs w:val="13"/>
          <w:i w:val="1"/>
          <w:iCs w:val="1"/>
          <w:color w:val="auto"/>
        </w:rPr>
        <w:t>provided that</w:t>
      </w:r>
      <w:r>
        <w:rPr>
          <w:rFonts w:ascii="Arial" w:cs="Arial" w:eastAsia="Arial" w:hAnsi="Arial"/>
          <w:sz w:val="13"/>
          <w:szCs w:val="13"/>
          <w:color w:val="auto"/>
        </w:rPr>
        <w:t xml:space="preserve"> the foregoing shall not (i) limit the discretion of the Agent to change, establish or eliminate any Reserves; or (ii) prevent the Agent from restoring any component of Borrowing Base and/or the FILO Borrowing Base which had been lowered by the Agent back to the value of such component, as stated in this Agreement or to an intermediate value;</w:t>
      </w:r>
    </w:p>
    <w:p>
      <w:pPr>
        <w:spacing w:after="0" w:line="123" w:lineRule="exact"/>
        <w:rPr>
          <w:sz w:val="20"/>
          <w:szCs w:val="20"/>
          <w:color w:val="auto"/>
        </w:rPr>
      </w:pPr>
    </w:p>
    <w:p>
      <w:pPr>
        <w:ind w:left="1080" w:firstLine="1483"/>
        <w:spacing w:after="0" w:line="271" w:lineRule="auto"/>
        <w:tabs>
          <w:tab w:leader="none" w:pos="3157" w:val="left"/>
        </w:tabs>
        <w:numPr>
          <w:ilvl w:val="0"/>
          <w:numId w:val="166"/>
        </w:numPr>
        <w:rPr>
          <w:rFonts w:ascii="Arial" w:cs="Arial" w:eastAsia="Arial" w:hAnsi="Arial"/>
          <w:sz w:val="13"/>
          <w:szCs w:val="13"/>
          <w:color w:val="auto"/>
        </w:rPr>
      </w:pPr>
      <w:r>
        <w:rPr>
          <w:rFonts w:ascii="Arial" w:cs="Arial" w:eastAsia="Arial" w:hAnsi="Arial"/>
          <w:sz w:val="13"/>
          <w:szCs w:val="13"/>
          <w:color w:val="auto"/>
        </w:rPr>
        <w:t>modify the definition of Permitted Overadvance so as to increase the amount thereof or, except as otherwise provided in such definition, the time period for which a Permitted Overadvance may remain outstanding without the written Consent of each Lender; and</w:t>
      </w:r>
    </w:p>
    <w:p>
      <w:pPr>
        <w:spacing w:after="0" w:line="112" w:lineRule="exact"/>
        <w:rPr>
          <w:rFonts w:ascii="Arial" w:cs="Arial" w:eastAsia="Arial" w:hAnsi="Arial"/>
          <w:sz w:val="13"/>
          <w:szCs w:val="13"/>
          <w:color w:val="auto"/>
        </w:rPr>
      </w:pPr>
    </w:p>
    <w:p>
      <w:pPr>
        <w:ind w:left="1080" w:firstLine="1484"/>
        <w:spacing w:after="0" w:line="271" w:lineRule="auto"/>
        <w:tabs>
          <w:tab w:leader="none" w:pos="3194" w:val="left"/>
        </w:tabs>
        <w:numPr>
          <w:ilvl w:val="0"/>
          <w:numId w:val="166"/>
        </w:numPr>
        <w:rPr>
          <w:rFonts w:ascii="Arial" w:cs="Arial" w:eastAsia="Arial" w:hAnsi="Arial"/>
          <w:sz w:val="13"/>
          <w:szCs w:val="13"/>
          <w:color w:val="auto"/>
        </w:rPr>
      </w:pPr>
      <w:r>
        <w:rPr>
          <w:rFonts w:ascii="Arial" w:cs="Arial" w:eastAsia="Arial" w:hAnsi="Arial"/>
          <w:sz w:val="13"/>
          <w:szCs w:val="13"/>
          <w:color w:val="auto"/>
        </w:rPr>
        <w:t>except as expressly permitted herein or in any other Loan Document, subordinate the Obligations hereunder or the Liens granted hereunder or under the other Loan Documents, to any other Indebtedness or Lien, as the case may be without the written Consent of each Lender;</w:t>
      </w:r>
    </w:p>
    <w:p>
      <w:pPr>
        <w:spacing w:after="0" w:line="113" w:lineRule="exact"/>
        <w:rPr>
          <w:sz w:val="20"/>
          <w:szCs w:val="20"/>
          <w:color w:val="auto"/>
        </w:rPr>
      </w:pPr>
    </w:p>
    <w:p>
      <w:pPr>
        <w:jc w:val="both"/>
        <w:ind w:left="220"/>
        <w:spacing w:after="0" w:line="251" w:lineRule="auto"/>
        <w:rPr>
          <w:sz w:val="20"/>
          <w:szCs w:val="20"/>
          <w:color w:val="auto"/>
        </w:rPr>
      </w:pPr>
      <w:r>
        <w:rPr>
          <w:rFonts w:ascii="Arial" w:cs="Arial" w:eastAsia="Arial" w:hAnsi="Arial"/>
          <w:sz w:val="13"/>
          <w:szCs w:val="13"/>
          <w:color w:val="auto"/>
        </w:rPr>
        <w:t xml:space="preserve">and, </w:t>
      </w:r>
      <w:r>
        <w:rPr>
          <w:rFonts w:ascii="Arial" w:cs="Arial" w:eastAsia="Arial" w:hAnsi="Arial"/>
          <w:sz w:val="13"/>
          <w:szCs w:val="13"/>
          <w:u w:val="single" w:color="auto"/>
          <w:color w:val="auto"/>
        </w:rPr>
        <w:t>provided further</w:t>
      </w:r>
      <w:r>
        <w:rPr>
          <w:rFonts w:ascii="Arial" w:cs="Arial" w:eastAsia="Arial" w:hAnsi="Arial"/>
          <w:sz w:val="13"/>
          <w:szCs w:val="13"/>
          <w:color w:val="auto"/>
        </w:rPr>
        <w:t>, that (i) no amendment, waiver or Consent shall, unless in writing and signed by the L/C Issuer in addition to the Lenders required above, affect the rights or duties of the L/C Issuer under this Agreement or any Issuer Document relating to any Letter of Credit issued or to be issued by it; (ii) no amendment, waiver or Consent shall, unless in writing and signed by the Swing Line Lender in addition to the Lenders required above, affect the rights or duties of the Swing Line Lender under this Agreement;</w:t>
      </w:r>
    </w:p>
    <w:p>
      <w:pPr>
        <w:jc w:val="both"/>
        <w:ind w:left="220" w:firstLine="9"/>
        <w:spacing w:after="0" w:line="247" w:lineRule="auto"/>
        <w:tabs>
          <w:tab w:leader="none" w:pos="458" w:val="left"/>
        </w:tabs>
        <w:numPr>
          <w:ilvl w:val="0"/>
          <w:numId w:val="167"/>
        </w:numPr>
        <w:rPr>
          <w:rFonts w:ascii="Arial" w:cs="Arial" w:eastAsia="Arial" w:hAnsi="Arial"/>
          <w:sz w:val="13"/>
          <w:szCs w:val="13"/>
          <w:color w:val="auto"/>
        </w:rPr>
      </w:pPr>
      <w:r>
        <w:rPr>
          <w:rFonts w:ascii="Arial" w:cs="Arial" w:eastAsia="Arial" w:hAnsi="Arial"/>
          <w:sz w:val="13"/>
          <w:szCs w:val="13"/>
          <w:color w:val="auto"/>
        </w:rPr>
        <w:t>no amendment, waiver or Consent shall, unless in writing and signed by the Agent in addition to the Lenders required above, affect the rights or duties of any Agent under this Agreement or any other Loan Document; and (iv) the Fee Letter may be amended, or rights or privileges thereunder waived, in a writing executed only by the parties thereto.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spacing w:after="0" w:line="129" w:lineRule="exact"/>
        <w:rPr>
          <w:rFonts w:ascii="Arial" w:cs="Arial" w:eastAsia="Arial" w:hAnsi="Arial"/>
          <w:sz w:val="13"/>
          <w:szCs w:val="13"/>
          <w:color w:val="auto"/>
        </w:rPr>
      </w:pPr>
    </w:p>
    <w:p>
      <w:pPr>
        <w:jc w:val="both"/>
        <w:ind w:left="220" w:firstLine="1624"/>
        <w:spacing w:after="0" w:line="251" w:lineRule="auto"/>
        <w:tabs>
          <w:tab w:leader="none" w:pos="2422" w:val="left"/>
        </w:tabs>
        <w:numPr>
          <w:ilvl w:val="1"/>
          <w:numId w:val="167"/>
        </w:numPr>
        <w:rPr>
          <w:rFonts w:ascii="Arial" w:cs="Arial" w:eastAsia="Arial" w:hAnsi="Arial"/>
          <w:sz w:val="13"/>
          <w:szCs w:val="13"/>
          <w:color w:val="auto"/>
        </w:rPr>
      </w:pPr>
      <w:r>
        <w:rPr>
          <w:rFonts w:ascii="Arial" w:cs="Arial" w:eastAsia="Arial" w:hAnsi="Arial"/>
          <w:sz w:val="13"/>
          <w:szCs w:val="13"/>
          <w:color w:val="auto"/>
        </w:rPr>
        <w:t>Notwithstanding anything to the contrary in this Agreement or any other Loan Document, (x) no provider or holder of any Bank Products or Cash Management Services shall have any voting or approval rights hereunder (or be deemed a Lender) solely by virtue of its status as the provider or holder of such agreements or products or the Obligations owing thereunder, nor shall the consent of any such provider or holder be required (other than in their capacities as Lenders, to the extent applicable) for any matter hereunder or under any of the other Loan Documents, including as to any matter relating to the Collateral or the release of Collateral or any Loan Party, and (y) any Loan Document may be amended and waived with the consent of the Agent at the request of the Lead Borrower without the need to obtain the consent of any other Lender if such amendment or waiver is delivered in order (i) to comply with local Law or advice of local counsel, (ii) to cure ambiguities or defects or (iii) to cause any Loan Document to be consistent with this Agreement and the other Loan Documents.</w:t>
      </w:r>
    </w:p>
    <w:p>
      <w:pPr>
        <w:spacing w:after="0" w:line="124" w:lineRule="exact"/>
        <w:rPr>
          <w:rFonts w:ascii="Arial" w:cs="Arial" w:eastAsia="Arial" w:hAnsi="Arial"/>
          <w:sz w:val="13"/>
          <w:szCs w:val="13"/>
          <w:color w:val="auto"/>
        </w:rPr>
      </w:pPr>
    </w:p>
    <w:p>
      <w:pPr>
        <w:jc w:val="both"/>
        <w:ind w:left="220" w:firstLine="1623"/>
        <w:spacing w:after="0" w:line="258" w:lineRule="auto"/>
        <w:tabs>
          <w:tab w:leader="none" w:pos="2414" w:val="left"/>
        </w:tabs>
        <w:numPr>
          <w:ilvl w:val="1"/>
          <w:numId w:val="167"/>
        </w:numPr>
        <w:rPr>
          <w:rFonts w:ascii="Arial" w:cs="Arial" w:eastAsia="Arial" w:hAnsi="Arial"/>
          <w:sz w:val="13"/>
          <w:szCs w:val="13"/>
          <w:color w:val="auto"/>
        </w:rPr>
      </w:pPr>
      <w:r>
        <w:rPr>
          <w:rFonts w:ascii="Arial" w:cs="Arial" w:eastAsia="Arial" w:hAnsi="Arial"/>
          <w:sz w:val="13"/>
          <w:szCs w:val="13"/>
          <w:color w:val="auto"/>
        </w:rPr>
        <w:t xml:space="preserve">If any Lender does not Consent (a “Non-Consenting Lender”) to a proposed amendment, waiver, consent or release with respect to any Loan Document that requires the Consent of each Lender and that has been approved by the Required Lenders, the Lead Borrower may replace such Non-Consenting Lender in accordance with </w:t>
      </w:r>
      <w:r>
        <w:rPr>
          <w:rFonts w:ascii="Arial" w:cs="Arial" w:eastAsia="Arial" w:hAnsi="Arial"/>
          <w:sz w:val="13"/>
          <w:szCs w:val="13"/>
          <w:u w:val="single" w:color="auto"/>
          <w:color w:val="auto"/>
        </w:rPr>
        <w:t>Section 10.13</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amendment, waiver,</w:t>
      </w:r>
    </w:p>
    <w:p>
      <w:pPr>
        <w:spacing w:after="0" w:line="269"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127" w:name="page128"/>
    <w:bookmarkEnd w:id="127"/>
    <w:p>
      <w:pPr>
        <w:ind w:left="220"/>
        <w:spacing w:after="0"/>
        <w:rPr>
          <w:sz w:val="20"/>
          <w:szCs w:val="20"/>
          <w:color w:val="auto"/>
        </w:rPr>
      </w:pPr>
      <w:r>
        <w:rPr>
          <w:rFonts w:ascii="Arial" w:cs="Arial" w:eastAsia="Arial" w:hAnsi="Arial"/>
          <w:sz w:val="11"/>
          <w:szCs w:val="11"/>
          <w:color w:val="auto"/>
        </w:rPr>
        <w:t>consent or release can be effected as a result of the assignment contemplated by such Section (together with all other such assignments required by the Lead Borrower to be made pursuant to this paragraph).</w:t>
      </w:r>
    </w:p>
    <w:p>
      <w:pPr>
        <w:spacing w:after="0" w:line="172" w:lineRule="exact"/>
        <w:rPr>
          <w:sz w:val="20"/>
          <w:szCs w:val="20"/>
          <w:color w:val="auto"/>
        </w:rPr>
      </w:pPr>
    </w:p>
    <w:p>
      <w:pPr>
        <w:jc w:val="both"/>
        <w:ind w:left="220" w:firstLine="1623"/>
        <w:spacing w:after="0" w:line="251" w:lineRule="auto"/>
        <w:tabs>
          <w:tab w:leader="none" w:pos="2421" w:val="left"/>
        </w:tabs>
        <w:numPr>
          <w:ilvl w:val="0"/>
          <w:numId w:val="168"/>
        </w:numPr>
        <w:rPr>
          <w:rFonts w:ascii="Arial" w:cs="Arial" w:eastAsia="Arial" w:hAnsi="Arial"/>
          <w:sz w:val="13"/>
          <w:szCs w:val="13"/>
          <w:color w:val="auto"/>
        </w:rPr>
      </w:pPr>
      <w:r>
        <w:rPr>
          <w:rFonts w:ascii="Arial" w:cs="Arial" w:eastAsia="Arial" w:hAnsi="Arial"/>
          <w:sz w:val="13"/>
          <w:szCs w:val="13"/>
          <w:color w:val="auto"/>
        </w:rPr>
        <w:t>Notwithstanding any provision herein to the contrary, this Agreement may be amended with the written consent of the Required Lenders, the Agent and the Borrowers (i) to add one or more additional revolving credit or term loan facilities to this Agreement, and to permit the extensions of credit and all related obligations and liabilities arising in connection therewith from time to time outstanding to share (on a basis subordinated to the existing facilities hereunder) in the benefits of this Agreement and the other Loan Documents with the obligations and liabilities from time to time outstanding in respect of the existing facilities hereunder, and (ii) in connection with the foregoing, to permit, as deemed appropriate by the Agent and approved by the Lenders, the Lenders providing such additional credit facilities to participate in any required vote or action required to be approved by the Required Lenders or by any other number, percentage or class of Lenders hereunder.</w:t>
      </w:r>
    </w:p>
    <w:p>
      <w:pPr>
        <w:spacing w:after="0" w:line="121" w:lineRule="exact"/>
        <w:rPr>
          <w:sz w:val="20"/>
          <w:szCs w:val="20"/>
          <w:color w:val="auto"/>
        </w:rPr>
      </w:pPr>
    </w:p>
    <w:p>
      <w:pPr>
        <w:ind w:left="1040"/>
        <w:spacing w:after="0"/>
        <w:tabs>
          <w:tab w:leader="none" w:pos="1740" w:val="left"/>
        </w:tabs>
        <w:rPr>
          <w:sz w:val="20"/>
          <w:szCs w:val="20"/>
          <w:color w:val="auto"/>
        </w:rPr>
      </w:pPr>
      <w:r>
        <w:rPr>
          <w:rFonts w:ascii="Arial" w:cs="Arial" w:eastAsia="Arial" w:hAnsi="Arial"/>
          <w:sz w:val="13"/>
          <w:szCs w:val="13"/>
          <w:b w:val="1"/>
          <w:bCs w:val="1"/>
          <w:color w:val="auto"/>
        </w:rPr>
        <w:t>10.02</w:t>
      </w:r>
      <w:r>
        <w:rPr>
          <w:sz w:val="20"/>
          <w:szCs w:val="20"/>
          <w:color w:val="auto"/>
        </w:rPr>
        <w:tab/>
      </w:r>
      <w:r>
        <w:rPr>
          <w:rFonts w:ascii="Arial" w:cs="Arial" w:eastAsia="Arial" w:hAnsi="Arial"/>
          <w:sz w:val="11"/>
          <w:szCs w:val="11"/>
          <w:b w:val="1"/>
          <w:bCs w:val="1"/>
          <w:color w:val="auto"/>
        </w:rPr>
        <w:t>Notices; Effectiveness; Electronic Communications</w:t>
      </w:r>
      <w:r>
        <w:rPr>
          <w:rFonts w:ascii="Arial" w:cs="Arial" w:eastAsia="Arial" w:hAnsi="Arial"/>
          <w:sz w:val="11"/>
          <w:szCs w:val="11"/>
          <w:color w:val="auto"/>
        </w:rPr>
        <w:t>.</w:t>
      </w:r>
    </w:p>
    <w:p>
      <w:pPr>
        <w:spacing w:after="0" w:line="152" w:lineRule="exact"/>
        <w:rPr>
          <w:sz w:val="20"/>
          <w:szCs w:val="20"/>
          <w:color w:val="auto"/>
        </w:rPr>
      </w:pPr>
    </w:p>
    <w:p>
      <w:pPr>
        <w:jc w:val="both"/>
        <w:ind w:left="220" w:firstLine="1623"/>
        <w:spacing w:after="0" w:line="290" w:lineRule="auto"/>
        <w:tabs>
          <w:tab w:leader="none" w:pos="2411" w:val="left"/>
        </w:tabs>
        <w:numPr>
          <w:ilvl w:val="0"/>
          <w:numId w:val="169"/>
        </w:numPr>
        <w:rPr>
          <w:rFonts w:ascii="Arial" w:cs="Arial" w:eastAsia="Arial" w:hAnsi="Arial"/>
          <w:sz w:val="12"/>
          <w:szCs w:val="12"/>
          <w:color w:val="auto"/>
        </w:rPr>
      </w:pPr>
      <w:r>
        <w:rPr>
          <w:rFonts w:ascii="Arial" w:cs="Arial" w:eastAsia="Arial" w:hAnsi="Arial"/>
          <w:sz w:val="12"/>
          <w:szCs w:val="12"/>
          <w:u w:val="single" w:color="auto"/>
          <w:color w:val="auto"/>
        </w:rPr>
        <w:t>Notices Generally</w:t>
      </w:r>
      <w:r>
        <w:rPr>
          <w:rFonts w:ascii="Arial" w:cs="Arial" w:eastAsia="Arial" w:hAnsi="Arial"/>
          <w:sz w:val="12"/>
          <w:szCs w:val="12"/>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103" w:lineRule="exact"/>
        <w:rPr>
          <w:rFonts w:ascii="Arial" w:cs="Arial" w:eastAsia="Arial" w:hAnsi="Arial"/>
          <w:sz w:val="12"/>
          <w:szCs w:val="12"/>
          <w:color w:val="auto"/>
        </w:rPr>
      </w:pPr>
    </w:p>
    <w:p>
      <w:pPr>
        <w:ind w:left="1080" w:firstLine="1484"/>
        <w:spacing w:after="0" w:line="271" w:lineRule="auto"/>
        <w:tabs>
          <w:tab w:leader="none" w:pos="3128" w:val="left"/>
        </w:tabs>
        <w:numPr>
          <w:ilvl w:val="1"/>
          <w:numId w:val="169"/>
        </w:numPr>
        <w:rPr>
          <w:rFonts w:ascii="Arial" w:cs="Arial" w:eastAsia="Arial" w:hAnsi="Arial"/>
          <w:sz w:val="13"/>
          <w:szCs w:val="13"/>
          <w:color w:val="auto"/>
        </w:rPr>
      </w:pPr>
      <w:r>
        <w:rPr>
          <w:rFonts w:ascii="Arial" w:cs="Arial" w:eastAsia="Arial" w:hAnsi="Arial"/>
          <w:sz w:val="13"/>
          <w:szCs w:val="13"/>
          <w:color w:val="auto"/>
        </w:rPr>
        <w:t xml:space="preserve">if to the Loan Parties, the Agent, the L/C Issuer or the Swing Line Lender, to the address, telecopier number, electronic mail address or telephone number specified for such Person on </w:t>
      </w:r>
      <w:r>
        <w:rPr>
          <w:rFonts w:ascii="Arial" w:cs="Arial" w:eastAsia="Arial" w:hAnsi="Arial"/>
          <w:sz w:val="13"/>
          <w:szCs w:val="13"/>
          <w:u w:val="single" w:color="auto"/>
          <w:color w:val="auto"/>
        </w:rPr>
        <w:t>Schedule 10.02</w:t>
      </w:r>
      <w:r>
        <w:rPr>
          <w:rFonts w:ascii="Arial" w:cs="Arial" w:eastAsia="Arial" w:hAnsi="Arial"/>
          <w:sz w:val="13"/>
          <w:szCs w:val="13"/>
          <w:color w:val="auto"/>
        </w:rPr>
        <w:t>; and</w:t>
      </w:r>
    </w:p>
    <w:p>
      <w:pPr>
        <w:spacing w:after="0" w:line="58" w:lineRule="exact"/>
        <w:rPr>
          <w:rFonts w:ascii="Arial" w:cs="Arial" w:eastAsia="Arial" w:hAnsi="Arial"/>
          <w:sz w:val="13"/>
          <w:szCs w:val="13"/>
          <w:color w:val="auto"/>
        </w:rPr>
      </w:pPr>
    </w:p>
    <w:p>
      <w:pPr>
        <w:ind w:left="3160" w:hanging="596"/>
        <w:spacing w:after="0"/>
        <w:tabs>
          <w:tab w:leader="none" w:pos="3160" w:val="left"/>
        </w:tabs>
        <w:numPr>
          <w:ilvl w:val="1"/>
          <w:numId w:val="169"/>
        </w:numPr>
        <w:rPr>
          <w:rFonts w:ascii="Arial" w:cs="Arial" w:eastAsia="Arial" w:hAnsi="Arial"/>
          <w:sz w:val="12"/>
          <w:szCs w:val="12"/>
          <w:color w:val="auto"/>
        </w:rPr>
      </w:pPr>
      <w:r>
        <w:rPr>
          <w:rFonts w:ascii="Arial" w:cs="Arial" w:eastAsia="Arial" w:hAnsi="Arial"/>
          <w:sz w:val="12"/>
          <w:szCs w:val="12"/>
          <w:color w:val="auto"/>
        </w:rPr>
        <w:t>if to any other Lender, to the address, telecopier number, electronic mail address or telephone number specified in its Administrative Questionnaire.</w:t>
      </w:r>
    </w:p>
    <w:p>
      <w:pPr>
        <w:spacing w:after="0" w:line="159" w:lineRule="exact"/>
        <w:rPr>
          <w:sz w:val="20"/>
          <w:szCs w:val="20"/>
          <w:color w:val="auto"/>
        </w:rPr>
      </w:pPr>
    </w:p>
    <w:p>
      <w:pPr>
        <w:jc w:val="both"/>
        <w:ind w:left="220"/>
        <w:spacing w:after="0" w:line="254" w:lineRule="auto"/>
        <w:rPr>
          <w:sz w:val="20"/>
          <w:szCs w:val="20"/>
          <w:color w:val="auto"/>
        </w:rPr>
      </w:pPr>
      <w:r>
        <w:rPr>
          <w:rFonts w:ascii="Arial" w:cs="Arial" w:eastAsia="Arial" w:hAnsi="Arial"/>
          <w:sz w:val="13"/>
          <w:szCs w:val="13"/>
          <w:color w:val="auto"/>
        </w:rPr>
        <w:t>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24" w:lineRule="exact"/>
        <w:rPr>
          <w:sz w:val="20"/>
          <w:szCs w:val="20"/>
          <w:color w:val="auto"/>
        </w:rPr>
      </w:pPr>
    </w:p>
    <w:p>
      <w:pPr>
        <w:jc w:val="both"/>
        <w:ind w:left="220" w:firstLine="1623"/>
        <w:spacing w:after="0" w:line="252" w:lineRule="auto"/>
        <w:tabs>
          <w:tab w:leader="none" w:pos="2418" w:val="left"/>
        </w:tabs>
        <w:numPr>
          <w:ilvl w:val="0"/>
          <w:numId w:val="170"/>
        </w:numPr>
        <w:rPr>
          <w:rFonts w:ascii="Arial" w:cs="Arial" w:eastAsia="Arial" w:hAnsi="Arial"/>
          <w:sz w:val="13"/>
          <w:szCs w:val="13"/>
          <w:color w:val="auto"/>
        </w:rPr>
      </w:pPr>
      <w:r>
        <w:rPr>
          <w:rFonts w:ascii="Arial" w:cs="Arial" w:eastAsia="Arial" w:hAnsi="Arial"/>
          <w:sz w:val="13"/>
          <w:szCs w:val="13"/>
          <w:u w:val="single" w:color="auto"/>
          <w:color w:val="auto"/>
        </w:rPr>
        <w:t>Electronic Communications</w:t>
      </w:r>
      <w:r>
        <w:rPr>
          <w:rFonts w:ascii="Arial" w:cs="Arial" w:eastAsia="Arial" w:hAnsi="Arial"/>
          <w:sz w:val="13"/>
          <w:szCs w:val="13"/>
          <w:color w:val="auto"/>
        </w:rPr>
        <w:t xml:space="preserve">. Notices and other communications to the Lenders and the L/C Issuer hereunder may be delivered or furnished by electronic communication (including e-mail and Internet or intranet websites) pursuant to procedures approved by the Agent,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foregoing shall not apply to notices to any Lender or the L/C Issuer pursuant to </w:t>
      </w:r>
      <w:r>
        <w:rPr>
          <w:rFonts w:ascii="Arial" w:cs="Arial" w:eastAsia="Arial" w:hAnsi="Arial"/>
          <w:sz w:val="13"/>
          <w:szCs w:val="13"/>
          <w:u w:val="single" w:color="auto"/>
          <w:color w:val="auto"/>
        </w:rPr>
        <w:t>Article II</w:t>
      </w:r>
      <w:r>
        <w:rPr>
          <w:rFonts w:ascii="Arial" w:cs="Arial" w:eastAsia="Arial" w:hAnsi="Arial"/>
          <w:sz w:val="13"/>
          <w:szCs w:val="13"/>
          <w:color w:val="auto"/>
        </w:rPr>
        <w:t xml:space="preserve"> if such Lender or the L/C Issuer, as applicable, has notified the Agent that it is incapable of receiving notices under such Article by electronic communication. The Agent or the Lead Borrower may, in its discretion, agree to accept notices and other communications to it hereunder by electronic communications pursuant to procedures approved by it,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approval of such procedures may be limited to particular notices or communications.</w:t>
      </w:r>
    </w:p>
    <w:p>
      <w:pPr>
        <w:spacing w:after="0" w:line="125" w:lineRule="exact"/>
        <w:rPr>
          <w:sz w:val="20"/>
          <w:szCs w:val="20"/>
          <w:color w:val="auto"/>
        </w:rPr>
      </w:pPr>
    </w:p>
    <w:p>
      <w:pPr>
        <w:ind w:left="220" w:firstLine="808"/>
        <w:spacing w:after="0" w:line="271" w:lineRule="auto"/>
        <w:rPr>
          <w:sz w:val="20"/>
          <w:szCs w:val="20"/>
          <w:color w:val="auto"/>
        </w:rPr>
      </w:pPr>
      <w:r>
        <w:rPr>
          <w:rFonts w:ascii="Arial" w:cs="Arial" w:eastAsia="Arial" w:hAnsi="Arial"/>
          <w:sz w:val="13"/>
          <w:szCs w:val="13"/>
          <w:color w:val="auto"/>
        </w:rPr>
        <w:t>Unless the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w:t>
      </w:r>
    </w:p>
    <w:p>
      <w:pPr>
        <w:spacing w:after="0" w:line="260"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128" w:name="page129"/>
    <w:bookmarkEnd w:id="128"/>
    <w:p>
      <w:pPr>
        <w:jc w:val="both"/>
        <w:ind w:left="220"/>
        <w:spacing w:after="0" w:line="255" w:lineRule="auto"/>
        <w:rPr>
          <w:sz w:val="20"/>
          <w:szCs w:val="20"/>
          <w:color w:val="auto"/>
        </w:rPr>
      </w:pPr>
      <w:r>
        <w:rPr>
          <w:rFonts w:ascii="Arial" w:cs="Arial" w:eastAsia="Arial" w:hAnsi="Arial"/>
          <w:sz w:val="13"/>
          <w:szCs w:val="13"/>
          <w:color w:val="auto"/>
        </w:rPr>
        <w:t>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23" w:lineRule="exact"/>
        <w:rPr>
          <w:sz w:val="20"/>
          <w:szCs w:val="20"/>
          <w:color w:val="auto"/>
        </w:rPr>
      </w:pPr>
    </w:p>
    <w:p>
      <w:pPr>
        <w:jc w:val="both"/>
        <w:ind w:left="220" w:firstLine="1623"/>
        <w:spacing w:after="0" w:line="250" w:lineRule="auto"/>
        <w:tabs>
          <w:tab w:leader="none" w:pos="2411" w:val="left"/>
        </w:tabs>
        <w:numPr>
          <w:ilvl w:val="0"/>
          <w:numId w:val="171"/>
        </w:numPr>
        <w:rPr>
          <w:rFonts w:ascii="Arial" w:cs="Arial" w:eastAsia="Arial" w:hAnsi="Arial"/>
          <w:sz w:val="13"/>
          <w:szCs w:val="13"/>
          <w:color w:val="auto"/>
        </w:rPr>
      </w:pPr>
      <w:r>
        <w:rPr>
          <w:rFonts w:ascii="Arial" w:cs="Arial" w:eastAsia="Arial" w:hAnsi="Arial"/>
          <w:sz w:val="13"/>
          <w:szCs w:val="13"/>
          <w:u w:val="single" w:color="auto"/>
          <w:color w:val="auto"/>
        </w:rPr>
        <w:t>The Platform</w:t>
      </w:r>
      <w:r>
        <w:rPr>
          <w:rFonts w:ascii="Arial" w:cs="Arial" w:eastAsia="Arial" w:hAnsi="Arial"/>
          <w:sz w:val="13"/>
          <w:szCs w:val="13"/>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Agent or any of its Related Parties (collectively, the “Agent Parties”) have any liability to any Loan Party, any Lender, the L/C Issuer or any other Person for losses, claims, damages, liabilities or expenses of any kind (whether in tort, contract or otherwise) arising out of the Loan Parties’ or the Agent’s transmission of Borrower Materials through the Internet.</w:t>
      </w:r>
    </w:p>
    <w:p>
      <w:pPr>
        <w:spacing w:after="0" w:line="125" w:lineRule="exact"/>
        <w:rPr>
          <w:rFonts w:ascii="Arial" w:cs="Arial" w:eastAsia="Arial" w:hAnsi="Arial"/>
          <w:sz w:val="13"/>
          <w:szCs w:val="13"/>
          <w:color w:val="auto"/>
        </w:rPr>
      </w:pPr>
    </w:p>
    <w:p>
      <w:pPr>
        <w:jc w:val="both"/>
        <w:ind w:left="220" w:firstLine="1623"/>
        <w:spacing w:after="0" w:line="273" w:lineRule="auto"/>
        <w:tabs>
          <w:tab w:leader="none" w:pos="2418" w:val="left"/>
        </w:tabs>
        <w:numPr>
          <w:ilvl w:val="0"/>
          <w:numId w:val="171"/>
        </w:numPr>
        <w:rPr>
          <w:rFonts w:ascii="Arial" w:cs="Arial" w:eastAsia="Arial" w:hAnsi="Arial"/>
          <w:sz w:val="12"/>
          <w:szCs w:val="12"/>
          <w:color w:val="auto"/>
        </w:rPr>
      </w:pPr>
      <w:r>
        <w:rPr>
          <w:rFonts w:ascii="Arial" w:cs="Arial" w:eastAsia="Arial" w:hAnsi="Arial"/>
          <w:sz w:val="12"/>
          <w:szCs w:val="12"/>
          <w:u w:val="single" w:color="auto"/>
          <w:color w:val="auto"/>
        </w:rPr>
        <w:t>Change of Address, Etc</w:t>
      </w:r>
      <w:r>
        <w:rPr>
          <w:rFonts w:ascii="Arial" w:cs="Arial" w:eastAsia="Arial" w:hAnsi="Arial"/>
          <w:sz w:val="12"/>
          <w:szCs w:val="12"/>
          <w:color w:val="auto"/>
        </w:rPr>
        <w:t>. Each of the Loan Parties, the Agent, the L/C Issuer and the Swing Line Lender may change its address, telecopier or telephone number for notices and other communications hereunder by notice to the other parties hereto. Each other Lender may change its address, telecopier or telephone number for notices and other communications hereunder by notice to the Lead Borrower, the Agent, the L/C Issuer and the Swing Line Lender. In addition, each Lender agrees to notify the Agent from time to time to ensure that the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Borrowers or their securities for purposes of United States Federal or state securities laws.</w:t>
      </w:r>
    </w:p>
    <w:p>
      <w:pPr>
        <w:spacing w:after="0" w:line="113" w:lineRule="exact"/>
        <w:rPr>
          <w:rFonts w:ascii="Arial" w:cs="Arial" w:eastAsia="Arial" w:hAnsi="Arial"/>
          <w:sz w:val="12"/>
          <w:szCs w:val="12"/>
          <w:color w:val="auto"/>
        </w:rPr>
      </w:pPr>
    </w:p>
    <w:p>
      <w:pPr>
        <w:jc w:val="both"/>
        <w:ind w:left="220" w:firstLine="1623"/>
        <w:spacing w:after="0" w:line="278" w:lineRule="auto"/>
        <w:tabs>
          <w:tab w:leader="none" w:pos="2411" w:val="left"/>
        </w:tabs>
        <w:numPr>
          <w:ilvl w:val="0"/>
          <w:numId w:val="171"/>
        </w:numPr>
        <w:rPr>
          <w:rFonts w:ascii="Arial" w:cs="Arial" w:eastAsia="Arial" w:hAnsi="Arial"/>
          <w:sz w:val="12"/>
          <w:szCs w:val="12"/>
          <w:color w:val="auto"/>
        </w:rPr>
      </w:pPr>
      <w:r>
        <w:rPr>
          <w:rFonts w:ascii="Arial" w:cs="Arial" w:eastAsia="Arial" w:hAnsi="Arial"/>
          <w:sz w:val="12"/>
          <w:szCs w:val="12"/>
          <w:u w:val="single" w:color="auto"/>
          <w:color w:val="auto"/>
        </w:rPr>
        <w:t>Reliance by Agent, L/C Issuer and Lenders</w:t>
      </w:r>
      <w:r>
        <w:rPr>
          <w:rFonts w:ascii="Arial" w:cs="Arial" w:eastAsia="Arial" w:hAnsi="Arial"/>
          <w:sz w:val="12"/>
          <w:szCs w:val="12"/>
          <w:color w:val="auto"/>
        </w:rPr>
        <w:t>. The Agent, the L/C Issuer and the Lenders shall be entitled to rely and act upon any notices (including telephonic Committed Loan Notices and Swing Line Loan Notices) purportedly given by or on behalf of the Loan Parties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Agent, the L/C Issuer, each Lender and the Related Parties of each of them from all losses, costs, expenses and liabilities resulting from the reliance by such Person on each notice purportedly given by or on behalf of the Loan Parties. All telephonic notices to and other telephonic communications with the Agent may be recorded by the Agent, and each of the parties hereto hereby consents to such recording.</w:t>
      </w:r>
    </w:p>
    <w:p>
      <w:pPr>
        <w:spacing w:after="0" w:line="107" w:lineRule="exact"/>
        <w:rPr>
          <w:sz w:val="20"/>
          <w:szCs w:val="20"/>
          <w:color w:val="auto"/>
        </w:rPr>
      </w:pPr>
    </w:p>
    <w:p>
      <w:pPr>
        <w:ind w:left="220" w:firstLine="808"/>
        <w:spacing w:after="0" w:line="278" w:lineRule="auto"/>
        <w:rPr>
          <w:sz w:val="20"/>
          <w:szCs w:val="20"/>
          <w:color w:val="auto"/>
        </w:rPr>
      </w:pPr>
      <w:r>
        <w:rPr>
          <w:rFonts w:ascii="Arial" w:cs="Arial" w:eastAsia="Arial" w:hAnsi="Arial"/>
          <w:sz w:val="13"/>
          <w:szCs w:val="13"/>
          <w:b w:val="1"/>
          <w:bCs w:val="1"/>
          <w:color w:val="auto"/>
        </w:rPr>
        <w:t>10.03 No Waiver; Cumulative Remedies</w:t>
      </w:r>
      <w:r>
        <w:rPr>
          <w:rFonts w:ascii="Arial" w:cs="Arial" w:eastAsia="Arial" w:hAnsi="Arial"/>
          <w:sz w:val="13"/>
          <w:szCs w:val="13"/>
          <w:color w:val="auto"/>
        </w:rPr>
        <w:t>. No failure by any Credit Party to exercise, and no delay by any such Person in exercising, any right, remedy, power or privilege hereunder</w:t>
      </w:r>
      <w:r>
        <w:rPr>
          <w:rFonts w:ascii="Arial" w:cs="Arial" w:eastAsia="Arial" w:hAnsi="Arial"/>
          <w:sz w:val="13"/>
          <w:szCs w:val="13"/>
          <w:b w:val="1"/>
          <w:bCs w:val="1"/>
          <w:color w:val="auto"/>
        </w:rPr>
        <w:t xml:space="preserve"> </w:t>
      </w:r>
      <w:r>
        <w:rPr>
          <w:rFonts w:ascii="Arial" w:cs="Arial" w:eastAsia="Arial" w:hAnsi="Arial"/>
          <w:sz w:val="13"/>
          <w:szCs w:val="13"/>
          <w:color w:val="auto"/>
        </w:rPr>
        <w:t>shall operate as a</w:t>
      </w:r>
    </w:p>
    <w:p>
      <w:pPr>
        <w:spacing w:after="0" w:line="255"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129" w:name="page130"/>
    <w:bookmarkEnd w:id="129"/>
    <w:p>
      <w:pPr>
        <w:jc w:val="both"/>
        <w:ind w:left="220"/>
        <w:spacing w:after="0" w:line="255" w:lineRule="auto"/>
        <w:rPr>
          <w:sz w:val="20"/>
          <w:szCs w:val="20"/>
          <w:color w:val="auto"/>
        </w:rPr>
      </w:pPr>
      <w:r>
        <w:rPr>
          <w:rFonts w:ascii="Arial" w:cs="Arial" w:eastAsia="Arial" w:hAnsi="Arial"/>
          <w:sz w:val="13"/>
          <w:szCs w:val="13"/>
          <w:color w:val="auto"/>
        </w:rPr>
        <w:t>waiver thereof; nor shall any single or partial exercise of any right, remedy, power or privilege hereunder or under any other Loan Document preclude any other or further exercise thereof or the exercise of any other right, remedy, power or privilege. The rights, remedies, powers and privileges provided herein and in the other Loan Documents are cumulative and not exclusive of any rights, remedies, powers and privileges provided by law. Without limiting the generality of the foregoing, the making of a Loan or issuance of a Letter of Credit shall not be construed as a waiver of any Default or Event of Default, regardless of whether any Credit Party may have had notice or knowledge of such Default or Event of Default at the time.</w:t>
      </w:r>
    </w:p>
    <w:p>
      <w:pPr>
        <w:spacing w:after="0" w:line="123" w:lineRule="exact"/>
        <w:rPr>
          <w:sz w:val="20"/>
          <w:szCs w:val="20"/>
          <w:color w:val="auto"/>
        </w:rPr>
      </w:pPr>
    </w:p>
    <w:p>
      <w:pPr>
        <w:jc w:val="both"/>
        <w:ind w:left="220" w:firstLine="808"/>
        <w:spacing w:after="0" w:line="273" w:lineRule="auto"/>
        <w:rPr>
          <w:sz w:val="20"/>
          <w:szCs w:val="20"/>
          <w:color w:val="auto"/>
        </w:rPr>
      </w:pPr>
      <w:r>
        <w:rPr>
          <w:rFonts w:ascii="Arial" w:cs="Arial" w:eastAsia="Arial" w:hAnsi="Arial"/>
          <w:sz w:val="12"/>
          <w:szCs w:val="12"/>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Agent in accordance with </w:t>
      </w:r>
      <w:r>
        <w:rPr>
          <w:rFonts w:ascii="Arial" w:cs="Arial" w:eastAsia="Arial" w:hAnsi="Arial"/>
          <w:sz w:val="12"/>
          <w:szCs w:val="12"/>
          <w:u w:val="single" w:color="auto"/>
          <w:color w:val="auto"/>
        </w:rPr>
        <w:t>Section 8.02</w:t>
      </w:r>
      <w:r>
        <w:rPr>
          <w:rFonts w:ascii="Arial" w:cs="Arial" w:eastAsia="Arial" w:hAnsi="Arial"/>
          <w:sz w:val="12"/>
          <w:szCs w:val="12"/>
          <w:color w:val="auto"/>
        </w:rPr>
        <w:t xml:space="preserve"> for the benefit of all the Lenders and the L/C Issuer;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the foregoing shall not prohibit (a) the Agent from exercising on its own behalf the rights and remedies that inure to its benefit (solely in its capacity as Agent) hereunder and under the other Loan Documents, (b) the L/C Issuer or the Swing Line Lender from exercising the rights and remedies that inure to its benefit (solely in its capacity as L/C Issuer or Swing Line Lender, as the case may be) hereunder and under the other Loan Documents, or (c) any Lender from exercising setoff rights in accordance with </w:t>
      </w:r>
      <w:r>
        <w:rPr>
          <w:rFonts w:ascii="Arial" w:cs="Arial" w:eastAsia="Arial" w:hAnsi="Arial"/>
          <w:sz w:val="12"/>
          <w:szCs w:val="12"/>
          <w:u w:val="single" w:color="auto"/>
          <w:color w:val="auto"/>
        </w:rPr>
        <w:t>Section 10.08</w:t>
      </w:r>
      <w:r>
        <w:rPr>
          <w:rFonts w:ascii="Arial" w:cs="Arial" w:eastAsia="Arial" w:hAnsi="Arial"/>
          <w:sz w:val="12"/>
          <w:szCs w:val="12"/>
          <w:color w:val="auto"/>
        </w:rPr>
        <w:t xml:space="preserve"> (subject to the terms of </w:t>
      </w:r>
      <w:r>
        <w:rPr>
          <w:rFonts w:ascii="Arial" w:cs="Arial" w:eastAsia="Arial" w:hAnsi="Arial"/>
          <w:sz w:val="12"/>
          <w:szCs w:val="12"/>
          <w:u w:val="single" w:color="auto"/>
          <w:color w:val="auto"/>
        </w:rPr>
        <w:t>Section 2.13</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xml:space="preserve">, that if at any time there is no Person acting as Agent hereunder and under the other Loan Documents, then (i) the Required Lenders shall have the rights otherwise ascribed to the Agent pursuant to </w:t>
      </w:r>
      <w:r>
        <w:rPr>
          <w:rFonts w:ascii="Arial" w:cs="Arial" w:eastAsia="Arial" w:hAnsi="Arial"/>
          <w:sz w:val="12"/>
          <w:szCs w:val="12"/>
          <w:u w:val="single" w:color="auto"/>
          <w:color w:val="auto"/>
        </w:rPr>
        <w:t>Section 8.02</w:t>
      </w:r>
      <w:r>
        <w:rPr>
          <w:rFonts w:ascii="Arial" w:cs="Arial" w:eastAsia="Arial" w:hAnsi="Arial"/>
          <w:sz w:val="12"/>
          <w:szCs w:val="12"/>
          <w:color w:val="auto"/>
        </w:rPr>
        <w:t xml:space="preserve"> and (ii) in addition to the matters set forth in </w:t>
      </w:r>
      <w:r>
        <w:rPr>
          <w:rFonts w:ascii="Arial" w:cs="Arial" w:eastAsia="Arial" w:hAnsi="Arial"/>
          <w:sz w:val="12"/>
          <w:szCs w:val="12"/>
          <w:u w:val="single" w:color="auto"/>
          <w:color w:val="auto"/>
        </w:rPr>
        <w:t>clauses (b)</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(c)</w:t>
      </w:r>
      <w:r>
        <w:rPr>
          <w:rFonts w:ascii="Arial" w:cs="Arial" w:eastAsia="Arial" w:hAnsi="Arial"/>
          <w:sz w:val="12"/>
          <w:szCs w:val="12"/>
          <w:color w:val="auto"/>
        </w:rPr>
        <w:t xml:space="preserve"> of the preceding proviso and subject to </w:t>
      </w:r>
      <w:r>
        <w:rPr>
          <w:rFonts w:ascii="Arial" w:cs="Arial" w:eastAsia="Arial" w:hAnsi="Arial"/>
          <w:sz w:val="12"/>
          <w:szCs w:val="12"/>
          <w:u w:val="single" w:color="auto"/>
          <w:color w:val="auto"/>
        </w:rPr>
        <w:t>Section 2.13</w:t>
      </w:r>
      <w:r>
        <w:rPr>
          <w:rFonts w:ascii="Arial" w:cs="Arial" w:eastAsia="Arial" w:hAnsi="Arial"/>
          <w:sz w:val="12"/>
          <w:szCs w:val="12"/>
          <w:color w:val="auto"/>
        </w:rPr>
        <w:t>, any Lender may, with the consent of the Required Lenders, enforce any rights and remedies available to it and as authorized by the Required Lenders.</w:t>
      </w:r>
    </w:p>
    <w:p>
      <w:pPr>
        <w:spacing w:after="0" w:line="109" w:lineRule="exact"/>
        <w:rPr>
          <w:sz w:val="20"/>
          <w:szCs w:val="20"/>
          <w:color w:val="auto"/>
        </w:rPr>
      </w:pPr>
    </w:p>
    <w:p>
      <w:pPr>
        <w:ind w:left="1040"/>
        <w:spacing w:after="0"/>
        <w:tabs>
          <w:tab w:leader="none" w:pos="1740" w:val="left"/>
        </w:tabs>
        <w:rPr>
          <w:sz w:val="20"/>
          <w:szCs w:val="20"/>
          <w:color w:val="auto"/>
        </w:rPr>
      </w:pPr>
      <w:r>
        <w:rPr>
          <w:rFonts w:ascii="Arial" w:cs="Arial" w:eastAsia="Arial" w:hAnsi="Arial"/>
          <w:sz w:val="13"/>
          <w:szCs w:val="13"/>
          <w:b w:val="1"/>
          <w:bCs w:val="1"/>
          <w:color w:val="auto"/>
        </w:rPr>
        <w:t>10.04</w:t>
      </w:r>
      <w:r>
        <w:rPr>
          <w:sz w:val="20"/>
          <w:szCs w:val="20"/>
          <w:color w:val="auto"/>
        </w:rPr>
        <w:tab/>
      </w:r>
      <w:r>
        <w:rPr>
          <w:rFonts w:ascii="Arial" w:cs="Arial" w:eastAsia="Arial" w:hAnsi="Arial"/>
          <w:sz w:val="11"/>
          <w:szCs w:val="11"/>
          <w:b w:val="1"/>
          <w:bCs w:val="1"/>
          <w:color w:val="auto"/>
        </w:rPr>
        <w:t>Expenses; Indemnity; Damage Waiver</w:t>
      </w:r>
      <w:r>
        <w:rPr>
          <w:rFonts w:ascii="Arial" w:cs="Arial" w:eastAsia="Arial" w:hAnsi="Arial"/>
          <w:sz w:val="11"/>
          <w:szCs w:val="11"/>
          <w:color w:val="auto"/>
        </w:rPr>
        <w:t>.</w:t>
      </w:r>
    </w:p>
    <w:p>
      <w:pPr>
        <w:spacing w:after="0" w:line="152" w:lineRule="exact"/>
        <w:rPr>
          <w:sz w:val="20"/>
          <w:szCs w:val="20"/>
          <w:color w:val="auto"/>
        </w:rPr>
      </w:pPr>
    </w:p>
    <w:p>
      <w:pPr>
        <w:ind w:left="2420" w:hanging="580"/>
        <w:spacing w:after="0"/>
        <w:tabs>
          <w:tab w:leader="none" w:pos="2420" w:val="left"/>
        </w:tabs>
        <w:numPr>
          <w:ilvl w:val="0"/>
          <w:numId w:val="172"/>
        </w:numPr>
        <w:rPr>
          <w:rFonts w:ascii="Arial" w:cs="Arial" w:eastAsia="Arial" w:hAnsi="Arial"/>
          <w:sz w:val="13"/>
          <w:szCs w:val="13"/>
          <w:color w:val="auto"/>
        </w:rPr>
      </w:pPr>
      <w:r>
        <w:rPr>
          <w:rFonts w:ascii="Arial" w:cs="Arial" w:eastAsia="Arial" w:hAnsi="Arial"/>
          <w:sz w:val="13"/>
          <w:szCs w:val="13"/>
          <w:u w:val="single" w:color="auto"/>
          <w:color w:val="auto"/>
        </w:rPr>
        <w:t>Costs and Expenses</w:t>
      </w:r>
      <w:r>
        <w:rPr>
          <w:rFonts w:ascii="Arial" w:cs="Arial" w:eastAsia="Arial" w:hAnsi="Arial"/>
          <w:sz w:val="13"/>
          <w:szCs w:val="13"/>
          <w:color w:val="auto"/>
        </w:rPr>
        <w:t>. The Borrowers shall pay all Credit Party Expenses.</w:t>
      </w:r>
    </w:p>
    <w:p>
      <w:pPr>
        <w:spacing w:after="0" w:line="93" w:lineRule="exact"/>
        <w:rPr>
          <w:rFonts w:ascii="Arial" w:cs="Arial" w:eastAsia="Arial" w:hAnsi="Arial"/>
          <w:sz w:val="13"/>
          <w:szCs w:val="13"/>
          <w:color w:val="auto"/>
        </w:rPr>
      </w:pPr>
    </w:p>
    <w:p>
      <w:pPr>
        <w:jc w:val="both"/>
        <w:ind w:left="220" w:firstLine="1624"/>
        <w:spacing w:after="0" w:line="271" w:lineRule="auto"/>
        <w:tabs>
          <w:tab w:leader="none" w:pos="2419" w:val="left"/>
        </w:tabs>
        <w:numPr>
          <w:ilvl w:val="0"/>
          <w:numId w:val="172"/>
        </w:numPr>
        <w:rPr>
          <w:rFonts w:ascii="Arial" w:cs="Arial" w:eastAsia="Arial" w:hAnsi="Arial"/>
          <w:sz w:val="12"/>
          <w:szCs w:val="12"/>
          <w:color w:val="auto"/>
        </w:rPr>
      </w:pPr>
      <w:r>
        <w:rPr>
          <w:rFonts w:ascii="Arial" w:cs="Arial" w:eastAsia="Arial" w:hAnsi="Arial"/>
          <w:sz w:val="12"/>
          <w:szCs w:val="12"/>
          <w:u w:val="single" w:color="auto"/>
          <w:color w:val="auto"/>
        </w:rPr>
        <w:t>Indemnification by the Loan Parties</w:t>
      </w:r>
      <w:r>
        <w:rPr>
          <w:rFonts w:ascii="Arial" w:cs="Arial" w:eastAsia="Arial" w:hAnsi="Arial"/>
          <w:sz w:val="12"/>
          <w:szCs w:val="12"/>
          <w:color w:val="auto"/>
        </w:rPr>
        <w:t>. The Loan Parties shall indemnify the Agent (and any sub-agent thereof), each other Credit Party, and each Related Party of any of the foregoing Persons (each such Person being called an “Indemnitee”) against, and hold each Indemnitee harmless (on an after tax basis) from, any and all losses, claims, causes of action, damages, liabilities, settlement payments, costs, and related expenses (including the fees, charges and disbursements of any counsel for any Indemnitee (including the allocated cost of internal counsel)), incurred by any Indemnitee or asserted against any Indemnitee by any third party or by any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the consummation of the transactions contemplated hereby or thereby, or the administration of this Agreement and the other Loan Documents,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any bank advising or confirming a Letter of Credit and any other Person seeking to enforce the rights of a Borrower, beneficiary, transferee, or assignee or Letter of Credit proceeds or the holder of an instrument or document related to any Letter of Credit), (iii) any actual or alleged presence or release of Hazardous Materials on or from any property owned or operated by any Loan Party or any of its Subsidiaries, or any Environmental Liability related in any way to any Loan Party or any of its Subsidiaries, (iv) any claims of, or amounts paid by any Credit Party to, a Controlled Account Bank or other Person which has entered into a control agreement with any Credit Party hereunder, or (v) any</w:t>
      </w:r>
    </w:p>
    <w:p>
      <w:pPr>
        <w:spacing w:after="0" w:line="262"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130" w:name="page131"/>
    <w:bookmarkEnd w:id="130"/>
    <w:p>
      <w:pPr>
        <w:jc w:val="both"/>
        <w:ind w:left="220"/>
        <w:spacing w:after="0" w:line="278" w:lineRule="auto"/>
        <w:rPr>
          <w:sz w:val="20"/>
          <w:szCs w:val="20"/>
          <w:color w:val="auto"/>
        </w:rPr>
      </w:pPr>
      <w:r>
        <w:rPr>
          <w:rFonts w:ascii="Arial" w:cs="Arial" w:eastAsia="Arial" w:hAnsi="Arial"/>
          <w:sz w:val="12"/>
          <w:szCs w:val="12"/>
          <w:color w:val="auto"/>
        </w:rPr>
        <w:t xml:space="preserve">actual or prospective claim, litigation, investigation or proceeding relating to any of the foregoing, whether based on contract, tort or any other theory, whether brought by a third party or by any Borrower or any other Loan Party or any of the Loan Parties’ directors, shareholders or creditors, and regardless of whether any Indemnitee is a party thereto, in all cases, whether or not caused by or arising, in whole or in part, out of the comparative, contributory or sole negligence of the Indemnitee;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gross negligence or willful misconduct of such Indemnitee. Without limiting the provisions of </w:t>
      </w:r>
      <w:r>
        <w:rPr>
          <w:rFonts w:ascii="Arial" w:cs="Arial" w:eastAsia="Arial" w:hAnsi="Arial"/>
          <w:sz w:val="12"/>
          <w:szCs w:val="12"/>
          <w:u w:val="single" w:color="auto"/>
          <w:color w:val="auto"/>
        </w:rPr>
        <w:t>Section 3.01(c)</w:t>
      </w:r>
      <w:r>
        <w:rPr>
          <w:rFonts w:ascii="Arial" w:cs="Arial" w:eastAsia="Arial" w:hAnsi="Arial"/>
          <w:sz w:val="12"/>
          <w:szCs w:val="12"/>
          <w:color w:val="auto"/>
        </w:rPr>
        <w:t xml:space="preserve">, this </w:t>
      </w:r>
      <w:r>
        <w:rPr>
          <w:rFonts w:ascii="Arial" w:cs="Arial" w:eastAsia="Arial" w:hAnsi="Arial"/>
          <w:sz w:val="12"/>
          <w:szCs w:val="12"/>
          <w:u w:val="single" w:color="auto"/>
          <w:color w:val="auto"/>
        </w:rPr>
        <w:t>Section 10.04(b)</w:t>
      </w:r>
      <w:r>
        <w:rPr>
          <w:rFonts w:ascii="Arial" w:cs="Arial" w:eastAsia="Arial" w:hAnsi="Arial"/>
          <w:sz w:val="12"/>
          <w:szCs w:val="12"/>
          <w:color w:val="auto"/>
        </w:rPr>
        <w:t xml:space="preserve"> shall not apply with respect to Taxes other than any Taxes that represent losses, claims, damages, etc. arising from any non- Tax claim.</w:t>
      </w:r>
    </w:p>
    <w:p>
      <w:pPr>
        <w:spacing w:after="0" w:line="112" w:lineRule="exact"/>
        <w:rPr>
          <w:sz w:val="20"/>
          <w:szCs w:val="20"/>
          <w:color w:val="auto"/>
        </w:rPr>
      </w:pPr>
    </w:p>
    <w:p>
      <w:pPr>
        <w:jc w:val="both"/>
        <w:ind w:left="220" w:firstLine="1620"/>
        <w:spacing w:after="0" w:line="290" w:lineRule="auto"/>
        <w:tabs>
          <w:tab w:leader="none" w:pos="2412" w:val="left"/>
        </w:tabs>
        <w:numPr>
          <w:ilvl w:val="0"/>
          <w:numId w:val="173"/>
        </w:numPr>
        <w:rPr>
          <w:rFonts w:ascii="Arial" w:cs="Arial" w:eastAsia="Arial" w:hAnsi="Arial"/>
          <w:sz w:val="12"/>
          <w:szCs w:val="12"/>
          <w:color w:val="auto"/>
        </w:rPr>
      </w:pPr>
      <w:r>
        <w:rPr>
          <w:rFonts w:ascii="Arial" w:cs="Arial" w:eastAsia="Arial" w:hAnsi="Arial"/>
          <w:sz w:val="12"/>
          <w:szCs w:val="12"/>
          <w:u w:val="single" w:color="auto"/>
          <w:color w:val="auto"/>
        </w:rPr>
        <w:t>Waiver of Consequential Damages, Etc.</w:t>
      </w:r>
      <w:r>
        <w:rPr>
          <w:rFonts w:ascii="Arial" w:cs="Arial" w:eastAsia="Arial" w:hAnsi="Arial"/>
          <w:sz w:val="12"/>
          <w:szCs w:val="12"/>
          <w:color w:val="auto"/>
        </w:rPr>
        <w:t xml:space="preserve"> To the fullest extent permitted by Law, the Loan Parties shall not assert, and hereby waive,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w:t>
      </w:r>
    </w:p>
    <w:p>
      <w:pPr>
        <w:spacing w:after="0" w:line="103" w:lineRule="exact"/>
        <w:rPr>
          <w:rFonts w:ascii="Arial" w:cs="Arial" w:eastAsia="Arial" w:hAnsi="Arial"/>
          <w:sz w:val="12"/>
          <w:szCs w:val="12"/>
          <w:color w:val="auto"/>
        </w:rPr>
      </w:pPr>
    </w:p>
    <w:p>
      <w:pPr>
        <w:ind w:left="2420" w:hanging="580"/>
        <w:spacing w:after="0"/>
        <w:tabs>
          <w:tab w:leader="none" w:pos="2420" w:val="left"/>
        </w:tabs>
        <w:numPr>
          <w:ilvl w:val="0"/>
          <w:numId w:val="173"/>
        </w:numPr>
        <w:rPr>
          <w:rFonts w:ascii="Arial" w:cs="Arial" w:eastAsia="Arial" w:hAnsi="Arial"/>
          <w:sz w:val="13"/>
          <w:szCs w:val="13"/>
          <w:color w:val="auto"/>
        </w:rPr>
      </w:pPr>
      <w:r>
        <w:rPr>
          <w:rFonts w:ascii="Arial" w:cs="Arial" w:eastAsia="Arial" w:hAnsi="Arial"/>
          <w:sz w:val="13"/>
          <w:szCs w:val="13"/>
          <w:u w:val="single" w:color="auto"/>
          <w:color w:val="auto"/>
        </w:rPr>
        <w:t>Payments</w:t>
      </w:r>
      <w:r>
        <w:rPr>
          <w:rFonts w:ascii="Arial" w:cs="Arial" w:eastAsia="Arial" w:hAnsi="Arial"/>
          <w:sz w:val="13"/>
          <w:szCs w:val="13"/>
          <w:color w:val="auto"/>
        </w:rPr>
        <w:t>. All amounts due under this Section shall be payable on demand therefor.</w:t>
      </w:r>
    </w:p>
    <w:p>
      <w:pPr>
        <w:spacing w:after="0" w:line="147" w:lineRule="exact"/>
        <w:rPr>
          <w:rFonts w:ascii="Arial" w:cs="Arial" w:eastAsia="Arial" w:hAnsi="Arial"/>
          <w:sz w:val="13"/>
          <w:szCs w:val="13"/>
          <w:color w:val="auto"/>
        </w:rPr>
      </w:pPr>
    </w:p>
    <w:p>
      <w:pPr>
        <w:jc w:val="both"/>
        <w:ind w:left="220" w:firstLine="1624"/>
        <w:spacing w:after="0" w:line="254" w:lineRule="auto"/>
        <w:tabs>
          <w:tab w:leader="none" w:pos="2413" w:val="left"/>
        </w:tabs>
        <w:numPr>
          <w:ilvl w:val="0"/>
          <w:numId w:val="173"/>
        </w:numPr>
        <w:rPr>
          <w:rFonts w:ascii="Arial" w:cs="Arial" w:eastAsia="Arial" w:hAnsi="Arial"/>
          <w:sz w:val="13"/>
          <w:szCs w:val="13"/>
          <w:color w:val="auto"/>
        </w:rPr>
      </w:pPr>
      <w:r>
        <w:rPr>
          <w:rFonts w:ascii="Arial" w:cs="Arial" w:eastAsia="Arial" w:hAnsi="Arial"/>
          <w:sz w:val="13"/>
          <w:szCs w:val="13"/>
          <w:u w:val="single" w:color="auto"/>
          <w:color w:val="auto"/>
        </w:rPr>
        <w:t>Limitation of Liability</w:t>
      </w:r>
      <w:r>
        <w:rPr>
          <w:rFonts w:ascii="Arial" w:cs="Arial" w:eastAsia="Arial" w:hAnsi="Arial"/>
          <w:sz w:val="13"/>
          <w:szCs w:val="13"/>
          <w:color w:val="auto"/>
        </w:rPr>
        <w:t>. No Indemnitee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23" w:lineRule="exact"/>
        <w:rPr>
          <w:rFonts w:ascii="Arial" w:cs="Arial" w:eastAsia="Arial" w:hAnsi="Arial"/>
          <w:sz w:val="13"/>
          <w:szCs w:val="13"/>
          <w:color w:val="auto"/>
        </w:rPr>
      </w:pPr>
    </w:p>
    <w:p>
      <w:pPr>
        <w:ind w:left="220" w:firstLine="1623"/>
        <w:spacing w:after="0" w:line="271" w:lineRule="auto"/>
        <w:tabs>
          <w:tab w:leader="none" w:pos="2396" w:val="left"/>
        </w:tabs>
        <w:numPr>
          <w:ilvl w:val="0"/>
          <w:numId w:val="173"/>
        </w:numPr>
        <w:rPr>
          <w:rFonts w:ascii="Arial" w:cs="Arial" w:eastAsia="Arial" w:hAnsi="Arial"/>
          <w:sz w:val="13"/>
          <w:szCs w:val="13"/>
          <w:color w:val="auto"/>
        </w:rPr>
      </w:pPr>
      <w:r>
        <w:rPr>
          <w:rFonts w:ascii="Arial" w:cs="Arial" w:eastAsia="Arial" w:hAnsi="Arial"/>
          <w:sz w:val="13"/>
          <w:szCs w:val="13"/>
          <w:u w:val="single" w:color="auto"/>
          <w:color w:val="auto"/>
        </w:rPr>
        <w:t>Survival</w:t>
      </w:r>
      <w:r>
        <w:rPr>
          <w:rFonts w:ascii="Arial" w:cs="Arial" w:eastAsia="Arial" w:hAnsi="Arial"/>
          <w:sz w:val="13"/>
          <w:szCs w:val="13"/>
          <w:color w:val="auto"/>
        </w:rPr>
        <w:t>. The agreements in this Section shall survive the resignation of any Agent, the L/C Issuer or the Swing Line Lender, the assignment of any Commitment or Loan by any Lender, the replacement of any Lender, the termination of the Aggregate Commitments and the repayment, satisfaction or discharge of all the other Obligations.</w:t>
      </w:r>
    </w:p>
    <w:p>
      <w:pPr>
        <w:spacing w:after="0" w:line="109" w:lineRule="exact"/>
        <w:rPr>
          <w:sz w:val="20"/>
          <w:szCs w:val="20"/>
          <w:color w:val="auto"/>
        </w:rPr>
      </w:pPr>
    </w:p>
    <w:p>
      <w:pPr>
        <w:jc w:val="both"/>
        <w:ind w:left="220" w:firstLine="808"/>
        <w:spacing w:after="0" w:line="275" w:lineRule="auto"/>
        <w:rPr>
          <w:sz w:val="20"/>
          <w:szCs w:val="20"/>
          <w:color w:val="auto"/>
        </w:rPr>
      </w:pPr>
      <w:r>
        <w:rPr>
          <w:rFonts w:ascii="Arial" w:cs="Arial" w:eastAsia="Arial" w:hAnsi="Arial"/>
          <w:sz w:val="12"/>
          <w:szCs w:val="12"/>
          <w:b w:val="1"/>
          <w:bCs w:val="1"/>
          <w:color w:val="auto"/>
        </w:rPr>
        <w:t>10.05 Payments Set Aside</w:t>
      </w:r>
      <w:r>
        <w:rPr>
          <w:rFonts w:ascii="Arial" w:cs="Arial" w:eastAsia="Arial" w:hAnsi="Arial"/>
          <w:sz w:val="12"/>
          <w:szCs w:val="12"/>
          <w:color w:val="auto"/>
        </w:rPr>
        <w:t>. To the extent that any payment by or on behalf of the Loan Parties is made to any Credit Party, or any Credit Party exercises its right of setoff, and such</w:t>
      </w:r>
      <w:r>
        <w:rPr>
          <w:rFonts w:ascii="Arial" w:cs="Arial" w:eastAsia="Arial" w:hAnsi="Arial"/>
          <w:sz w:val="12"/>
          <w:szCs w:val="12"/>
          <w:b w:val="1"/>
          <w:bCs w:val="1"/>
          <w:color w:val="auto"/>
        </w:rPr>
        <w:t xml:space="preserve"> </w:t>
      </w:r>
      <w:r>
        <w:rPr>
          <w:rFonts w:ascii="Arial" w:cs="Arial" w:eastAsia="Arial" w:hAnsi="Arial"/>
          <w:sz w:val="12"/>
          <w:szCs w:val="12"/>
          <w:color w:val="auto"/>
        </w:rPr>
        <w:t>payment or the proceeds of such setoff or any part thereof is subsequently invalidated, declared to be fraudulent or preferential, set aside or required (including pursuant to any settlement entered into by such Credit Party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Agent upon demand its Applicable Percentage (without duplication) of any amount so recovered from or repaid by the Agent, plus interest thereon from the date of such demand to the date such payment is made at a rate per annum equal to the Federal Funds Rate from time to time in effect. The obligations of the Lenders and the L/C Issuer under clause (b) of the preceding sentence shall survive the payment in full of the Obligations and the termination of this Agreement.</w:t>
      </w:r>
    </w:p>
    <w:p>
      <w:pPr>
        <w:spacing w:after="0" w:line="260"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131" w:name="page132"/>
    <w:bookmarkEnd w:id="131"/>
    <w:p>
      <w:pPr>
        <w:ind w:left="1040"/>
        <w:spacing w:after="0"/>
        <w:tabs>
          <w:tab w:leader="none" w:pos="1740" w:val="left"/>
        </w:tabs>
        <w:rPr>
          <w:sz w:val="20"/>
          <w:szCs w:val="20"/>
          <w:color w:val="auto"/>
        </w:rPr>
      </w:pPr>
      <w:r>
        <w:rPr>
          <w:rFonts w:ascii="Arial" w:cs="Arial" w:eastAsia="Arial" w:hAnsi="Arial"/>
          <w:sz w:val="13"/>
          <w:szCs w:val="13"/>
          <w:b w:val="1"/>
          <w:bCs w:val="1"/>
          <w:color w:val="auto"/>
        </w:rPr>
        <w:t>10.06</w:t>
      </w:r>
      <w:r>
        <w:rPr>
          <w:sz w:val="20"/>
          <w:szCs w:val="20"/>
          <w:color w:val="auto"/>
        </w:rPr>
        <w:tab/>
      </w:r>
      <w:r>
        <w:rPr>
          <w:rFonts w:ascii="Arial" w:cs="Arial" w:eastAsia="Arial" w:hAnsi="Arial"/>
          <w:sz w:val="10"/>
          <w:szCs w:val="10"/>
          <w:b w:val="1"/>
          <w:bCs w:val="1"/>
          <w:color w:val="auto"/>
        </w:rPr>
        <w:t>Successors and Assigns</w:t>
      </w:r>
      <w:r>
        <w:rPr>
          <w:rFonts w:ascii="Arial" w:cs="Arial" w:eastAsia="Arial" w:hAnsi="Arial"/>
          <w:sz w:val="10"/>
          <w:szCs w:val="10"/>
          <w:color w:val="auto"/>
        </w:rPr>
        <w:t>.</w:t>
      </w:r>
    </w:p>
    <w:p>
      <w:pPr>
        <w:spacing w:after="0" w:line="153" w:lineRule="exact"/>
        <w:rPr>
          <w:sz w:val="20"/>
          <w:szCs w:val="20"/>
          <w:color w:val="auto"/>
        </w:rPr>
      </w:pPr>
    </w:p>
    <w:p>
      <w:pPr>
        <w:jc w:val="both"/>
        <w:ind w:left="220" w:firstLine="1623"/>
        <w:spacing w:after="0" w:line="274" w:lineRule="auto"/>
        <w:tabs>
          <w:tab w:leader="none" w:pos="2411" w:val="left"/>
        </w:tabs>
        <w:numPr>
          <w:ilvl w:val="0"/>
          <w:numId w:val="174"/>
        </w:numPr>
        <w:rPr>
          <w:rFonts w:ascii="Arial" w:cs="Arial" w:eastAsia="Arial" w:hAnsi="Arial"/>
          <w:sz w:val="12"/>
          <w:szCs w:val="12"/>
          <w:color w:val="auto"/>
        </w:rPr>
      </w:pPr>
      <w:r>
        <w:rPr>
          <w:rFonts w:ascii="Arial" w:cs="Arial" w:eastAsia="Arial" w:hAnsi="Arial"/>
          <w:sz w:val="12"/>
          <w:szCs w:val="12"/>
          <w:u w:val="single" w:color="auto"/>
          <w:color w:val="auto"/>
        </w:rPr>
        <w:t>Successors and Assigns Generally</w:t>
      </w:r>
      <w:r>
        <w:rPr>
          <w:rFonts w:ascii="Arial" w:cs="Arial" w:eastAsia="Arial" w:hAnsi="Arial"/>
          <w:sz w:val="12"/>
          <w:szCs w:val="12"/>
          <w:color w:val="auto"/>
        </w:rPr>
        <w:t xml:space="preserve">. The provisions of this Agreement shall be binding upon and inure to the benefit of the parties hereto and their respective successors and assigns permitted hereby, except that no Loan Party may assign or otherwise transfer any of its rights or obligations hereunder or under any other Loan Document without the prior written Consent of the Agent and each Lender and no Lender may assign or otherwise transfer any of its rights or obligations hereunder except (i) to an Eligible Assignee in accordance with the provisions of </w:t>
      </w:r>
      <w:r>
        <w:rPr>
          <w:rFonts w:ascii="Arial" w:cs="Arial" w:eastAsia="Arial" w:hAnsi="Arial"/>
          <w:sz w:val="12"/>
          <w:szCs w:val="12"/>
          <w:u w:val="single" w:color="auto"/>
          <w:color w:val="auto"/>
        </w:rPr>
        <w:t>Section 10.06(b)</w:t>
      </w:r>
      <w:r>
        <w:rPr>
          <w:rFonts w:ascii="Arial" w:cs="Arial" w:eastAsia="Arial" w:hAnsi="Arial"/>
          <w:sz w:val="12"/>
          <w:szCs w:val="12"/>
          <w:color w:val="auto"/>
        </w:rPr>
        <w:t xml:space="preserve">, (ii) by way of participation in accordance with the provisions of subsection </w:t>
      </w:r>
      <w:r>
        <w:rPr>
          <w:rFonts w:ascii="Arial" w:cs="Arial" w:eastAsia="Arial" w:hAnsi="Arial"/>
          <w:sz w:val="12"/>
          <w:szCs w:val="12"/>
          <w:u w:val="single" w:color="auto"/>
          <w:color w:val="auto"/>
        </w:rPr>
        <w:t>Section 10.06(d)</w:t>
      </w:r>
      <w:r>
        <w:rPr>
          <w:rFonts w:ascii="Arial" w:cs="Arial" w:eastAsia="Arial" w:hAnsi="Arial"/>
          <w:sz w:val="12"/>
          <w:szCs w:val="12"/>
          <w:color w:val="auto"/>
        </w:rPr>
        <w:t xml:space="preserve">, or (iii) by way of pledge or assignment of a security interest subject to the restrictions of </w:t>
      </w:r>
      <w:r>
        <w:rPr>
          <w:rFonts w:ascii="Arial" w:cs="Arial" w:eastAsia="Arial" w:hAnsi="Arial"/>
          <w:sz w:val="12"/>
          <w:szCs w:val="12"/>
          <w:u w:val="single" w:color="auto"/>
          <w:color w:val="auto"/>
        </w:rPr>
        <w:t>Section 10.06(f)</w:t>
      </w:r>
      <w:r>
        <w:rPr>
          <w:rFonts w:ascii="Arial" w:cs="Arial" w:eastAsia="Arial" w:hAnsi="Arial"/>
          <w:sz w:val="12"/>
          <w:szCs w:val="12"/>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Credit Parties) any legal or equitable right, remedy or claim under or by reason of this Agreement.</w:t>
      </w:r>
    </w:p>
    <w:p>
      <w:pPr>
        <w:spacing w:after="0" w:line="113" w:lineRule="exact"/>
        <w:rPr>
          <w:rFonts w:ascii="Arial" w:cs="Arial" w:eastAsia="Arial" w:hAnsi="Arial"/>
          <w:sz w:val="12"/>
          <w:szCs w:val="12"/>
          <w:color w:val="auto"/>
        </w:rPr>
      </w:pPr>
    </w:p>
    <w:p>
      <w:pPr>
        <w:jc w:val="both"/>
        <w:ind w:left="220" w:firstLine="1623"/>
        <w:spacing w:after="0" w:line="258" w:lineRule="auto"/>
        <w:tabs>
          <w:tab w:leader="none" w:pos="2418" w:val="left"/>
        </w:tabs>
        <w:numPr>
          <w:ilvl w:val="0"/>
          <w:numId w:val="174"/>
        </w:numPr>
        <w:rPr>
          <w:rFonts w:ascii="Arial" w:cs="Arial" w:eastAsia="Arial" w:hAnsi="Arial"/>
          <w:sz w:val="13"/>
          <w:szCs w:val="13"/>
          <w:color w:val="auto"/>
        </w:rPr>
      </w:pPr>
      <w:r>
        <w:rPr>
          <w:rFonts w:ascii="Arial" w:cs="Arial" w:eastAsia="Arial" w:hAnsi="Arial"/>
          <w:sz w:val="13"/>
          <w:szCs w:val="13"/>
          <w:u w:val="single" w:color="auto"/>
          <w:color w:val="auto"/>
        </w:rPr>
        <w:t>Assignments by Lenders</w:t>
      </w:r>
      <w:r>
        <w:rPr>
          <w:rFonts w:ascii="Arial" w:cs="Arial" w:eastAsia="Arial" w:hAnsi="Arial"/>
          <w:sz w:val="13"/>
          <w:szCs w:val="13"/>
          <w:color w:val="auto"/>
        </w:rPr>
        <w:t xml:space="preserve">. Any Lender may at any time assign to one or more Eligible Assignees all or a portion of its rights and obligations under this Agreement (including all or a portion of its Commitment(s) and the Loans (including for purposes of this </w:t>
      </w:r>
      <w:r>
        <w:rPr>
          <w:rFonts w:ascii="Arial" w:cs="Arial" w:eastAsia="Arial" w:hAnsi="Arial"/>
          <w:sz w:val="13"/>
          <w:szCs w:val="13"/>
          <w:u w:val="single" w:color="auto"/>
          <w:color w:val="auto"/>
        </w:rPr>
        <w:t>Section 10.06(b)</w:t>
      </w:r>
      <w:r>
        <w:rPr>
          <w:rFonts w:ascii="Arial" w:cs="Arial" w:eastAsia="Arial" w:hAnsi="Arial"/>
          <w:sz w:val="13"/>
          <w:szCs w:val="13"/>
          <w:color w:val="auto"/>
        </w:rPr>
        <w:t xml:space="preserve">, participations in L/C Obligations and in Swing Line Loans) at the time owing to it);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any such assignment shall be subject to the following conditions:</w:t>
      </w:r>
    </w:p>
    <w:p>
      <w:pPr>
        <w:spacing w:after="0" w:line="121" w:lineRule="exact"/>
        <w:rPr>
          <w:rFonts w:ascii="Arial" w:cs="Arial" w:eastAsia="Arial" w:hAnsi="Arial"/>
          <w:sz w:val="13"/>
          <w:szCs w:val="13"/>
          <w:color w:val="auto"/>
        </w:rPr>
      </w:pPr>
    </w:p>
    <w:p>
      <w:pPr>
        <w:ind w:left="3120" w:hanging="560"/>
        <w:spacing w:after="0"/>
        <w:tabs>
          <w:tab w:leader="none" w:pos="3120" w:val="left"/>
        </w:tabs>
        <w:numPr>
          <w:ilvl w:val="1"/>
          <w:numId w:val="174"/>
        </w:numPr>
        <w:rPr>
          <w:rFonts w:ascii="Arial" w:cs="Arial" w:eastAsia="Arial" w:hAnsi="Arial"/>
          <w:sz w:val="13"/>
          <w:szCs w:val="13"/>
          <w:color w:val="auto"/>
        </w:rPr>
      </w:pPr>
      <w:r>
        <w:rPr>
          <w:rFonts w:ascii="Arial" w:cs="Arial" w:eastAsia="Arial" w:hAnsi="Arial"/>
          <w:sz w:val="13"/>
          <w:szCs w:val="13"/>
          <w:color w:val="auto"/>
        </w:rPr>
        <w:t>Minimum Amounts.</w:t>
      </w:r>
    </w:p>
    <w:p>
      <w:pPr>
        <w:spacing w:after="0" w:line="147" w:lineRule="exact"/>
        <w:rPr>
          <w:rFonts w:ascii="Arial" w:cs="Arial" w:eastAsia="Arial" w:hAnsi="Arial"/>
          <w:sz w:val="13"/>
          <w:szCs w:val="13"/>
          <w:color w:val="auto"/>
        </w:rPr>
      </w:pPr>
    </w:p>
    <w:p>
      <w:pPr>
        <w:ind w:left="1060" w:firstLine="2246"/>
        <w:spacing w:after="0" w:line="314" w:lineRule="auto"/>
        <w:tabs>
          <w:tab w:leader="none" w:pos="3911" w:val="left"/>
        </w:tabs>
        <w:numPr>
          <w:ilvl w:val="2"/>
          <w:numId w:val="174"/>
        </w:numPr>
        <w:rPr>
          <w:rFonts w:ascii="Arial" w:cs="Arial" w:eastAsia="Arial" w:hAnsi="Arial"/>
          <w:sz w:val="12"/>
          <w:szCs w:val="12"/>
          <w:color w:val="auto"/>
        </w:rPr>
      </w:pPr>
      <w:r>
        <w:rPr>
          <w:rFonts w:ascii="Arial" w:cs="Arial" w:eastAsia="Arial" w:hAnsi="Arial"/>
          <w:sz w:val="12"/>
          <w:szCs w:val="12"/>
          <w:color w:val="auto"/>
        </w:rPr>
        <w:t>in the case of an assignment of the entire remaining amount of the assigning Lender's Revolving Commitment and the Loans at the time owing to it or in the case of an assignment to a Lender or an Affiliate of a Lender or an Approved Fund with respect to a Lender, no minimum amount need be assigned; and</w:t>
      </w:r>
    </w:p>
    <w:p>
      <w:pPr>
        <w:spacing w:after="0" w:line="89" w:lineRule="exact"/>
        <w:rPr>
          <w:rFonts w:ascii="Arial" w:cs="Arial" w:eastAsia="Arial" w:hAnsi="Arial"/>
          <w:sz w:val="12"/>
          <w:szCs w:val="12"/>
          <w:color w:val="auto"/>
        </w:rPr>
      </w:pPr>
    </w:p>
    <w:p>
      <w:pPr>
        <w:jc w:val="both"/>
        <w:ind w:left="1060" w:firstLine="2246"/>
        <w:spacing w:after="0" w:line="272" w:lineRule="auto"/>
        <w:tabs>
          <w:tab w:leader="none" w:pos="3904" w:val="left"/>
        </w:tabs>
        <w:numPr>
          <w:ilvl w:val="2"/>
          <w:numId w:val="174"/>
        </w:numPr>
        <w:rPr>
          <w:rFonts w:ascii="Arial" w:cs="Arial" w:eastAsia="Arial" w:hAnsi="Arial"/>
          <w:sz w:val="12"/>
          <w:szCs w:val="12"/>
          <w:color w:val="auto"/>
        </w:rPr>
      </w:pPr>
      <w:r>
        <w:rPr>
          <w:rFonts w:ascii="Arial" w:cs="Arial" w:eastAsia="Arial" w:hAnsi="Arial"/>
          <w:sz w:val="12"/>
          <w:szCs w:val="12"/>
          <w:color w:val="auto"/>
        </w:rPr>
        <w:t xml:space="preserve">in any case not described in subsection (b)(i)(A)of this Section, (i) the aggregate amount of the Revolving Commitment (which for this purpose includes Revolving Loans outstanding thereunder) or, if the Revolving Commitment is not then in effect, the principal outstanding balance of the Revolving Loans of the assigning Revolving Lender subject to each such assignment, determined as of the date the Assignment and Assumption with respect to such assignment is delivered to the Agent or, if “Trade Date” is specified in the Assignment and Assumption, as of the Trade Date, shall not be less than $5,000,000 and (ii) the principal outstanding balance of the FILO Loan of the assigning FILO Lender subject to each such assignment, determined as of the date the Assignment and Assumption with respect to such assignment is delivered to the Agent or, if “Trade Date” is specified in the Assignment and Assumption, as of the Trade Date, shall not be less than $1,000,000, unless each of the Agent and, so long as no Default or Event of Default has occurred and is continuing, the Lead Borrower otherwise consents (each such consent not to be unreasonably withheld or delayed);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14" w:lineRule="exact"/>
        <w:rPr>
          <w:rFonts w:ascii="Arial" w:cs="Arial" w:eastAsia="Arial" w:hAnsi="Arial"/>
          <w:sz w:val="12"/>
          <w:szCs w:val="12"/>
          <w:color w:val="auto"/>
        </w:rPr>
      </w:pPr>
    </w:p>
    <w:p>
      <w:pPr>
        <w:jc w:val="both"/>
        <w:ind w:left="1080" w:firstLine="1484"/>
        <w:spacing w:after="0" w:line="258" w:lineRule="auto"/>
        <w:tabs>
          <w:tab w:leader="none" w:pos="3164" w:val="left"/>
        </w:tabs>
        <w:numPr>
          <w:ilvl w:val="1"/>
          <w:numId w:val="174"/>
        </w:numPr>
        <w:rPr>
          <w:rFonts w:ascii="Arial" w:cs="Arial" w:eastAsia="Arial" w:hAnsi="Arial"/>
          <w:sz w:val="13"/>
          <w:szCs w:val="13"/>
          <w:color w:val="auto"/>
        </w:rPr>
      </w:pPr>
      <w:r>
        <w:rPr>
          <w:rFonts w:ascii="Arial" w:cs="Arial" w:eastAsia="Arial" w:hAnsi="Arial"/>
          <w:sz w:val="13"/>
          <w:szCs w:val="13"/>
          <w:u w:val="single" w:color="auto"/>
          <w:color w:val="auto"/>
        </w:rPr>
        <w:t>Proportionate Amounts</w:t>
      </w:r>
      <w:r>
        <w:rPr>
          <w:rFonts w:ascii="Arial" w:cs="Arial" w:eastAsia="Arial" w:hAnsi="Arial"/>
          <w:sz w:val="13"/>
          <w:szCs w:val="13"/>
          <w:color w:val="auto"/>
        </w:rPr>
        <w:t>. Each partial assignment shall be made as an assignment of a proportionate part of all the assigning Lender's rights and obligations under this Agreement with respect to the Loans or the Commitment assigned, except that this clause (ii) shall not apply to the Swing Line Lender’s rights and obligations in respect of Swing Line Loans;</w:t>
      </w:r>
    </w:p>
    <w:p>
      <w:pPr>
        <w:spacing w:after="0" w:line="269"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4" w:right="439" w:bottom="1440" w:gutter="0" w:footer="0" w:header="0"/>
        </w:sectPr>
      </w:pPr>
    </w:p>
    <w:bookmarkStart w:id="132" w:name="page133"/>
    <w:bookmarkEnd w:id="132"/>
    <w:p>
      <w:pPr>
        <w:ind w:left="2560"/>
        <w:spacing w:after="0"/>
        <w:tabs>
          <w:tab w:leader="none" w:pos="3180" w:val="left"/>
        </w:tabs>
        <w:rPr>
          <w:sz w:val="20"/>
          <w:szCs w:val="20"/>
          <w:color w:val="auto"/>
        </w:rPr>
      </w:pPr>
      <w:r>
        <w:rPr>
          <w:rFonts w:ascii="Arial" w:cs="Arial" w:eastAsia="Arial" w:hAnsi="Arial"/>
          <w:sz w:val="12"/>
          <w:szCs w:val="12"/>
          <w:color w:val="auto"/>
        </w:rPr>
        <w:t>(iii)</w:t>
      </w:r>
      <w:r>
        <w:rPr>
          <w:sz w:val="20"/>
          <w:szCs w:val="20"/>
          <w:color w:val="auto"/>
        </w:rPr>
        <w:tab/>
      </w:r>
      <w:r>
        <w:rPr>
          <w:rFonts w:ascii="Arial" w:cs="Arial" w:eastAsia="Arial" w:hAnsi="Arial"/>
          <w:sz w:val="12"/>
          <w:szCs w:val="12"/>
          <w:u w:val="single" w:color="auto"/>
          <w:color w:val="auto"/>
        </w:rPr>
        <w:t>Required Consents</w:t>
      </w:r>
      <w:r>
        <w:rPr>
          <w:rFonts w:ascii="Arial" w:cs="Arial" w:eastAsia="Arial" w:hAnsi="Arial"/>
          <w:sz w:val="12"/>
          <w:szCs w:val="12"/>
          <w:color w:val="auto"/>
        </w:rPr>
        <w:t>. No consent shall be required for any assignment except to the extent required by subsection (b)(i)(B) of this Section and, in</w:t>
      </w:r>
    </w:p>
    <w:p>
      <w:pPr>
        <w:spacing w:after="0" w:line="2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addition:</w:t>
      </w:r>
    </w:p>
    <w:p>
      <w:pPr>
        <w:spacing w:after="0" w:line="138" w:lineRule="exact"/>
        <w:rPr>
          <w:sz w:val="20"/>
          <w:szCs w:val="20"/>
          <w:color w:val="auto"/>
        </w:rPr>
      </w:pPr>
    </w:p>
    <w:p>
      <w:pPr>
        <w:ind w:left="1080" w:firstLine="2229"/>
        <w:spacing w:after="0" w:line="364" w:lineRule="auto"/>
        <w:tabs>
          <w:tab w:leader="none" w:pos="3931" w:val="left"/>
        </w:tabs>
        <w:numPr>
          <w:ilvl w:val="2"/>
          <w:numId w:val="175"/>
        </w:numPr>
        <w:rPr>
          <w:rFonts w:ascii="Arial" w:cs="Arial" w:eastAsia="Arial" w:hAnsi="Arial"/>
          <w:sz w:val="11"/>
          <w:szCs w:val="11"/>
          <w:color w:val="auto"/>
        </w:rPr>
      </w:pPr>
      <w:r>
        <w:rPr>
          <w:rFonts w:ascii="Arial" w:cs="Arial" w:eastAsia="Arial" w:hAnsi="Arial"/>
          <w:sz w:val="11"/>
          <w:szCs w:val="11"/>
          <w:color w:val="auto"/>
        </w:rPr>
        <w:t>the consent of the Lead Borrower (such consent not to be unreasonably withheld or delayed) shall be required unless (1) a Default or Event of Default has occurred and is continuing at the time of such assignment or (2) such assignment is to a Lender, an Affiliate of a Lender or an Approved Fund with respect to such Lender; and</w:t>
      </w:r>
    </w:p>
    <w:p>
      <w:pPr>
        <w:spacing w:after="0" w:line="66" w:lineRule="exact"/>
        <w:rPr>
          <w:rFonts w:ascii="Arial" w:cs="Arial" w:eastAsia="Arial" w:hAnsi="Arial"/>
          <w:sz w:val="11"/>
          <w:szCs w:val="11"/>
          <w:color w:val="auto"/>
        </w:rPr>
      </w:pPr>
    </w:p>
    <w:p>
      <w:pPr>
        <w:jc w:val="both"/>
        <w:ind w:left="1080" w:firstLine="2229"/>
        <w:spacing w:after="0" w:line="258" w:lineRule="auto"/>
        <w:tabs>
          <w:tab w:leader="none" w:pos="3923" w:val="left"/>
        </w:tabs>
        <w:numPr>
          <w:ilvl w:val="2"/>
          <w:numId w:val="175"/>
        </w:numPr>
        <w:rPr>
          <w:rFonts w:ascii="Arial" w:cs="Arial" w:eastAsia="Arial" w:hAnsi="Arial"/>
          <w:sz w:val="13"/>
          <w:szCs w:val="13"/>
          <w:color w:val="auto"/>
        </w:rPr>
      </w:pPr>
      <w:r>
        <w:rPr>
          <w:rFonts w:ascii="Arial" w:cs="Arial" w:eastAsia="Arial" w:hAnsi="Arial"/>
          <w:sz w:val="13"/>
          <w:szCs w:val="13"/>
          <w:color w:val="auto"/>
        </w:rPr>
        <w:t>the consent of the Agent, the L/C Issuer and the Swing Line Lender (such consent not to be unreasonably withheld or delayed) shall be required for assignments in respect of any Revolving Commitment if such assignment is to a Person that is not a Lender, an Affiliate of such Lender or an Approved Fund with respect to such Lender; and</w:t>
      </w:r>
    </w:p>
    <w:p>
      <w:pPr>
        <w:spacing w:after="0" w:line="121" w:lineRule="exact"/>
        <w:rPr>
          <w:rFonts w:ascii="Arial" w:cs="Arial" w:eastAsia="Arial" w:hAnsi="Arial"/>
          <w:sz w:val="13"/>
          <w:szCs w:val="13"/>
          <w:color w:val="auto"/>
        </w:rPr>
      </w:pPr>
    </w:p>
    <w:p>
      <w:pPr>
        <w:jc w:val="both"/>
        <w:ind w:left="1060" w:firstLine="1500"/>
        <w:spacing w:after="0" w:line="258" w:lineRule="auto"/>
        <w:tabs>
          <w:tab w:leader="none" w:pos="3174" w:val="left"/>
        </w:tabs>
        <w:numPr>
          <w:ilvl w:val="1"/>
          <w:numId w:val="176"/>
        </w:numPr>
        <w:rPr>
          <w:rFonts w:ascii="Arial" w:cs="Arial" w:eastAsia="Arial" w:hAnsi="Arial"/>
          <w:sz w:val="13"/>
          <w:szCs w:val="13"/>
          <w:color w:val="auto"/>
        </w:rPr>
      </w:pPr>
      <w:r>
        <w:rPr>
          <w:rFonts w:ascii="Arial" w:cs="Arial" w:eastAsia="Arial" w:hAnsi="Arial"/>
          <w:sz w:val="13"/>
          <w:szCs w:val="13"/>
          <w:u w:val="single" w:color="auto"/>
          <w:color w:val="auto"/>
        </w:rPr>
        <w:t>Assignment and Assumption</w:t>
      </w:r>
      <w:r>
        <w:rPr>
          <w:rFonts w:ascii="Arial" w:cs="Arial" w:eastAsia="Arial" w:hAnsi="Arial"/>
          <w:sz w:val="13"/>
          <w:szCs w:val="13"/>
          <w:color w:val="auto"/>
        </w:rPr>
        <w:t xml:space="preserve">. The parties to each assignment shall execute and deliver to the Agent an Assignment and Assumption, together with a processing and recordation fee of $3,500,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Agent may, in its sole discretion, elect to waive such processing and recordation fee in the case of any assignment. The assignee, if it shall not be a Lender, shall deliver to the Agent an Administrative Questionnaire.</w:t>
      </w:r>
    </w:p>
    <w:p>
      <w:pPr>
        <w:spacing w:after="0" w:line="121" w:lineRule="exact"/>
        <w:rPr>
          <w:rFonts w:ascii="Arial" w:cs="Arial" w:eastAsia="Arial" w:hAnsi="Arial"/>
          <w:sz w:val="13"/>
          <w:szCs w:val="13"/>
          <w:color w:val="auto"/>
        </w:rPr>
      </w:pPr>
    </w:p>
    <w:p>
      <w:pPr>
        <w:jc w:val="both"/>
        <w:ind w:left="1060" w:firstLine="1500"/>
        <w:spacing w:after="0" w:line="275" w:lineRule="auto"/>
        <w:tabs>
          <w:tab w:leader="none" w:pos="3138" w:val="left"/>
        </w:tabs>
        <w:numPr>
          <w:ilvl w:val="1"/>
          <w:numId w:val="176"/>
        </w:numPr>
        <w:rPr>
          <w:rFonts w:ascii="Arial" w:cs="Arial" w:eastAsia="Arial" w:hAnsi="Arial"/>
          <w:sz w:val="12"/>
          <w:szCs w:val="12"/>
          <w:color w:val="auto"/>
        </w:rPr>
      </w:pPr>
      <w:r>
        <w:rPr>
          <w:rFonts w:ascii="Arial" w:cs="Arial" w:eastAsia="Arial" w:hAnsi="Arial"/>
          <w:sz w:val="12"/>
          <w:szCs w:val="12"/>
          <w:u w:val="single" w:color="auto"/>
          <w:color w:val="auto"/>
        </w:rPr>
        <w:t>No Assignment to Certain Persons</w:t>
      </w:r>
      <w:r>
        <w:rPr>
          <w:rFonts w:ascii="Arial" w:cs="Arial" w:eastAsia="Arial" w:hAnsi="Arial"/>
          <w:sz w:val="12"/>
          <w:szCs w:val="12"/>
          <w:color w:val="auto"/>
        </w:rPr>
        <w:t>. No such assignment shall be made (A) to the Loan Parties or any of the Loan Parties’ Subsidiaries, (B) to any Defaulting Lender or any of its Subsidiaries or Affiliates, or any Person who, upon becoming a Lender hereunder, would constitute any of the foregoing Persons described in this clause (B), or</w:t>
      </w:r>
    </w:p>
    <w:p>
      <w:pPr>
        <w:ind w:left="1280" w:hanging="211"/>
        <w:spacing w:after="0"/>
        <w:tabs>
          <w:tab w:leader="none" w:pos="1280" w:val="left"/>
        </w:tabs>
        <w:numPr>
          <w:ilvl w:val="0"/>
          <w:numId w:val="177"/>
        </w:numPr>
        <w:rPr>
          <w:rFonts w:ascii="Arial" w:cs="Arial" w:eastAsia="Arial" w:hAnsi="Arial"/>
          <w:sz w:val="13"/>
          <w:szCs w:val="13"/>
          <w:color w:val="auto"/>
        </w:rPr>
      </w:pPr>
      <w:r>
        <w:rPr>
          <w:rFonts w:ascii="Arial" w:cs="Arial" w:eastAsia="Arial" w:hAnsi="Arial"/>
          <w:sz w:val="13"/>
          <w:szCs w:val="13"/>
          <w:color w:val="auto"/>
        </w:rPr>
        <w:t>to a natural Person.</w:t>
      </w:r>
    </w:p>
    <w:p>
      <w:pPr>
        <w:spacing w:after="0" w:line="137" w:lineRule="exact"/>
        <w:rPr>
          <w:rFonts w:ascii="Arial" w:cs="Arial" w:eastAsia="Arial" w:hAnsi="Arial"/>
          <w:sz w:val="13"/>
          <w:szCs w:val="13"/>
          <w:color w:val="auto"/>
        </w:rPr>
      </w:pPr>
    </w:p>
    <w:p>
      <w:pPr>
        <w:jc w:val="both"/>
        <w:ind w:left="1080" w:firstLine="1484"/>
        <w:spacing w:after="0" w:line="249" w:lineRule="auto"/>
        <w:tabs>
          <w:tab w:leader="none" w:pos="3194" w:val="left"/>
        </w:tabs>
        <w:numPr>
          <w:ilvl w:val="1"/>
          <w:numId w:val="177"/>
        </w:numPr>
        <w:rPr>
          <w:rFonts w:ascii="Arial" w:cs="Arial" w:eastAsia="Arial" w:hAnsi="Arial"/>
          <w:sz w:val="13"/>
          <w:szCs w:val="13"/>
          <w:color w:val="auto"/>
        </w:rPr>
      </w:pPr>
      <w:r>
        <w:rPr>
          <w:rFonts w:ascii="Arial" w:cs="Arial" w:eastAsia="Arial" w:hAnsi="Arial"/>
          <w:sz w:val="13"/>
          <w:szCs w:val="13"/>
          <w:u w:val="single" w:color="auto"/>
          <w:color w:val="auto"/>
        </w:rPr>
        <w:t>Certain Additional Payments</w:t>
      </w:r>
      <w:r>
        <w:rPr>
          <w:rFonts w:ascii="Arial" w:cs="Arial" w:eastAsia="Arial" w:hAnsi="Arial"/>
          <w:sz w:val="13"/>
          <w:szCs w:val="13"/>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Agent in an aggregate amount sufficient, upon distribution thereof as appropriate (which may be outright payment, purchases by the assignee of participations or subparticipations, or other compensating actions, including funding, with the consent of the Lead Borrower and the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Agent, the L/C Issuer or 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26" w:lineRule="exact"/>
        <w:rPr>
          <w:sz w:val="20"/>
          <w:szCs w:val="20"/>
          <w:color w:val="auto"/>
        </w:rPr>
      </w:pPr>
    </w:p>
    <w:p>
      <w:pPr>
        <w:jc w:val="both"/>
        <w:ind w:left="220"/>
        <w:spacing w:after="0" w:line="282" w:lineRule="auto"/>
        <w:rPr>
          <w:sz w:val="20"/>
          <w:szCs w:val="20"/>
          <w:color w:val="auto"/>
        </w:rPr>
      </w:pPr>
      <w:r>
        <w:rPr>
          <w:rFonts w:ascii="Arial" w:cs="Arial" w:eastAsia="Arial" w:hAnsi="Arial"/>
          <w:sz w:val="12"/>
          <w:szCs w:val="12"/>
          <w:color w:val="auto"/>
        </w:rPr>
        <w:t xml:space="preserve">Subject to acceptance and recording thereof by the Agent pursuant to subsection (c) of this Section,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2"/>
          <w:szCs w:val="12"/>
          <w:u w:val="single" w:color="auto"/>
          <w:color w:val="auto"/>
        </w:rPr>
        <w:t>Sections 3.01</w:t>
      </w:r>
      <w:r>
        <w:rPr>
          <w:rFonts w:ascii="Arial" w:cs="Arial" w:eastAsia="Arial" w:hAnsi="Arial"/>
          <w:sz w:val="12"/>
          <w:szCs w:val="12"/>
          <w:color w:val="auto"/>
        </w:rPr>
        <w:t>,</w:t>
      </w:r>
    </w:p>
    <w:p>
      <w:pPr>
        <w:spacing w:after="0" w:line="255"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133" w:name="page134"/>
    <w:bookmarkEnd w:id="133"/>
    <w:p>
      <w:pPr>
        <w:jc w:val="both"/>
        <w:ind w:left="220"/>
        <w:spacing w:after="0" w:line="283" w:lineRule="auto"/>
        <w:rPr>
          <w:sz w:val="20"/>
          <w:szCs w:val="20"/>
          <w:color w:val="auto"/>
        </w:rPr>
      </w:pPr>
      <w:r>
        <w:rPr>
          <w:rFonts w:ascii="Arial" w:cs="Arial" w:eastAsia="Arial" w:hAnsi="Arial"/>
          <w:sz w:val="12"/>
          <w:szCs w:val="12"/>
          <w:u w:val="single" w:color="auto"/>
          <w:color w:val="auto"/>
        </w:rPr>
        <w:t>3.04</w:t>
      </w:r>
      <w:r>
        <w:rPr>
          <w:rFonts w:ascii="Arial" w:cs="Arial" w:eastAsia="Arial" w:hAnsi="Arial"/>
          <w:sz w:val="12"/>
          <w:szCs w:val="12"/>
          <w:color w:val="auto"/>
        </w:rPr>
        <w:t xml:space="preserve">, </w:t>
      </w:r>
      <w:r>
        <w:rPr>
          <w:rFonts w:ascii="Arial" w:cs="Arial" w:eastAsia="Arial" w:hAnsi="Arial"/>
          <w:sz w:val="12"/>
          <w:szCs w:val="12"/>
          <w:u w:val="single" w:color="auto"/>
          <w:color w:val="auto"/>
        </w:rPr>
        <w:t>3.05</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10.04</w:t>
      </w:r>
      <w:r>
        <w:rPr>
          <w:rFonts w:ascii="Arial" w:cs="Arial" w:eastAsia="Arial" w:hAnsi="Arial"/>
          <w:sz w:val="12"/>
          <w:szCs w:val="12"/>
          <w:color w:val="auto"/>
        </w:rPr>
        <w:t xml:space="preserve"> with respect to facts and circumstances occurring prior to the effective date of such assignment;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Borrowers (at their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12"/>
          <w:szCs w:val="12"/>
          <w:u w:val="single" w:color="auto"/>
          <w:color w:val="auto"/>
        </w:rPr>
        <w:t>Section 10.06(d)</w:t>
      </w:r>
      <w:r>
        <w:rPr>
          <w:rFonts w:ascii="Arial" w:cs="Arial" w:eastAsia="Arial" w:hAnsi="Arial"/>
          <w:sz w:val="12"/>
          <w:szCs w:val="12"/>
          <w:color w:val="auto"/>
        </w:rPr>
        <w:t>.</w:t>
      </w:r>
    </w:p>
    <w:p>
      <w:pPr>
        <w:spacing w:after="0" w:line="107" w:lineRule="exact"/>
        <w:rPr>
          <w:sz w:val="20"/>
          <w:szCs w:val="20"/>
          <w:color w:val="auto"/>
        </w:rPr>
      </w:pPr>
    </w:p>
    <w:p>
      <w:pPr>
        <w:jc w:val="both"/>
        <w:ind w:left="220" w:firstLine="1623"/>
        <w:spacing w:after="0" w:line="251" w:lineRule="auto"/>
        <w:tabs>
          <w:tab w:leader="none" w:pos="2411" w:val="left"/>
        </w:tabs>
        <w:numPr>
          <w:ilvl w:val="0"/>
          <w:numId w:val="178"/>
        </w:numPr>
        <w:rPr>
          <w:rFonts w:ascii="Arial" w:cs="Arial" w:eastAsia="Arial" w:hAnsi="Arial"/>
          <w:sz w:val="13"/>
          <w:szCs w:val="13"/>
          <w:color w:val="auto"/>
        </w:rPr>
      </w:pPr>
      <w:r>
        <w:rPr>
          <w:rFonts w:ascii="Arial" w:cs="Arial" w:eastAsia="Arial" w:hAnsi="Arial"/>
          <w:sz w:val="13"/>
          <w:szCs w:val="13"/>
          <w:u w:val="single" w:color="auto"/>
          <w:color w:val="auto"/>
        </w:rPr>
        <w:t>Register</w:t>
      </w:r>
      <w:r>
        <w:rPr>
          <w:rFonts w:ascii="Arial" w:cs="Arial" w:eastAsia="Arial" w:hAnsi="Arial"/>
          <w:sz w:val="13"/>
          <w:szCs w:val="13"/>
          <w:color w:val="auto"/>
        </w:rPr>
        <w:t>. The Agent, acting solely for this purpose as an agent of the Borrowers (and such agency being solely for tax purposes), shall maintain at the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“Register”). The entries in the Register shall be conclusive, absent manifest error, and the Loan Parties, the Agent and the Lenders may treat each Person whose name is recorded in the Register pursuant to the terms hereof as a Lender hereunder for all purposes of this Agreement, notwithstanding notice to the contrary. The Register shall be available for inspection by the Lead Borrower and any Lender at any reasonable time and from time to time upon reasonable prior notice.</w:t>
      </w:r>
    </w:p>
    <w:p>
      <w:pPr>
        <w:spacing w:after="0" w:line="124" w:lineRule="exact"/>
        <w:rPr>
          <w:rFonts w:ascii="Arial" w:cs="Arial" w:eastAsia="Arial" w:hAnsi="Arial"/>
          <w:sz w:val="13"/>
          <w:szCs w:val="13"/>
          <w:color w:val="auto"/>
        </w:rPr>
      </w:pPr>
    </w:p>
    <w:p>
      <w:pPr>
        <w:jc w:val="both"/>
        <w:ind w:left="220" w:firstLine="1623"/>
        <w:spacing w:after="0" w:line="251" w:lineRule="auto"/>
        <w:tabs>
          <w:tab w:leader="none" w:pos="2418" w:val="left"/>
        </w:tabs>
        <w:numPr>
          <w:ilvl w:val="0"/>
          <w:numId w:val="178"/>
        </w:numPr>
        <w:rPr>
          <w:rFonts w:ascii="Arial" w:cs="Arial" w:eastAsia="Arial" w:hAnsi="Arial"/>
          <w:sz w:val="13"/>
          <w:szCs w:val="13"/>
          <w:color w:val="auto"/>
        </w:rPr>
      </w:pPr>
      <w:r>
        <w:rPr>
          <w:rFonts w:ascii="Arial" w:cs="Arial" w:eastAsia="Arial" w:hAnsi="Arial"/>
          <w:sz w:val="13"/>
          <w:szCs w:val="13"/>
          <w:u w:val="single" w:color="auto"/>
          <w:color w:val="auto"/>
        </w:rPr>
        <w:t>Participations</w:t>
      </w:r>
      <w:r>
        <w:rPr>
          <w:rFonts w:ascii="Arial" w:cs="Arial" w:eastAsia="Arial" w:hAnsi="Arial"/>
          <w:sz w:val="13"/>
          <w:szCs w:val="13"/>
          <w:color w:val="auto"/>
        </w:rPr>
        <w:t xml:space="preserve">. (i) Any Lender may at any time, without the consent of, or notice to, the Loan Parties or the Agent, sell participations to any Person (other than a natural person or the Loan Parties or any of the Loan Parties’ Affiliates or Subsidiaries) (each, a “Participant”) in all or a portion of such Lender's rights and/or obligations under this Agreement (including all or a portion of its Commitment and/or the Loans (including such Lender’s participations in L/C Obligations and/or Swing Line Loans) owing to it);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 such Lender's obligations under this Agreement shall remain unchanged, (ii) such Lender shall remain solely responsible to the other parties hereto for the performance of such obligations and (iii) the Loan Parties, the Agent, the Lenders and the L/C Issuer shall continue to deal solely and directly with such Lender in connection with such Lender's rights and obligations under this Agreement. Any Participant shall agree in writing to comply with all confidentiality obligations set forth in </w:t>
      </w:r>
      <w:r>
        <w:rPr>
          <w:rFonts w:ascii="Arial" w:cs="Arial" w:eastAsia="Arial" w:hAnsi="Arial"/>
          <w:sz w:val="13"/>
          <w:szCs w:val="13"/>
          <w:u w:val="single" w:color="auto"/>
          <w:color w:val="auto"/>
        </w:rPr>
        <w:t>Section 10.07</w:t>
      </w:r>
      <w:r>
        <w:rPr>
          <w:rFonts w:ascii="Arial" w:cs="Arial" w:eastAsia="Arial" w:hAnsi="Arial"/>
          <w:sz w:val="13"/>
          <w:szCs w:val="13"/>
          <w:color w:val="auto"/>
        </w:rPr>
        <w:t xml:space="preserve"> as if such Participant was a Lender hereunder.</w:t>
      </w:r>
    </w:p>
    <w:p>
      <w:pPr>
        <w:spacing w:after="0" w:line="124" w:lineRule="exact"/>
        <w:rPr>
          <w:rFonts w:ascii="Arial" w:cs="Arial" w:eastAsia="Arial" w:hAnsi="Arial"/>
          <w:sz w:val="13"/>
          <w:szCs w:val="13"/>
          <w:color w:val="auto"/>
        </w:rPr>
      </w:pPr>
    </w:p>
    <w:p>
      <w:pPr>
        <w:jc w:val="both"/>
        <w:ind w:left="220" w:firstLine="2432"/>
        <w:spacing w:after="0" w:line="249" w:lineRule="auto"/>
        <w:tabs>
          <w:tab w:leader="none" w:pos="3238" w:val="left"/>
        </w:tabs>
        <w:numPr>
          <w:ilvl w:val="1"/>
          <w:numId w:val="178"/>
        </w:numPr>
        <w:rPr>
          <w:rFonts w:ascii="Arial" w:cs="Arial" w:eastAsia="Arial" w:hAnsi="Arial"/>
          <w:sz w:val="13"/>
          <w:szCs w:val="13"/>
          <w:color w:val="auto"/>
        </w:rPr>
      </w:pPr>
      <w:r>
        <w:rPr>
          <w:rFonts w:ascii="Arial" w:cs="Arial" w:eastAsia="Arial" w:hAnsi="Arial"/>
          <w:sz w:val="13"/>
          <w:szCs w:val="13"/>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waiver or other modification described in clauses (i) through (iv) of the first proviso to </w:t>
      </w:r>
      <w:r>
        <w:rPr>
          <w:rFonts w:ascii="Arial" w:cs="Arial" w:eastAsia="Arial" w:hAnsi="Arial"/>
          <w:sz w:val="13"/>
          <w:szCs w:val="13"/>
          <w:u w:val="single" w:color="auto"/>
          <w:color w:val="auto"/>
        </w:rPr>
        <w:t>Section 10.01</w:t>
      </w:r>
      <w:r>
        <w:rPr>
          <w:rFonts w:ascii="Arial" w:cs="Arial" w:eastAsia="Arial" w:hAnsi="Arial"/>
          <w:sz w:val="13"/>
          <w:szCs w:val="13"/>
          <w:color w:val="auto"/>
        </w:rPr>
        <w:t xml:space="preserve"> that affects such Participant. Subject to subsection (e) of this Section, the Loan Parties agree that each Participant shall be entitled to the benefits of </w:t>
      </w:r>
      <w:r>
        <w:rPr>
          <w:rFonts w:ascii="Arial" w:cs="Arial" w:eastAsia="Arial" w:hAnsi="Arial"/>
          <w:sz w:val="13"/>
          <w:szCs w:val="13"/>
          <w:u w:val="single" w:color="auto"/>
          <w:color w:val="auto"/>
        </w:rPr>
        <w:t>Sections 3.01</w:t>
      </w:r>
      <w:r>
        <w:rPr>
          <w:rFonts w:ascii="Arial" w:cs="Arial" w:eastAsia="Arial" w:hAnsi="Arial"/>
          <w:sz w:val="13"/>
          <w:szCs w:val="13"/>
          <w:color w:val="auto"/>
        </w:rPr>
        <w:t xml:space="preserve">, </w:t>
      </w:r>
      <w:r>
        <w:rPr>
          <w:rFonts w:ascii="Arial" w:cs="Arial" w:eastAsia="Arial" w:hAnsi="Arial"/>
          <w:sz w:val="13"/>
          <w:szCs w:val="13"/>
          <w:u w:val="single" w:color="auto"/>
          <w:color w:val="auto"/>
        </w:rPr>
        <w:t>3.04</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3.05</w:t>
      </w:r>
      <w:r>
        <w:rPr>
          <w:rFonts w:ascii="Arial" w:cs="Arial" w:eastAsia="Arial" w:hAnsi="Arial"/>
          <w:sz w:val="13"/>
          <w:szCs w:val="13"/>
          <w:color w:val="auto"/>
        </w:rPr>
        <w:t xml:space="preserve"> to the same extent as if it were a Lender and had acquired its interest by assignment pursuant to </w:t>
      </w:r>
      <w:r>
        <w:rPr>
          <w:rFonts w:ascii="Arial" w:cs="Arial" w:eastAsia="Arial" w:hAnsi="Arial"/>
          <w:sz w:val="13"/>
          <w:szCs w:val="13"/>
          <w:u w:val="single" w:color="auto"/>
          <w:color w:val="auto"/>
        </w:rPr>
        <w:t>Section 10.06(b)</w:t>
      </w:r>
      <w:r>
        <w:rPr>
          <w:rFonts w:ascii="Arial" w:cs="Arial" w:eastAsia="Arial" w:hAnsi="Arial"/>
          <w:sz w:val="13"/>
          <w:szCs w:val="13"/>
          <w:color w:val="auto"/>
        </w:rPr>
        <w:t xml:space="preserve">. To the extent permitted by law, each Participant also shall be entitled to the benefits of </w:t>
      </w:r>
      <w:r>
        <w:rPr>
          <w:rFonts w:ascii="Arial" w:cs="Arial" w:eastAsia="Arial" w:hAnsi="Arial"/>
          <w:sz w:val="13"/>
          <w:szCs w:val="13"/>
          <w:u w:val="single" w:color="auto"/>
          <w:color w:val="auto"/>
        </w:rPr>
        <w:t>Section</w:t>
      </w:r>
    </w:p>
    <w:p>
      <w:pPr>
        <w:ind w:left="220"/>
        <w:spacing w:after="0"/>
        <w:rPr>
          <w:rFonts w:ascii="Arial" w:cs="Arial" w:eastAsia="Arial" w:hAnsi="Arial"/>
          <w:sz w:val="13"/>
          <w:szCs w:val="13"/>
          <w:color w:val="auto"/>
        </w:rPr>
      </w:pPr>
      <w:r>
        <w:rPr>
          <w:rFonts w:ascii="Arial" w:cs="Arial" w:eastAsia="Arial" w:hAnsi="Arial"/>
          <w:sz w:val="13"/>
          <w:szCs w:val="13"/>
          <w:u w:val="single" w:color="auto"/>
          <w:color w:val="auto"/>
        </w:rPr>
        <w:t>10.08</w:t>
      </w:r>
      <w:r>
        <w:rPr>
          <w:rFonts w:ascii="Arial" w:cs="Arial" w:eastAsia="Arial" w:hAnsi="Arial"/>
          <w:sz w:val="13"/>
          <w:szCs w:val="13"/>
          <w:color w:val="auto"/>
        </w:rPr>
        <w:t xml:space="preserve"> as though it were a Lender, provided such Participant agrees to be subject to </w:t>
      </w:r>
      <w:r>
        <w:rPr>
          <w:rFonts w:ascii="Arial" w:cs="Arial" w:eastAsia="Arial" w:hAnsi="Arial"/>
          <w:sz w:val="13"/>
          <w:szCs w:val="13"/>
          <w:u w:val="single" w:color="auto"/>
          <w:color w:val="auto"/>
        </w:rPr>
        <w:t>Section 2.02</w:t>
      </w:r>
      <w:r>
        <w:rPr>
          <w:rFonts w:ascii="Arial" w:cs="Arial" w:eastAsia="Arial" w:hAnsi="Arial"/>
          <w:sz w:val="13"/>
          <w:szCs w:val="13"/>
          <w:color w:val="auto"/>
        </w:rPr>
        <w:t xml:space="preserve"> as though it were a Lender.</w:t>
      </w:r>
    </w:p>
    <w:p>
      <w:pPr>
        <w:spacing w:after="0" w:line="137" w:lineRule="exact"/>
        <w:rPr>
          <w:rFonts w:ascii="Arial" w:cs="Arial" w:eastAsia="Arial" w:hAnsi="Arial"/>
          <w:sz w:val="13"/>
          <w:szCs w:val="13"/>
          <w:color w:val="auto"/>
        </w:rPr>
      </w:pPr>
    </w:p>
    <w:p>
      <w:pPr>
        <w:jc w:val="both"/>
        <w:ind w:left="220" w:firstLine="2432"/>
        <w:spacing w:after="0" w:line="254" w:lineRule="auto"/>
        <w:tabs>
          <w:tab w:leader="none" w:pos="3273" w:val="left"/>
        </w:tabs>
        <w:numPr>
          <w:ilvl w:val="1"/>
          <w:numId w:val="178"/>
        </w:numPr>
        <w:rPr>
          <w:rFonts w:ascii="Arial" w:cs="Arial" w:eastAsia="Arial" w:hAnsi="Arial"/>
          <w:sz w:val="13"/>
          <w:szCs w:val="13"/>
          <w:color w:val="auto"/>
        </w:rPr>
      </w:pPr>
      <w:r>
        <w:rPr>
          <w:rFonts w:ascii="Arial" w:cs="Arial" w:eastAsia="Arial" w:hAnsi="Arial"/>
          <w:sz w:val="13"/>
          <w:szCs w:val="13"/>
          <w:color w:val="auto"/>
        </w:rPr>
        <w:t xml:space="preserve">Each Lender that sells a participation shall, acting solely for this purpose as an agent of the Borrowers, maintain a register on which it enters the name and address of each Participant and the principal amounts (and stated interest) of each Participant’s interest in the Loans or other obligations under the Loan Documents (the “Participant Register”);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 Lender shall have any obligation to disclose all or any portion of the Participant Register (including the identity of any Participant or any information relating to a Participant's interest in any commitments, loans, letters of</w:t>
      </w:r>
    </w:p>
    <w:p>
      <w:pPr>
        <w:spacing w:after="0" w:line="271"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134" w:name="page135"/>
    <w:bookmarkEnd w:id="134"/>
    <w:p>
      <w:pPr>
        <w:jc w:val="both"/>
        <w:ind w:left="220"/>
        <w:spacing w:after="0" w:line="255" w:lineRule="auto"/>
        <w:rPr>
          <w:sz w:val="20"/>
          <w:szCs w:val="20"/>
          <w:color w:val="auto"/>
        </w:rPr>
      </w:pPr>
      <w:r>
        <w:rPr>
          <w:rFonts w:ascii="Arial" w:cs="Arial" w:eastAsia="Arial" w:hAnsi="Arial"/>
          <w:sz w:val="13"/>
          <w:szCs w:val="13"/>
          <w:color w:val="auto"/>
        </w:rPr>
        <w:t>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(in its capacity as Agent) shall have no responsibility for maintaining a Participant Register.</w:t>
      </w:r>
    </w:p>
    <w:p>
      <w:pPr>
        <w:spacing w:after="0" w:line="123" w:lineRule="exact"/>
        <w:rPr>
          <w:sz w:val="20"/>
          <w:szCs w:val="20"/>
          <w:color w:val="auto"/>
        </w:rPr>
      </w:pPr>
    </w:p>
    <w:p>
      <w:pPr>
        <w:jc w:val="both"/>
        <w:ind w:left="220" w:firstLine="1623"/>
        <w:spacing w:after="0" w:line="254" w:lineRule="auto"/>
        <w:tabs>
          <w:tab w:leader="none" w:pos="2412" w:val="left"/>
        </w:tabs>
        <w:numPr>
          <w:ilvl w:val="0"/>
          <w:numId w:val="179"/>
        </w:numPr>
        <w:rPr>
          <w:rFonts w:ascii="Arial" w:cs="Arial" w:eastAsia="Arial" w:hAnsi="Arial"/>
          <w:sz w:val="13"/>
          <w:szCs w:val="13"/>
          <w:color w:val="auto"/>
        </w:rPr>
      </w:pPr>
      <w:r>
        <w:rPr>
          <w:rFonts w:ascii="Arial" w:cs="Arial" w:eastAsia="Arial" w:hAnsi="Arial"/>
          <w:sz w:val="13"/>
          <w:szCs w:val="13"/>
          <w:u w:val="single" w:color="auto"/>
          <w:color w:val="auto"/>
        </w:rPr>
        <w:t>Limitations upon Participant Rights</w:t>
      </w:r>
      <w:r>
        <w:rPr>
          <w:rFonts w:ascii="Arial" w:cs="Arial" w:eastAsia="Arial" w:hAnsi="Arial"/>
          <w:sz w:val="13"/>
          <w:szCs w:val="13"/>
          <w:color w:val="auto"/>
        </w:rPr>
        <w:t xml:space="preserve">. A Participant shall not be entitled to receive any greater payment under </w:t>
      </w:r>
      <w:r>
        <w:rPr>
          <w:rFonts w:ascii="Arial" w:cs="Arial" w:eastAsia="Arial" w:hAnsi="Arial"/>
          <w:sz w:val="13"/>
          <w:szCs w:val="13"/>
          <w:u w:val="single" w:color="auto"/>
          <w:color w:val="auto"/>
        </w:rPr>
        <w:t>Section 3.01</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3.04</w:t>
      </w:r>
      <w:r>
        <w:rPr>
          <w:rFonts w:ascii="Arial" w:cs="Arial" w:eastAsia="Arial" w:hAnsi="Arial"/>
          <w:sz w:val="13"/>
          <w:szCs w:val="13"/>
          <w:color w:val="auto"/>
        </w:rPr>
        <w:t xml:space="preserve"> than the applicable Lender would have been entitled to receive with respect to the participation sold to such Participant, unless the sale of the participation to such Participant is made with the Lead Borrower's prior written consent. A Participant that would be a Foreign Lender if it were a Lender shall not be entitled to the benefits of </w:t>
      </w:r>
      <w:r>
        <w:rPr>
          <w:rFonts w:ascii="Arial" w:cs="Arial" w:eastAsia="Arial" w:hAnsi="Arial"/>
          <w:sz w:val="13"/>
          <w:szCs w:val="13"/>
          <w:u w:val="single" w:color="auto"/>
          <w:color w:val="auto"/>
        </w:rPr>
        <w:t>Section 3.01</w:t>
      </w:r>
      <w:r>
        <w:rPr>
          <w:rFonts w:ascii="Arial" w:cs="Arial" w:eastAsia="Arial" w:hAnsi="Arial"/>
          <w:sz w:val="13"/>
          <w:szCs w:val="13"/>
          <w:color w:val="auto"/>
        </w:rPr>
        <w:t xml:space="preserve"> unless the Lead Borrower is notified of the participation sold to such Participant and such Participant agrees, for the benefit of the Loan Parties, to comply with </w:t>
      </w:r>
      <w:r>
        <w:rPr>
          <w:rFonts w:ascii="Arial" w:cs="Arial" w:eastAsia="Arial" w:hAnsi="Arial"/>
          <w:sz w:val="13"/>
          <w:szCs w:val="13"/>
          <w:u w:val="single" w:color="auto"/>
          <w:color w:val="auto"/>
        </w:rPr>
        <w:t>Section 3.01(e)</w:t>
      </w:r>
      <w:r>
        <w:rPr>
          <w:rFonts w:ascii="Arial" w:cs="Arial" w:eastAsia="Arial" w:hAnsi="Arial"/>
          <w:sz w:val="13"/>
          <w:szCs w:val="13"/>
          <w:color w:val="auto"/>
        </w:rPr>
        <w:t xml:space="preserve"> as though it were a Lender.</w:t>
      </w:r>
    </w:p>
    <w:p>
      <w:pPr>
        <w:spacing w:after="0" w:line="123" w:lineRule="exact"/>
        <w:rPr>
          <w:rFonts w:ascii="Arial" w:cs="Arial" w:eastAsia="Arial" w:hAnsi="Arial"/>
          <w:sz w:val="13"/>
          <w:szCs w:val="13"/>
          <w:color w:val="auto"/>
        </w:rPr>
      </w:pPr>
    </w:p>
    <w:p>
      <w:pPr>
        <w:jc w:val="both"/>
        <w:ind w:left="220" w:firstLine="1623"/>
        <w:spacing w:after="0" w:line="258" w:lineRule="auto"/>
        <w:tabs>
          <w:tab w:leader="none" w:pos="2396" w:val="left"/>
        </w:tabs>
        <w:numPr>
          <w:ilvl w:val="0"/>
          <w:numId w:val="179"/>
        </w:numPr>
        <w:rPr>
          <w:rFonts w:ascii="Arial" w:cs="Arial" w:eastAsia="Arial" w:hAnsi="Arial"/>
          <w:sz w:val="13"/>
          <w:szCs w:val="13"/>
          <w:color w:val="auto"/>
        </w:rPr>
      </w:pPr>
      <w:r>
        <w:rPr>
          <w:rFonts w:ascii="Arial" w:cs="Arial" w:eastAsia="Arial" w:hAnsi="Arial"/>
          <w:sz w:val="13"/>
          <w:szCs w:val="13"/>
          <w:u w:val="single" w:color="auto"/>
          <w:color w:val="auto"/>
        </w:rPr>
        <w:t>Certain Pledges</w:t>
      </w:r>
      <w:r>
        <w:rPr>
          <w:rFonts w:ascii="Arial" w:cs="Arial" w:eastAsia="Arial" w:hAnsi="Arial"/>
          <w:sz w:val="13"/>
          <w:szCs w:val="13"/>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 such pledge or assignment shall release such Lender from any of its obligations hereunder or substitute any such pledgee or assignee for such Lender as a party hereto.</w:t>
      </w:r>
    </w:p>
    <w:p>
      <w:pPr>
        <w:spacing w:after="0" w:line="121" w:lineRule="exact"/>
        <w:rPr>
          <w:rFonts w:ascii="Arial" w:cs="Arial" w:eastAsia="Arial" w:hAnsi="Arial"/>
          <w:sz w:val="13"/>
          <w:szCs w:val="13"/>
          <w:color w:val="auto"/>
        </w:rPr>
      </w:pPr>
    </w:p>
    <w:p>
      <w:pPr>
        <w:jc w:val="both"/>
        <w:ind w:left="220" w:firstLine="1623"/>
        <w:spacing w:after="0" w:line="270" w:lineRule="auto"/>
        <w:tabs>
          <w:tab w:leader="none" w:pos="2418" w:val="left"/>
        </w:tabs>
        <w:numPr>
          <w:ilvl w:val="0"/>
          <w:numId w:val="179"/>
        </w:numPr>
        <w:rPr>
          <w:rFonts w:ascii="Arial" w:cs="Arial" w:eastAsia="Arial" w:hAnsi="Arial"/>
          <w:sz w:val="12"/>
          <w:szCs w:val="12"/>
          <w:color w:val="auto"/>
        </w:rPr>
      </w:pPr>
      <w:r>
        <w:rPr>
          <w:rFonts w:ascii="Arial" w:cs="Arial" w:eastAsia="Arial" w:hAnsi="Arial"/>
          <w:sz w:val="12"/>
          <w:szCs w:val="12"/>
          <w:u w:val="single" w:color="auto"/>
          <w:color w:val="auto"/>
        </w:rPr>
        <w:t>Resignation as L/C Issuer or Swing Line Lender after Assignment or Resignation</w:t>
      </w:r>
      <w:r>
        <w:rPr>
          <w:rFonts w:ascii="Arial" w:cs="Arial" w:eastAsia="Arial" w:hAnsi="Arial"/>
          <w:sz w:val="12"/>
          <w:szCs w:val="12"/>
          <w:color w:val="auto"/>
        </w:rPr>
        <w:t xml:space="preserve">. Notwithstanding anything to the contrary contained herein, if at any time Bank of America assigns all of its Commitment and Loans pursuant to subsection (b) above, or resigns as Agent in accordance with the provisions of </w:t>
      </w:r>
      <w:r>
        <w:rPr>
          <w:rFonts w:ascii="Arial" w:cs="Arial" w:eastAsia="Arial" w:hAnsi="Arial"/>
          <w:sz w:val="12"/>
          <w:szCs w:val="12"/>
          <w:u w:val="single" w:color="auto"/>
          <w:color w:val="auto"/>
        </w:rPr>
        <w:t>Section 9.06</w:t>
      </w:r>
      <w:r>
        <w:rPr>
          <w:rFonts w:ascii="Arial" w:cs="Arial" w:eastAsia="Arial" w:hAnsi="Arial"/>
          <w:sz w:val="12"/>
          <w:szCs w:val="12"/>
          <w:color w:val="auto"/>
        </w:rPr>
        <w:t xml:space="preserve">, Bank of America may, (i) upon 30 days’ notice to the Lead Borrower and the Lenders, resign as L/C Issuer and/or (ii) with duplication of any notice required under </w:t>
      </w:r>
      <w:r>
        <w:rPr>
          <w:rFonts w:ascii="Arial" w:cs="Arial" w:eastAsia="Arial" w:hAnsi="Arial"/>
          <w:sz w:val="12"/>
          <w:szCs w:val="12"/>
          <w:u w:val="single" w:color="auto"/>
          <w:color w:val="auto"/>
        </w:rPr>
        <w:t>Section 9.06</w:t>
      </w:r>
      <w:r>
        <w:rPr>
          <w:rFonts w:ascii="Arial" w:cs="Arial" w:eastAsia="Arial" w:hAnsi="Arial"/>
          <w:sz w:val="12"/>
          <w:szCs w:val="12"/>
          <w:color w:val="auto"/>
        </w:rPr>
        <w:t xml:space="preserve">, upon 30 days’ notice to the Lead Borrower, resign as Swing Line Lender. In the event of any such resignation as L/C Issuer or Swing Line Lender, the Lead Borrower shall be entitled to appoint from among the Lenders a successor L/C Issuer or Swing Line Lender hereunder;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no failure by the Lead Borrower to appoint any such successor shall affect the resignation of Bank of America as L/C Issuer or Swing Line Lender, as the case may be. If Bank of America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Arial" w:cs="Arial" w:eastAsia="Arial" w:hAnsi="Arial"/>
          <w:sz w:val="12"/>
          <w:szCs w:val="12"/>
          <w:u w:val="single" w:color="auto"/>
          <w:color w:val="auto"/>
        </w:rPr>
        <w:t>Section 2.03(c)</w:t>
      </w:r>
      <w:r>
        <w:rPr>
          <w:rFonts w:ascii="Arial" w:cs="Arial" w:eastAsia="Arial" w:hAnsi="Arial"/>
          <w:sz w:val="12"/>
          <w:szCs w:val="12"/>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Committed Loans or fund risk participations in outstanding Swing Line Loans pursuant to </w:t>
      </w:r>
      <w:r>
        <w:rPr>
          <w:rFonts w:ascii="Arial" w:cs="Arial" w:eastAsia="Arial" w:hAnsi="Arial"/>
          <w:sz w:val="12"/>
          <w:szCs w:val="12"/>
          <w:u w:val="single" w:color="auto"/>
          <w:color w:val="auto"/>
        </w:rPr>
        <w:t>Section 2.04(c).</w:t>
      </w:r>
      <w:r>
        <w:rPr>
          <w:rFonts w:ascii="Arial" w:cs="Arial" w:eastAsia="Arial" w:hAnsi="Arial"/>
          <w:sz w:val="12"/>
          <w:szCs w:val="12"/>
          <w:color w:val="auto"/>
        </w:rPr>
        <w:t xml:space="preserve"> Upon the appointment of a successor L/C Issuer and/or Swing Line Lender, (a) such successor shall succeed to and become vested with all of the rights, powers, privileges and duties of the retiring L/C Issuer or Swing Line Lender, as the case may be, (b)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 and (c) the successor Swing Line Lender shall repay all outstanding Obligations with respect to Swing Line Loans due to the resigning Swing Line Lender.</w:t>
      </w:r>
    </w:p>
    <w:p>
      <w:pPr>
        <w:spacing w:after="0" w:line="113" w:lineRule="exact"/>
        <w:rPr>
          <w:sz w:val="20"/>
          <w:szCs w:val="20"/>
          <w:color w:val="auto"/>
        </w:rPr>
      </w:pPr>
    </w:p>
    <w:p>
      <w:pPr>
        <w:ind w:left="220" w:firstLine="808"/>
        <w:spacing w:after="0" w:line="278" w:lineRule="auto"/>
        <w:rPr>
          <w:sz w:val="20"/>
          <w:szCs w:val="20"/>
          <w:color w:val="auto"/>
        </w:rPr>
      </w:pPr>
      <w:r>
        <w:rPr>
          <w:rFonts w:ascii="Arial" w:cs="Arial" w:eastAsia="Arial" w:hAnsi="Arial"/>
          <w:sz w:val="13"/>
          <w:szCs w:val="13"/>
          <w:b w:val="1"/>
          <w:bCs w:val="1"/>
          <w:color w:val="auto"/>
        </w:rPr>
        <w:t>10.07 Treatment of Certain Information; Confidentiality</w:t>
      </w:r>
      <w:r>
        <w:rPr>
          <w:rFonts w:ascii="Arial" w:cs="Arial" w:eastAsia="Arial" w:hAnsi="Arial"/>
          <w:sz w:val="13"/>
          <w:szCs w:val="13"/>
          <w:color w:val="auto"/>
        </w:rPr>
        <w:t>. Each of the Credit Parties agrees to maintain the confidentiality of the Information (as defined below), except that</w:t>
      </w:r>
      <w:r>
        <w:rPr>
          <w:rFonts w:ascii="Arial" w:cs="Arial" w:eastAsia="Arial" w:hAnsi="Arial"/>
          <w:sz w:val="13"/>
          <w:szCs w:val="13"/>
          <w:b w:val="1"/>
          <w:bCs w:val="1"/>
          <w:color w:val="auto"/>
        </w:rPr>
        <w:t xml:space="preserve"> </w:t>
      </w:r>
      <w:r>
        <w:rPr>
          <w:rFonts w:ascii="Arial" w:cs="Arial" w:eastAsia="Arial" w:hAnsi="Arial"/>
          <w:sz w:val="13"/>
          <w:szCs w:val="13"/>
          <w:color w:val="auto"/>
        </w:rPr>
        <w:t>Information may be disclosed (a) to its Affiliates, Approved Funds, and to its and its Affiliates’ and Approved Funds’</w:t>
      </w:r>
    </w:p>
    <w:p>
      <w:pPr>
        <w:spacing w:after="0" w:line="255"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135" w:name="page136"/>
    <w:bookmarkEnd w:id="135"/>
    <w:p>
      <w:pPr>
        <w:jc w:val="both"/>
        <w:ind w:left="220"/>
        <w:spacing w:after="0" w:line="273" w:lineRule="auto"/>
        <w:rPr>
          <w:sz w:val="20"/>
          <w:szCs w:val="20"/>
          <w:color w:val="auto"/>
        </w:rPr>
      </w:pPr>
      <w:r>
        <w:rPr>
          <w:rFonts w:ascii="Arial" w:cs="Arial" w:eastAsia="Arial" w:hAnsi="Arial"/>
          <w:sz w:val="12"/>
          <w:szCs w:val="12"/>
          <w:color w:val="auto"/>
        </w:rPr>
        <w:t>respective partners, directors, officers, employees, agents, funding sources, attorneys, advisors and representatives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 regulatory authority), (c) to the extent required by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(including any electronic agreement contained in any Platform)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Contract relating to any Loan Party and its obligations, (g) with the consent of the Lead Borrower or (h) to the extent such Information (i) becomes publicly available other than as a result of a breach of this Section or (ii) becomes available to any Credit Party or any of their respective Affiliates on a non-confidential basis from a source other than the Loan Parties.</w:t>
      </w:r>
    </w:p>
    <w:p>
      <w:pPr>
        <w:spacing w:after="0" w:line="115" w:lineRule="exact"/>
        <w:rPr>
          <w:sz w:val="20"/>
          <w:szCs w:val="20"/>
          <w:color w:val="auto"/>
        </w:rPr>
      </w:pPr>
    </w:p>
    <w:p>
      <w:pPr>
        <w:jc w:val="both"/>
        <w:ind w:left="220" w:firstLine="807"/>
        <w:spacing w:after="0" w:line="252" w:lineRule="auto"/>
        <w:rPr>
          <w:sz w:val="20"/>
          <w:szCs w:val="20"/>
          <w:color w:val="auto"/>
        </w:rPr>
      </w:pPr>
      <w:r>
        <w:rPr>
          <w:rFonts w:ascii="Arial" w:cs="Arial" w:eastAsia="Arial" w:hAnsi="Arial"/>
          <w:sz w:val="13"/>
          <w:szCs w:val="13"/>
          <w:color w:val="auto"/>
        </w:rPr>
        <w:t>For purposes of this Section, “Information” means all information received from the Loan Parties or any Subsidiary thereof relating to the Loan Parties or any Subsidiary thereof or their respective businesses, other than any such information that is available to any Credit Party on a non-confidential basis prior to disclosure by the Loan Parties or any Subsidiary thereof, provided that, in the case of information received from any Loan Party or any Subsidiary after the Closing Date,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25" w:lineRule="exact"/>
        <w:rPr>
          <w:sz w:val="20"/>
          <w:szCs w:val="20"/>
          <w:color w:val="auto"/>
        </w:rPr>
      </w:pPr>
    </w:p>
    <w:p>
      <w:pPr>
        <w:jc w:val="both"/>
        <w:ind w:left="220" w:firstLine="808"/>
        <w:spacing w:after="0" w:line="258" w:lineRule="auto"/>
        <w:rPr>
          <w:sz w:val="20"/>
          <w:szCs w:val="20"/>
          <w:color w:val="auto"/>
        </w:rPr>
      </w:pPr>
      <w:r>
        <w:rPr>
          <w:rFonts w:ascii="Arial" w:cs="Arial" w:eastAsia="Arial" w:hAnsi="Arial"/>
          <w:sz w:val="13"/>
          <w:szCs w:val="13"/>
          <w:color w:val="auto"/>
        </w:rPr>
        <w:t>Each of the Credit Parties acknowledges that (a) the Information may include material non-public information concerning the Loan Parties or a Subsidiary, as the case may be, (b) it has developed compliance procedures regarding the use of material non-public information and (c) it will handle such material non-public information in accordance with Law, including Federal and state securities Laws.</w:t>
      </w:r>
    </w:p>
    <w:p>
      <w:pPr>
        <w:spacing w:after="0" w:line="117" w:lineRule="exact"/>
        <w:rPr>
          <w:sz w:val="20"/>
          <w:szCs w:val="20"/>
          <w:color w:val="auto"/>
        </w:rPr>
      </w:pPr>
    </w:p>
    <w:p>
      <w:pPr>
        <w:jc w:val="both"/>
        <w:ind w:left="220" w:firstLine="808"/>
        <w:spacing w:after="0" w:line="249" w:lineRule="auto"/>
        <w:rPr>
          <w:sz w:val="20"/>
          <w:szCs w:val="20"/>
          <w:color w:val="auto"/>
        </w:rPr>
      </w:pPr>
      <w:r>
        <w:rPr>
          <w:rFonts w:ascii="Arial" w:cs="Arial" w:eastAsia="Arial" w:hAnsi="Arial"/>
          <w:sz w:val="13"/>
          <w:szCs w:val="13"/>
          <w:b w:val="1"/>
          <w:bCs w:val="1"/>
          <w:color w:val="auto"/>
        </w:rPr>
        <w:t>10.08 Right of Setoff</w:t>
      </w:r>
      <w:r>
        <w:rPr>
          <w:rFonts w:ascii="Arial" w:cs="Arial" w:eastAsia="Arial" w:hAnsi="Arial"/>
          <w:sz w:val="13"/>
          <w:szCs w:val="13"/>
          <w:color w:val="auto"/>
        </w:rPr>
        <w:t>. If an Event of Default shall have occurred and be continuing or if any Lender shall have been served with a trustee process or similar attachment relating to</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property of a Loan Party, each Lender, the L/C Issuer and each of their respective Affiliates is hereby authorized at any time and from time to time, after obtaining the prior written consent of the Agent or the Required Lenders, to the fullest extent permitted by Law, to set off and apply any and all deposits (general or special, time or demand, provisional or final, in whatever currency) or other property at any time held and other obligations (in whatever currency) at any time owing by such Lender, the L/C Issuer or any such Affiliate to or for the credit or the account of the Borrowers or any other Loan Party against any and all of the Obligations now or hereafter existing under this Agreement or any other Loan Document to such Lender or the L/C Issuer, regardless of the adequacy of the Collateral, and irrespective of whether or not such Lender or the L/C Issuer shall have made any demand under this Agreement or any other Loan Document and although such obligations of the Borrowers or such Loan Party may be contingent or unmatured or are owed to a branch or office of such Lender or the L/C Issuer different from the branch or office holding such deposit or obligated on such indebtedness;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in the event that any Defaulting Lender shall exercise any such right of setoff, (x) all amounts so set off shall be paid over immediately to the Agent for further application in accordance with the provisions of </w:t>
      </w:r>
      <w:r>
        <w:rPr>
          <w:rFonts w:ascii="Arial" w:cs="Arial" w:eastAsia="Arial" w:hAnsi="Arial"/>
          <w:sz w:val="13"/>
          <w:szCs w:val="13"/>
          <w:u w:val="single" w:color="auto"/>
          <w:color w:val="auto"/>
        </w:rPr>
        <w:t>Section 2.16</w:t>
      </w:r>
      <w:r>
        <w:rPr>
          <w:rFonts w:ascii="Arial" w:cs="Arial" w:eastAsia="Arial" w:hAnsi="Arial"/>
          <w:sz w:val="13"/>
          <w:szCs w:val="13"/>
          <w:color w:val="auto"/>
        </w:rPr>
        <w:t xml:space="preserve"> and, pending such payment, shall be segregated by such Defaulting Lender from its other funds and deemed held in trust for the benefit of the Agent, the L/C Issuer and the Lenders, and (y) the Defaulting Lender shall provide promptly to the Agent a statement describing in reasonable detail the Obligations owing to such Defaulting Lender as to which it exercised such right of setoff. The rights of each Lender, the L/C Issuer</w:t>
      </w:r>
    </w:p>
    <w:p>
      <w:pPr>
        <w:spacing w:after="0" w:line="274"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136" w:name="page137"/>
    <w:bookmarkEnd w:id="136"/>
    <w:p>
      <w:pPr>
        <w:jc w:val="both"/>
        <w:ind w:left="220"/>
        <w:spacing w:after="0" w:line="259" w:lineRule="auto"/>
        <w:rPr>
          <w:sz w:val="20"/>
          <w:szCs w:val="20"/>
          <w:color w:val="auto"/>
        </w:rPr>
      </w:pPr>
      <w:r>
        <w:rPr>
          <w:rFonts w:ascii="Arial" w:cs="Arial" w:eastAsia="Arial" w:hAnsi="Arial"/>
          <w:sz w:val="13"/>
          <w:szCs w:val="13"/>
          <w:color w:val="auto"/>
        </w:rPr>
        <w:t xml:space="preserve">and their respective Affiliates under this Section are in addition to other rights and remedies (including other rights of setoff) that such Lender, the L/C Issuer or their respective Affiliates may have. Each Lender and the L/C Issuer agrees to notify the Lead Borrower and the Agent promptly after any such setoff and application,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failure to give such notice shall not affect the validity of such setoff and application.</w:t>
      </w:r>
    </w:p>
    <w:p>
      <w:pPr>
        <w:spacing w:after="0" w:line="117" w:lineRule="exact"/>
        <w:rPr>
          <w:sz w:val="20"/>
          <w:szCs w:val="20"/>
          <w:color w:val="auto"/>
        </w:rPr>
      </w:pPr>
    </w:p>
    <w:p>
      <w:pPr>
        <w:jc w:val="both"/>
        <w:ind w:left="220" w:firstLine="808"/>
        <w:spacing w:after="0" w:line="252" w:lineRule="auto"/>
        <w:rPr>
          <w:sz w:val="20"/>
          <w:szCs w:val="20"/>
          <w:color w:val="auto"/>
        </w:rPr>
      </w:pPr>
      <w:r>
        <w:rPr>
          <w:rFonts w:ascii="Arial" w:cs="Arial" w:eastAsia="Arial" w:hAnsi="Arial"/>
          <w:sz w:val="13"/>
          <w:szCs w:val="13"/>
          <w:b w:val="1"/>
          <w:bCs w:val="1"/>
          <w:color w:val="auto"/>
        </w:rPr>
        <w:t>10.09 Interest Rate Limitation</w:t>
      </w:r>
      <w:r>
        <w:rPr>
          <w:rFonts w:ascii="Arial" w:cs="Arial" w:eastAsia="Arial" w:hAnsi="Arial"/>
          <w:sz w:val="13"/>
          <w:szCs w:val="13"/>
          <w:color w:val="auto"/>
        </w:rPr>
        <w:t>. Notwithstanding anything to the contrary contained in any Loan Document, the interest paid or agreed to be paid under the Loan Documents shall not</w:t>
      </w:r>
      <w:r>
        <w:rPr>
          <w:rFonts w:ascii="Arial" w:cs="Arial" w:eastAsia="Arial" w:hAnsi="Arial"/>
          <w:sz w:val="13"/>
          <w:szCs w:val="13"/>
          <w:b w:val="1"/>
          <w:bCs w:val="1"/>
          <w:color w:val="auto"/>
        </w:rPr>
        <w:t xml:space="preserve"> </w:t>
      </w:r>
      <w:r>
        <w:rPr>
          <w:rFonts w:ascii="Arial" w:cs="Arial" w:eastAsia="Arial" w:hAnsi="Arial"/>
          <w:sz w:val="13"/>
          <w:szCs w:val="13"/>
          <w:color w:val="auto"/>
        </w:rPr>
        <w:t>exceed the maximum rate of non-usurious interest permitted by Law (the “Maximum Rate”). If the Agent or any Lender shall receive interest in an amount that exceeds the Maximum Rate, the excess interest shall be applied to the principal of the Loans and other Obligations (other than Other Liabilities not then due and owing) or, if it exceeds such unpaid principal, refunded to the Borrowers. In determining whether the interest contracted for, charged, or received by the Agent or a Lender exceeds the Maximum Rate, such Person may, to the extent permitted by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21" w:lineRule="exact"/>
        <w:rPr>
          <w:sz w:val="20"/>
          <w:szCs w:val="20"/>
          <w:color w:val="auto"/>
        </w:rPr>
      </w:pPr>
    </w:p>
    <w:p>
      <w:pPr>
        <w:jc w:val="both"/>
        <w:ind w:left="220" w:firstLine="808"/>
        <w:spacing w:after="0" w:line="280" w:lineRule="auto"/>
        <w:rPr>
          <w:sz w:val="20"/>
          <w:szCs w:val="20"/>
          <w:color w:val="auto"/>
        </w:rPr>
      </w:pPr>
      <w:r>
        <w:rPr>
          <w:rFonts w:ascii="Arial" w:cs="Arial" w:eastAsia="Arial" w:hAnsi="Arial"/>
          <w:sz w:val="12"/>
          <w:szCs w:val="12"/>
          <w:b w:val="1"/>
          <w:bCs w:val="1"/>
          <w:color w:val="auto"/>
        </w:rPr>
        <w:t>10.10 Counterparts; Integration; Effectiveness</w:t>
      </w:r>
      <w:r>
        <w:rPr>
          <w:rFonts w:ascii="Arial" w:cs="Arial" w:eastAsia="Arial" w:hAnsi="Arial"/>
          <w:sz w:val="12"/>
          <w:szCs w:val="12"/>
          <w:color w:val="auto"/>
        </w:rPr>
        <w:t>. This Agreement may be executed in counterparts (and by different parties hereto in different counterparts), each of which shall</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2"/>
          <w:szCs w:val="12"/>
          <w:u w:val="single" w:color="auto"/>
          <w:color w:val="auto"/>
        </w:rPr>
        <w:t>Section 4.01</w:t>
      </w:r>
      <w:r>
        <w:rPr>
          <w:rFonts w:ascii="Arial" w:cs="Arial" w:eastAsia="Arial" w:hAnsi="Arial"/>
          <w:sz w:val="12"/>
          <w:szCs w:val="12"/>
          <w:color w:val="auto"/>
        </w:rPr>
        <w:t>, this Agreement shall become effective when it shall have been executed by the Agent and when the Agent shall have received counterparts hereof that, when taken together, bear the signatures of each of the other parties hereto. Delivery of an executed counterpart of a signature page of this Agreement by telecopy, pdf or other electronic transmission shall be as effective as delivery of a manually executed counterpart of this Agreement.</w:t>
      </w:r>
    </w:p>
    <w:p>
      <w:pPr>
        <w:spacing w:after="0" w:line="105" w:lineRule="exact"/>
        <w:rPr>
          <w:sz w:val="20"/>
          <w:szCs w:val="20"/>
          <w:color w:val="auto"/>
        </w:rPr>
      </w:pPr>
    </w:p>
    <w:p>
      <w:pPr>
        <w:jc w:val="both"/>
        <w:ind w:left="220" w:firstLine="808"/>
        <w:spacing w:after="0" w:line="274" w:lineRule="auto"/>
        <w:rPr>
          <w:sz w:val="20"/>
          <w:szCs w:val="20"/>
          <w:color w:val="auto"/>
        </w:rPr>
      </w:pPr>
      <w:r>
        <w:rPr>
          <w:rFonts w:ascii="Arial" w:cs="Arial" w:eastAsia="Arial" w:hAnsi="Arial"/>
          <w:sz w:val="12"/>
          <w:szCs w:val="12"/>
          <w:b w:val="1"/>
          <w:bCs w:val="1"/>
          <w:color w:val="auto"/>
        </w:rPr>
        <w:t>10.11 Survival</w:t>
      </w:r>
      <w:r>
        <w:rPr>
          <w:rFonts w:ascii="Arial" w:cs="Arial" w:eastAsia="Arial" w:hAnsi="Arial"/>
          <w:sz w:val="12"/>
          <w:szCs w:val="12"/>
          <w:color w:val="auto"/>
        </w:rPr>
        <w:t>. All representations and warranties made hereunder and in any other Loan Document or other document delivered pursuant hereto or thereto or in connection herewith or</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therewith shall survive the execution and delivery hereof and thereof. Such representations and warranties have been or will be relied upon by the Credit Parties, regardless of any investigation made by any Credit Party or on their behalf and notwithstanding that any Credit Party may have had notice or knowledge of any Default or Event of Default at the time of any Credit Extension, and shall continue in full force and effect as long as any Loan or any other Obligation hereunder shall remain unpaid or unsatisfied or any Letter of Credit shall remain outstanding. Further, the provisions of Sections </w:t>
      </w:r>
      <w:r>
        <w:rPr>
          <w:rFonts w:ascii="Arial" w:cs="Arial" w:eastAsia="Arial" w:hAnsi="Arial"/>
          <w:sz w:val="12"/>
          <w:szCs w:val="12"/>
          <w:u w:val="single" w:color="auto"/>
          <w:color w:val="auto"/>
        </w:rPr>
        <w:t>3.01</w:t>
      </w:r>
      <w:r>
        <w:rPr>
          <w:rFonts w:ascii="Arial" w:cs="Arial" w:eastAsia="Arial" w:hAnsi="Arial"/>
          <w:sz w:val="12"/>
          <w:szCs w:val="12"/>
          <w:color w:val="auto"/>
        </w:rPr>
        <w:t xml:space="preserve">, </w:t>
      </w:r>
      <w:r>
        <w:rPr>
          <w:rFonts w:ascii="Arial" w:cs="Arial" w:eastAsia="Arial" w:hAnsi="Arial"/>
          <w:sz w:val="12"/>
          <w:szCs w:val="12"/>
          <w:u w:val="single" w:color="auto"/>
          <w:color w:val="auto"/>
        </w:rPr>
        <w:t>3.04</w:t>
      </w:r>
      <w:r>
        <w:rPr>
          <w:rFonts w:ascii="Arial" w:cs="Arial" w:eastAsia="Arial" w:hAnsi="Arial"/>
          <w:sz w:val="12"/>
          <w:szCs w:val="12"/>
          <w:color w:val="auto"/>
        </w:rPr>
        <w:t xml:space="preserve">, </w:t>
      </w:r>
      <w:r>
        <w:rPr>
          <w:rFonts w:ascii="Arial" w:cs="Arial" w:eastAsia="Arial" w:hAnsi="Arial"/>
          <w:sz w:val="12"/>
          <w:szCs w:val="12"/>
          <w:u w:val="single" w:color="auto"/>
          <w:color w:val="auto"/>
        </w:rPr>
        <w:t>3.05</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10.04</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Article IX</w:t>
      </w:r>
      <w:r>
        <w:rPr>
          <w:rFonts w:ascii="Arial" w:cs="Arial" w:eastAsia="Arial" w:hAnsi="Arial"/>
          <w:sz w:val="12"/>
          <w:szCs w:val="12"/>
          <w:color w:val="auto"/>
        </w:rPr>
        <w:t xml:space="preserve"> shall survive and remain in full force and effect regardless of the repayment of the Obligations, the expiration of the Letters of Credit or the termination of the Commitments or the termination of this Agreement or any provision hereof. In connection with the termination of this Agreement and the release and termination of the security interests in the Collateral, the Agent may require such indemnities and collateral security as it shall reasonably deem necessary or appropriate to protect the Credit Parties against (x) loss on account of credits previously applied to the Obligations that may subsequently be reversed or revoked, (y) any obligations that may thereafter arise with respect to the Other Liabilities, and (z) any Obligations that may thereafter arise under </w:t>
      </w:r>
      <w:r>
        <w:rPr>
          <w:rFonts w:ascii="Arial" w:cs="Arial" w:eastAsia="Arial" w:hAnsi="Arial"/>
          <w:sz w:val="12"/>
          <w:szCs w:val="12"/>
          <w:u w:val="single" w:color="auto"/>
          <w:color w:val="auto"/>
        </w:rPr>
        <w:t>Section 10.04</w:t>
      </w:r>
      <w:r>
        <w:rPr>
          <w:rFonts w:ascii="Arial" w:cs="Arial" w:eastAsia="Arial" w:hAnsi="Arial"/>
          <w:sz w:val="12"/>
          <w:szCs w:val="12"/>
          <w:color w:val="auto"/>
        </w:rPr>
        <w:t xml:space="preserve"> hereof.</w:t>
      </w:r>
    </w:p>
    <w:p>
      <w:pPr>
        <w:spacing w:after="0" w:line="109" w:lineRule="exact"/>
        <w:rPr>
          <w:sz w:val="20"/>
          <w:szCs w:val="20"/>
          <w:color w:val="auto"/>
        </w:rPr>
      </w:pPr>
    </w:p>
    <w:p>
      <w:pPr>
        <w:jc w:val="both"/>
        <w:ind w:left="220" w:firstLine="809"/>
        <w:spacing w:after="0" w:line="261" w:lineRule="auto"/>
        <w:rPr>
          <w:sz w:val="20"/>
          <w:szCs w:val="20"/>
          <w:color w:val="auto"/>
        </w:rPr>
      </w:pPr>
      <w:r>
        <w:rPr>
          <w:rFonts w:ascii="Arial" w:cs="Arial" w:eastAsia="Arial" w:hAnsi="Arial"/>
          <w:sz w:val="13"/>
          <w:szCs w:val="13"/>
          <w:b w:val="1"/>
          <w:bCs w:val="1"/>
          <w:color w:val="auto"/>
        </w:rPr>
        <w:t>10.12 Severability</w:t>
      </w:r>
      <w:r>
        <w:rPr>
          <w:rFonts w:ascii="Arial" w:cs="Arial" w:eastAsia="Arial" w:hAnsi="Arial"/>
          <w:sz w:val="13"/>
          <w:szCs w:val="13"/>
          <w:color w:val="auto"/>
        </w:rPr>
        <w:t>. If any provision of this Agreement or the other Loan Documents is held to be illegal, invalid or unenforceable, (a) the legality, validity and enforceability of the</w:t>
      </w:r>
      <w:r>
        <w:rPr>
          <w:rFonts w:ascii="Arial" w:cs="Arial" w:eastAsia="Arial" w:hAnsi="Arial"/>
          <w:sz w:val="13"/>
          <w:szCs w:val="13"/>
          <w:b w:val="1"/>
          <w:bCs w:val="1"/>
          <w:color w:val="auto"/>
        </w:rPr>
        <w:t xml:space="preserve"> </w:t>
      </w:r>
      <w:r>
        <w:rPr>
          <w:rFonts w:ascii="Arial" w:cs="Arial" w:eastAsia="Arial" w:hAnsi="Arial"/>
          <w:sz w:val="13"/>
          <w:szCs w:val="13"/>
          <w:color w:val="auto"/>
        </w:rPr>
        <w:t>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w:t>
      </w:r>
    </w:p>
    <w:p>
      <w:pPr>
        <w:spacing w:after="0" w:line="267"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137" w:name="page138"/>
    <w:bookmarkEnd w:id="137"/>
    <w:p>
      <w:pPr>
        <w:jc w:val="both"/>
        <w:ind w:left="220"/>
        <w:spacing w:after="0" w:line="291" w:lineRule="auto"/>
        <w:rPr>
          <w:sz w:val="20"/>
          <w:szCs w:val="20"/>
          <w:color w:val="auto"/>
        </w:rPr>
      </w:pPr>
      <w:r>
        <w:rPr>
          <w:rFonts w:ascii="Arial" w:cs="Arial" w:eastAsia="Arial" w:hAnsi="Arial"/>
          <w:sz w:val="12"/>
          <w:szCs w:val="12"/>
          <w:color w:val="auto"/>
        </w:rPr>
        <w:t xml:space="preserve">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2"/>
          <w:szCs w:val="12"/>
          <w:u w:val="single" w:color="auto"/>
          <w:color w:val="auto"/>
        </w:rPr>
        <w:t>Section 10.12</w:t>
      </w:r>
      <w:r>
        <w:rPr>
          <w:rFonts w:ascii="Arial" w:cs="Arial" w:eastAsia="Arial" w:hAnsi="Arial"/>
          <w:sz w:val="12"/>
          <w:szCs w:val="12"/>
          <w:color w:val="auto"/>
        </w:rPr>
        <w:t>, if and to the extent that the enforceability of any provisions in this Agreement relating to Defaulting Lenders shall be limited by Debtor Relief Laws, as determined in good faith by the Agent, the L/C Issuer or the Swing Line Lender, as applicable, then such provisions shall be deemed to be in effect only to the extent not so limited.</w:t>
      </w:r>
    </w:p>
    <w:p>
      <w:pPr>
        <w:spacing w:after="0" w:line="99" w:lineRule="exact"/>
        <w:rPr>
          <w:sz w:val="20"/>
          <w:szCs w:val="20"/>
          <w:color w:val="auto"/>
        </w:rPr>
      </w:pPr>
    </w:p>
    <w:p>
      <w:pPr>
        <w:jc w:val="both"/>
        <w:ind w:left="220" w:firstLine="808"/>
        <w:spacing w:after="0" w:line="253" w:lineRule="auto"/>
        <w:rPr>
          <w:sz w:val="20"/>
          <w:szCs w:val="20"/>
          <w:color w:val="auto"/>
        </w:rPr>
      </w:pPr>
      <w:r>
        <w:rPr>
          <w:rFonts w:ascii="Arial" w:cs="Arial" w:eastAsia="Arial" w:hAnsi="Arial"/>
          <w:sz w:val="13"/>
          <w:szCs w:val="13"/>
          <w:b w:val="1"/>
          <w:bCs w:val="1"/>
          <w:color w:val="auto"/>
        </w:rPr>
        <w:t>10.13 Replacement of Lenders</w:t>
      </w:r>
      <w:r>
        <w:rPr>
          <w:rFonts w:ascii="Arial" w:cs="Arial" w:eastAsia="Arial" w:hAnsi="Arial"/>
          <w:sz w:val="13"/>
          <w:szCs w:val="13"/>
          <w:color w:val="auto"/>
        </w:rPr>
        <w:t>. If any Lender requests compensation under</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3.04</w:t>
      </w:r>
      <w:r>
        <w:rPr>
          <w:rFonts w:ascii="Arial" w:cs="Arial" w:eastAsia="Arial" w:hAnsi="Arial"/>
          <w:sz w:val="13"/>
          <w:szCs w:val="13"/>
          <w:color w:val="auto"/>
        </w:rPr>
        <w:t>, or if the Borrowers are required to pay any additional amount to any Lender or any</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Governmental Authority for the account of any Lender pursuant to </w:t>
      </w:r>
      <w:r>
        <w:rPr>
          <w:rFonts w:ascii="Arial" w:cs="Arial" w:eastAsia="Arial" w:hAnsi="Arial"/>
          <w:sz w:val="13"/>
          <w:szCs w:val="13"/>
          <w:u w:val="single" w:color="auto"/>
          <w:color w:val="auto"/>
        </w:rPr>
        <w:t>Section 3.01</w:t>
      </w:r>
      <w:r>
        <w:rPr>
          <w:rFonts w:ascii="Arial" w:cs="Arial" w:eastAsia="Arial" w:hAnsi="Arial"/>
          <w:sz w:val="13"/>
          <w:szCs w:val="13"/>
          <w:color w:val="auto"/>
        </w:rPr>
        <w:t xml:space="preserve">, or if any Lender is a Defaulting Lender or a Non- Consenting Lender, then the Borrowers may, at their sole expense and effort, upon notice to such Lender and the Agent, require such Lender to assign and delegate, without recourse (in accordance with and subject to the restrictions contained in, and consents required by, </w:t>
      </w:r>
      <w:r>
        <w:rPr>
          <w:rFonts w:ascii="Arial" w:cs="Arial" w:eastAsia="Arial" w:hAnsi="Arial"/>
          <w:sz w:val="13"/>
          <w:szCs w:val="13"/>
          <w:u w:val="single" w:color="auto"/>
          <w:color w:val="auto"/>
        </w:rPr>
        <w:t>Section 10.06</w:t>
      </w:r>
      <w:r>
        <w:rPr>
          <w:rFonts w:ascii="Arial" w:cs="Arial" w:eastAsia="Arial" w:hAnsi="Arial"/>
          <w:sz w:val="13"/>
          <w:szCs w:val="13"/>
          <w:color w:val="auto"/>
        </w:rPr>
        <w:t xml:space="preserve">), all of its interests, rights (other than its existing rights to payments pursuant to </w:t>
      </w:r>
      <w:r>
        <w:rPr>
          <w:rFonts w:ascii="Arial" w:cs="Arial" w:eastAsia="Arial" w:hAnsi="Arial"/>
          <w:sz w:val="13"/>
          <w:szCs w:val="13"/>
          <w:u w:val="single" w:color="auto"/>
          <w:color w:val="auto"/>
        </w:rPr>
        <w:t>Section 3.01</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3.04</w:t>
      </w:r>
      <w:r>
        <w:rPr>
          <w:rFonts w:ascii="Arial" w:cs="Arial" w:eastAsia="Arial" w:hAnsi="Arial"/>
          <w:sz w:val="13"/>
          <w:szCs w:val="13"/>
          <w:color w:val="auto"/>
        </w:rPr>
        <w:t xml:space="preserve">) and obligations under this Agreement and the related Loan Documents to an assignee that shall assume such obligations (which assignee may be another Lender, if a Lender accepts such assignment),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w:t>
      </w:r>
    </w:p>
    <w:p>
      <w:pPr>
        <w:spacing w:after="0" w:line="126" w:lineRule="exact"/>
        <w:rPr>
          <w:sz w:val="20"/>
          <w:szCs w:val="20"/>
          <w:color w:val="auto"/>
        </w:rPr>
      </w:pPr>
    </w:p>
    <w:p>
      <w:pPr>
        <w:ind w:left="2400" w:hanging="581"/>
        <w:spacing w:after="0"/>
        <w:tabs>
          <w:tab w:leader="none" w:pos="2400" w:val="left"/>
        </w:tabs>
        <w:numPr>
          <w:ilvl w:val="0"/>
          <w:numId w:val="180"/>
        </w:numPr>
        <w:rPr>
          <w:rFonts w:ascii="Arial" w:cs="Arial" w:eastAsia="Arial" w:hAnsi="Arial"/>
          <w:sz w:val="13"/>
          <w:szCs w:val="13"/>
          <w:color w:val="auto"/>
        </w:rPr>
      </w:pPr>
      <w:r>
        <w:rPr>
          <w:rFonts w:ascii="Arial" w:cs="Arial" w:eastAsia="Arial" w:hAnsi="Arial"/>
          <w:sz w:val="13"/>
          <w:szCs w:val="13"/>
          <w:color w:val="auto"/>
        </w:rPr>
        <w:t xml:space="preserve">the Borrowers shall have paid to the Agent the assignment fee specified in </w:t>
      </w:r>
      <w:r>
        <w:rPr>
          <w:rFonts w:ascii="Arial" w:cs="Arial" w:eastAsia="Arial" w:hAnsi="Arial"/>
          <w:sz w:val="13"/>
          <w:szCs w:val="13"/>
          <w:u w:val="single" w:color="auto"/>
          <w:color w:val="auto"/>
        </w:rPr>
        <w:t>Section 10.06(b)</w:t>
      </w:r>
      <w:r>
        <w:rPr>
          <w:rFonts w:ascii="Arial" w:cs="Arial" w:eastAsia="Arial" w:hAnsi="Arial"/>
          <w:sz w:val="13"/>
          <w:szCs w:val="13"/>
          <w:color w:val="auto"/>
        </w:rPr>
        <w:t>;</w:t>
      </w:r>
    </w:p>
    <w:p>
      <w:pPr>
        <w:spacing w:after="0" w:line="147" w:lineRule="exact"/>
        <w:rPr>
          <w:rFonts w:ascii="Arial" w:cs="Arial" w:eastAsia="Arial" w:hAnsi="Arial"/>
          <w:sz w:val="13"/>
          <w:szCs w:val="13"/>
          <w:color w:val="auto"/>
        </w:rPr>
      </w:pPr>
    </w:p>
    <w:p>
      <w:pPr>
        <w:jc w:val="both"/>
        <w:ind w:left="1080" w:firstLine="739"/>
        <w:spacing w:after="0" w:line="258" w:lineRule="auto"/>
        <w:tabs>
          <w:tab w:leader="none" w:pos="2411" w:val="left"/>
        </w:tabs>
        <w:numPr>
          <w:ilvl w:val="0"/>
          <w:numId w:val="180"/>
        </w:numPr>
        <w:rPr>
          <w:rFonts w:ascii="Arial" w:cs="Arial" w:eastAsia="Arial" w:hAnsi="Arial"/>
          <w:sz w:val="13"/>
          <w:szCs w:val="13"/>
          <w:color w:val="auto"/>
        </w:rPr>
      </w:pPr>
      <w:r>
        <w:rPr>
          <w:rFonts w:ascii="Arial" w:cs="Arial" w:eastAsia="Arial" w:hAnsi="Arial"/>
          <w:sz w:val="13"/>
          <w:szCs w:val="13"/>
          <w:color w:val="auto"/>
        </w:rPr>
        <w:t xml:space="preserve">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13"/>
          <w:szCs w:val="13"/>
          <w:u w:val="single" w:color="auto"/>
          <w:color w:val="auto"/>
        </w:rPr>
        <w:t>Section 3.05</w:t>
      </w:r>
      <w:r>
        <w:rPr>
          <w:rFonts w:ascii="Arial" w:cs="Arial" w:eastAsia="Arial" w:hAnsi="Arial"/>
          <w:sz w:val="13"/>
          <w:szCs w:val="13"/>
          <w:color w:val="auto"/>
        </w:rPr>
        <w:t>) from the assignee (to the extent of such outstanding principal and accrued interest and fees) or the Borrowers (in the case of all other amounts);</w:t>
      </w:r>
    </w:p>
    <w:p>
      <w:pPr>
        <w:spacing w:after="0" w:line="121" w:lineRule="exact"/>
        <w:rPr>
          <w:rFonts w:ascii="Arial" w:cs="Arial" w:eastAsia="Arial" w:hAnsi="Arial"/>
          <w:sz w:val="13"/>
          <w:szCs w:val="13"/>
          <w:color w:val="auto"/>
        </w:rPr>
      </w:pPr>
    </w:p>
    <w:p>
      <w:pPr>
        <w:ind w:left="1080" w:firstLine="739"/>
        <w:spacing w:after="0" w:line="271" w:lineRule="auto"/>
        <w:tabs>
          <w:tab w:leader="none" w:pos="2404" w:val="left"/>
        </w:tabs>
        <w:numPr>
          <w:ilvl w:val="0"/>
          <w:numId w:val="180"/>
        </w:numPr>
        <w:rPr>
          <w:rFonts w:ascii="Arial" w:cs="Arial" w:eastAsia="Arial" w:hAnsi="Arial"/>
          <w:sz w:val="13"/>
          <w:szCs w:val="13"/>
          <w:color w:val="auto"/>
        </w:rPr>
      </w:pPr>
      <w:r>
        <w:rPr>
          <w:rFonts w:ascii="Arial" w:cs="Arial" w:eastAsia="Arial" w:hAnsi="Arial"/>
          <w:sz w:val="13"/>
          <w:szCs w:val="13"/>
          <w:color w:val="auto"/>
        </w:rPr>
        <w:t xml:space="preserve">in the case of any such assignment resulting from a claim for compensation under </w:t>
      </w:r>
      <w:r>
        <w:rPr>
          <w:rFonts w:ascii="Arial" w:cs="Arial" w:eastAsia="Arial" w:hAnsi="Arial"/>
          <w:sz w:val="13"/>
          <w:szCs w:val="13"/>
          <w:u w:val="single" w:color="auto"/>
          <w:color w:val="auto"/>
        </w:rPr>
        <w:t>Section 3.04</w:t>
      </w:r>
      <w:r>
        <w:rPr>
          <w:rFonts w:ascii="Arial" w:cs="Arial" w:eastAsia="Arial" w:hAnsi="Arial"/>
          <w:sz w:val="13"/>
          <w:szCs w:val="13"/>
          <w:color w:val="auto"/>
        </w:rPr>
        <w:t xml:space="preserve"> or payments required to be made pursuant to </w:t>
      </w:r>
      <w:r>
        <w:rPr>
          <w:rFonts w:ascii="Arial" w:cs="Arial" w:eastAsia="Arial" w:hAnsi="Arial"/>
          <w:sz w:val="13"/>
          <w:szCs w:val="13"/>
          <w:u w:val="single" w:color="auto"/>
          <w:color w:val="auto"/>
        </w:rPr>
        <w:t>Section 3.01</w:t>
      </w:r>
      <w:r>
        <w:rPr>
          <w:rFonts w:ascii="Arial" w:cs="Arial" w:eastAsia="Arial" w:hAnsi="Arial"/>
          <w:sz w:val="13"/>
          <w:szCs w:val="13"/>
          <w:color w:val="auto"/>
        </w:rPr>
        <w:t>, such assignment will result in a reduction in such compensation or payments thereafter;</w:t>
      </w:r>
    </w:p>
    <w:p>
      <w:pPr>
        <w:spacing w:after="0" w:line="112" w:lineRule="exact"/>
        <w:rPr>
          <w:rFonts w:ascii="Arial" w:cs="Arial" w:eastAsia="Arial" w:hAnsi="Arial"/>
          <w:sz w:val="13"/>
          <w:szCs w:val="13"/>
          <w:color w:val="auto"/>
        </w:rPr>
      </w:pPr>
    </w:p>
    <w:p>
      <w:pPr>
        <w:ind w:left="2420" w:hanging="584"/>
        <w:spacing w:after="0"/>
        <w:tabs>
          <w:tab w:leader="none" w:pos="2420" w:val="left"/>
        </w:tabs>
        <w:numPr>
          <w:ilvl w:val="1"/>
          <w:numId w:val="180"/>
        </w:numPr>
        <w:rPr>
          <w:rFonts w:ascii="Arial" w:cs="Arial" w:eastAsia="Arial" w:hAnsi="Arial"/>
          <w:sz w:val="13"/>
          <w:szCs w:val="13"/>
          <w:color w:val="auto"/>
        </w:rPr>
      </w:pPr>
      <w:r>
        <w:rPr>
          <w:rFonts w:ascii="Arial" w:cs="Arial" w:eastAsia="Arial" w:hAnsi="Arial"/>
          <w:sz w:val="13"/>
          <w:szCs w:val="13"/>
          <w:color w:val="auto"/>
        </w:rPr>
        <w:t>such assignment does not conflict with Laws; and</w:t>
      </w:r>
    </w:p>
    <w:p>
      <w:pPr>
        <w:spacing w:after="0" w:line="148" w:lineRule="exact"/>
        <w:rPr>
          <w:sz w:val="20"/>
          <w:szCs w:val="20"/>
          <w:color w:val="auto"/>
        </w:rPr>
      </w:pPr>
    </w:p>
    <w:p>
      <w:pPr>
        <w:ind w:left="2400" w:hanging="581"/>
        <w:spacing w:after="0"/>
        <w:tabs>
          <w:tab w:leader="none" w:pos="2400" w:val="left"/>
        </w:tabs>
        <w:numPr>
          <w:ilvl w:val="0"/>
          <w:numId w:val="181"/>
        </w:numPr>
        <w:rPr>
          <w:rFonts w:ascii="Arial" w:cs="Arial" w:eastAsia="Arial" w:hAnsi="Arial"/>
          <w:sz w:val="11"/>
          <w:szCs w:val="11"/>
          <w:color w:val="auto"/>
        </w:rPr>
      </w:pPr>
      <w:r>
        <w:rPr>
          <w:rFonts w:ascii="Arial" w:cs="Arial" w:eastAsia="Arial" w:hAnsi="Arial"/>
          <w:sz w:val="11"/>
          <w:szCs w:val="11"/>
          <w:color w:val="auto"/>
        </w:rPr>
        <w:t>in the case of an assignment resulting from a Lender becoming a Non-Consenting Lender, the applicable assignee shall have consented to the applicable amendment,</w:t>
      </w:r>
    </w:p>
    <w:p>
      <w:pPr>
        <w:spacing w:after="0" w:line="36" w:lineRule="exact"/>
        <w:rPr>
          <w:rFonts w:ascii="Arial" w:cs="Arial" w:eastAsia="Arial" w:hAnsi="Arial"/>
          <w:sz w:val="11"/>
          <w:szCs w:val="11"/>
          <w:color w:val="auto"/>
        </w:rPr>
      </w:pPr>
    </w:p>
    <w:p>
      <w:pPr>
        <w:ind w:left="1080"/>
        <w:spacing w:after="0"/>
        <w:rPr>
          <w:rFonts w:ascii="Arial" w:cs="Arial" w:eastAsia="Arial" w:hAnsi="Arial"/>
          <w:sz w:val="11"/>
          <w:szCs w:val="11"/>
          <w:color w:val="auto"/>
        </w:rPr>
      </w:pPr>
      <w:r>
        <w:rPr>
          <w:rFonts w:ascii="Arial" w:cs="Arial" w:eastAsia="Arial" w:hAnsi="Arial"/>
          <w:sz w:val="13"/>
          <w:szCs w:val="13"/>
          <w:color w:val="auto"/>
        </w:rPr>
        <w:t>waiver or consent.</w:t>
      </w:r>
    </w:p>
    <w:p>
      <w:pPr>
        <w:spacing w:after="0" w:line="138" w:lineRule="exact"/>
        <w:rPr>
          <w:sz w:val="20"/>
          <w:szCs w:val="20"/>
          <w:color w:val="auto"/>
        </w:rPr>
      </w:pPr>
    </w:p>
    <w:p>
      <w:pPr>
        <w:ind w:left="220"/>
        <w:spacing w:after="0" w:line="271" w:lineRule="auto"/>
        <w:rPr>
          <w:sz w:val="20"/>
          <w:szCs w:val="20"/>
          <w:color w:val="auto"/>
        </w:rPr>
      </w:pPr>
      <w:r>
        <w:rPr>
          <w:rFonts w:ascii="Arial" w:cs="Arial" w:eastAsia="Arial" w:hAnsi="Arial"/>
          <w:sz w:val="13"/>
          <w:szCs w:val="13"/>
          <w:color w:val="auto"/>
        </w:rPr>
        <w:t>A Lender shall not be required to make any such assignment or delegation if, prior thereto, as a result of a waiver by such Lender or otherwise, the circumstances entitling the Borrowers to require such assignment and delegation cease to apply.</w:t>
      </w:r>
    </w:p>
    <w:p>
      <w:pPr>
        <w:spacing w:after="0" w:line="109" w:lineRule="exact"/>
        <w:rPr>
          <w:sz w:val="20"/>
          <w:szCs w:val="20"/>
          <w:color w:val="auto"/>
        </w:rPr>
      </w:pPr>
    </w:p>
    <w:p>
      <w:pPr>
        <w:ind w:left="1080"/>
        <w:spacing w:after="0"/>
        <w:tabs>
          <w:tab w:leader="none" w:pos="1880" w:val="left"/>
        </w:tabs>
        <w:rPr>
          <w:sz w:val="20"/>
          <w:szCs w:val="20"/>
          <w:color w:val="auto"/>
        </w:rPr>
      </w:pPr>
      <w:r>
        <w:rPr>
          <w:rFonts w:ascii="Arial" w:cs="Arial" w:eastAsia="Arial" w:hAnsi="Arial"/>
          <w:sz w:val="13"/>
          <w:szCs w:val="13"/>
          <w:b w:val="1"/>
          <w:bCs w:val="1"/>
          <w:color w:val="auto"/>
        </w:rPr>
        <w:t>10.14</w:t>
      </w:r>
      <w:r>
        <w:rPr>
          <w:sz w:val="20"/>
          <w:szCs w:val="20"/>
          <w:color w:val="auto"/>
        </w:rPr>
        <w:tab/>
      </w:r>
      <w:r>
        <w:rPr>
          <w:rFonts w:ascii="Arial" w:cs="Arial" w:eastAsia="Arial" w:hAnsi="Arial"/>
          <w:sz w:val="12"/>
          <w:szCs w:val="12"/>
          <w:b w:val="1"/>
          <w:bCs w:val="1"/>
          <w:color w:val="auto"/>
        </w:rPr>
        <w:t>Governing Law; Jurisdiction; Etc</w:t>
      </w:r>
      <w:r>
        <w:rPr>
          <w:rFonts w:ascii="Arial" w:cs="Arial" w:eastAsia="Arial" w:hAnsi="Arial"/>
          <w:sz w:val="12"/>
          <w:szCs w:val="12"/>
          <w:color w:val="auto"/>
        </w:rPr>
        <w:t>.</w:t>
      </w:r>
    </w:p>
    <w:p>
      <w:pPr>
        <w:spacing w:after="0" w:line="152" w:lineRule="exact"/>
        <w:rPr>
          <w:sz w:val="20"/>
          <w:szCs w:val="20"/>
          <w:color w:val="auto"/>
        </w:rPr>
      </w:pPr>
    </w:p>
    <w:p>
      <w:pPr>
        <w:jc w:val="both"/>
        <w:ind w:left="220" w:firstLine="1624"/>
        <w:spacing w:after="0" w:line="254" w:lineRule="auto"/>
        <w:tabs>
          <w:tab w:leader="none" w:pos="2412" w:val="left"/>
        </w:tabs>
        <w:numPr>
          <w:ilvl w:val="0"/>
          <w:numId w:val="182"/>
        </w:numPr>
        <w:rPr>
          <w:rFonts w:ascii="Arial" w:cs="Arial" w:eastAsia="Arial" w:hAnsi="Arial"/>
          <w:sz w:val="13"/>
          <w:szCs w:val="13"/>
          <w:color w:val="auto"/>
        </w:rPr>
      </w:pPr>
      <w:r>
        <w:rPr>
          <w:rFonts w:ascii="Arial" w:cs="Arial" w:eastAsia="Arial" w:hAnsi="Arial"/>
          <w:sz w:val="13"/>
          <w:szCs w:val="13"/>
          <w:u w:val="single" w:color="auto"/>
          <w:color w:val="auto"/>
        </w:rPr>
        <w:t>GOVERNING LAW</w:t>
      </w:r>
      <w:r>
        <w:rPr>
          <w:rFonts w:ascii="Arial" w:cs="Arial" w:eastAsia="Arial" w:hAnsi="Arial"/>
          <w:sz w:val="13"/>
          <w:szCs w:val="13"/>
          <w:color w:val="auto"/>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271"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138" w:name="page139"/>
    <w:bookmarkEnd w:id="138"/>
    <w:p>
      <w:pPr>
        <w:jc w:val="both"/>
        <w:ind w:left="220" w:firstLine="1624"/>
        <w:spacing w:after="0" w:line="248" w:lineRule="auto"/>
        <w:tabs>
          <w:tab w:leader="none" w:pos="2419" w:val="left"/>
        </w:tabs>
        <w:numPr>
          <w:ilvl w:val="0"/>
          <w:numId w:val="183"/>
        </w:numPr>
        <w:rPr>
          <w:rFonts w:ascii="Arial" w:cs="Arial" w:eastAsia="Arial" w:hAnsi="Arial"/>
          <w:sz w:val="13"/>
          <w:szCs w:val="13"/>
          <w:color w:val="auto"/>
        </w:rPr>
      </w:pPr>
      <w:r>
        <w:rPr>
          <w:rFonts w:ascii="Arial" w:cs="Arial" w:eastAsia="Arial" w:hAnsi="Arial"/>
          <w:sz w:val="13"/>
          <w:szCs w:val="13"/>
          <w:u w:val="single" w:color="auto"/>
          <w:color w:val="auto"/>
        </w:rPr>
        <w:t>SUBMISSION TO JURISDICTION</w:t>
      </w:r>
      <w:r>
        <w:rPr>
          <w:rFonts w:ascii="Arial" w:cs="Arial" w:eastAsia="Arial" w:hAnsi="Arial"/>
          <w:sz w:val="13"/>
          <w:szCs w:val="13"/>
          <w:color w:val="auto"/>
        </w:rPr>
        <w:t>. EACH LOAN PARTY IRREVOCABLY AND UNCONDITIONALLY AGREES THAT IT WILL NOT COMMENCE ANY ACTION, LITIGATION OR PROCEEDING OF ANY KIND OR DESCRIPTION, WHETHER IN LAW OR EQUITY, WHETHER IN CONTRACT OR IN TORT OR OTHERWISE, AGAINST THE AGENT, ANY LENDER, THE L/C ISSUER,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LAW, IN SUCH FEDERAL COURT. EACH OF THE LOAN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ANY CREDIT PARTY MAY OTHERWISE HAVE TO BRING ANY ACTION OR PROCEEDING RELATING TO THIS AGREEMENT OR ANY OTHER LOAN DOCUMENT AGAINST ANY LOAN PARTY OR ITS PROPERTIES IN THE COURTS OF ANY JURISDICTION.</w:t>
      </w:r>
    </w:p>
    <w:p>
      <w:pPr>
        <w:spacing w:after="0" w:line="130" w:lineRule="exact"/>
        <w:rPr>
          <w:rFonts w:ascii="Arial" w:cs="Arial" w:eastAsia="Arial" w:hAnsi="Arial"/>
          <w:sz w:val="13"/>
          <w:szCs w:val="13"/>
          <w:color w:val="auto"/>
        </w:rPr>
      </w:pPr>
    </w:p>
    <w:p>
      <w:pPr>
        <w:jc w:val="both"/>
        <w:ind w:left="220" w:firstLine="1624"/>
        <w:spacing w:after="0" w:line="282" w:lineRule="auto"/>
        <w:tabs>
          <w:tab w:leader="none" w:pos="2412" w:val="left"/>
        </w:tabs>
        <w:numPr>
          <w:ilvl w:val="0"/>
          <w:numId w:val="183"/>
        </w:numPr>
        <w:rPr>
          <w:rFonts w:ascii="Arial" w:cs="Arial" w:eastAsia="Arial" w:hAnsi="Arial"/>
          <w:sz w:val="12"/>
          <w:szCs w:val="12"/>
          <w:color w:val="auto"/>
        </w:rPr>
      </w:pPr>
      <w:r>
        <w:rPr>
          <w:rFonts w:ascii="Arial" w:cs="Arial" w:eastAsia="Arial" w:hAnsi="Arial"/>
          <w:sz w:val="12"/>
          <w:szCs w:val="12"/>
          <w:u w:val="single" w:color="auto"/>
          <w:color w:val="auto"/>
        </w:rPr>
        <w:t>WAIVER OF VENUE</w:t>
      </w:r>
      <w:r>
        <w:rPr>
          <w:rFonts w:ascii="Arial" w:cs="Arial" w:eastAsia="Arial" w:hAnsi="Arial"/>
          <w:sz w:val="12"/>
          <w:szCs w:val="12"/>
          <w:color w:val="auto"/>
        </w:rPr>
        <w:t>. EACH LOAN PARTY IRREVOCABLY AND UNCONDITIONALLY WAIVES, TO THE FULLEST EXTENT PERMITTED BY LAW, ANY OBJECTION THAT IT MAY NOW OR HEREAFTER HAVE TO THE LAYING OF VENUE OF ANY ACTION OR PROCEEDING ARISING OUT OF OR RELATING TO THIS AGREEMENT OR ANY OTHER LOAN DOCUMENT IN ANY COURT REFERRED TO IN PARAGRAPH (B) OF THIS SECTION. EACH OF THE LOAN PARTIES HERETO HEREBY IRREVOCABLY WAIVES, TO THE FULLEST EXTENT PERMITTED BY LAW, THE DEFENSE OF AN INCONVENIENT FORUM TO THE MAINTENANCE OF SUCH ACTION OR PROCEEDING IN ANY SUCH COURT.</w:t>
      </w:r>
    </w:p>
    <w:p>
      <w:pPr>
        <w:spacing w:after="0" w:line="108" w:lineRule="exact"/>
        <w:rPr>
          <w:rFonts w:ascii="Arial" w:cs="Arial" w:eastAsia="Arial" w:hAnsi="Arial"/>
          <w:sz w:val="12"/>
          <w:szCs w:val="12"/>
          <w:color w:val="auto"/>
        </w:rPr>
      </w:pPr>
    </w:p>
    <w:p>
      <w:pPr>
        <w:ind w:left="220" w:firstLine="1624"/>
        <w:spacing w:after="0" w:line="314" w:lineRule="auto"/>
        <w:tabs>
          <w:tab w:leader="none" w:pos="2419" w:val="left"/>
        </w:tabs>
        <w:numPr>
          <w:ilvl w:val="0"/>
          <w:numId w:val="183"/>
        </w:numPr>
        <w:rPr>
          <w:rFonts w:ascii="Arial" w:cs="Arial" w:eastAsia="Arial" w:hAnsi="Arial"/>
          <w:sz w:val="12"/>
          <w:szCs w:val="12"/>
          <w:color w:val="auto"/>
        </w:rPr>
      </w:pPr>
      <w:r>
        <w:rPr>
          <w:rFonts w:ascii="Arial" w:cs="Arial" w:eastAsia="Arial" w:hAnsi="Arial"/>
          <w:sz w:val="12"/>
          <w:szCs w:val="12"/>
          <w:u w:val="single" w:color="auto"/>
          <w:color w:val="auto"/>
        </w:rPr>
        <w:t>SERVICE OF PROCESS</w:t>
      </w:r>
      <w:r>
        <w:rPr>
          <w:rFonts w:ascii="Arial" w:cs="Arial" w:eastAsia="Arial" w:hAnsi="Arial"/>
          <w:sz w:val="12"/>
          <w:szCs w:val="12"/>
          <w:color w:val="auto"/>
        </w:rPr>
        <w:t xml:space="preserve">. EACH PARTY HERETO IRREVOCABLY CONSENTS TO SERVICE OF PROCESS IN THE MANNER PROVIDED FOR NOTICES IN </w:t>
      </w:r>
      <w:r>
        <w:rPr>
          <w:rFonts w:ascii="Arial" w:cs="Arial" w:eastAsia="Arial" w:hAnsi="Arial"/>
          <w:sz w:val="12"/>
          <w:szCs w:val="12"/>
          <w:u w:val="single" w:color="auto"/>
          <w:color w:val="auto"/>
        </w:rPr>
        <w:t>SECTION 10.02</w:t>
      </w:r>
      <w:r>
        <w:rPr>
          <w:rFonts w:ascii="Arial" w:cs="Arial" w:eastAsia="Arial" w:hAnsi="Arial"/>
          <w:sz w:val="12"/>
          <w:szCs w:val="12"/>
          <w:color w:val="auto"/>
        </w:rPr>
        <w:t>. NOTHING IN THIS AGREEMENT WILL AFFECT THE RIGHT OF ANY PARTY HERETO TO SERVE PROCESS IN ANY OTHER MANNER PERMITTED BY LAW.</w:t>
      </w:r>
    </w:p>
    <w:p>
      <w:pPr>
        <w:spacing w:after="0" w:line="85" w:lineRule="exact"/>
        <w:rPr>
          <w:sz w:val="20"/>
          <w:szCs w:val="20"/>
          <w:color w:val="auto"/>
        </w:rPr>
      </w:pPr>
    </w:p>
    <w:p>
      <w:pPr>
        <w:jc w:val="both"/>
        <w:ind w:left="220" w:firstLine="808"/>
        <w:spacing w:after="0" w:line="252" w:lineRule="auto"/>
        <w:rPr>
          <w:sz w:val="20"/>
          <w:szCs w:val="20"/>
          <w:color w:val="auto"/>
        </w:rPr>
      </w:pPr>
      <w:r>
        <w:rPr>
          <w:rFonts w:ascii="Arial" w:cs="Arial" w:eastAsia="Arial" w:hAnsi="Arial"/>
          <w:sz w:val="13"/>
          <w:szCs w:val="13"/>
          <w:b w:val="1"/>
          <w:bCs w:val="1"/>
          <w:color w:val="auto"/>
        </w:rPr>
        <w:t>10.15 Waiver of Jury Trial</w:t>
      </w:r>
      <w:r>
        <w:rPr>
          <w:rFonts w:ascii="Arial" w:cs="Arial" w:eastAsia="Arial" w:hAnsi="Arial"/>
          <w:sz w:val="13"/>
          <w:szCs w:val="13"/>
          <w:color w:val="auto"/>
        </w:rPr>
        <w:t>. EACH PARTY HERETO HEREBY IRREVOCABLY WAIVES, TO THE FULLEST EXTENT PERMITTED BY LAW, ANY RIGHT IT MAY HAVE TO</w:t>
      </w:r>
      <w:r>
        <w:rPr>
          <w:rFonts w:ascii="Arial" w:cs="Arial" w:eastAsia="Arial" w:hAnsi="Arial"/>
          <w:sz w:val="13"/>
          <w:szCs w:val="13"/>
          <w:b w:val="1"/>
          <w:bCs w:val="1"/>
          <w:color w:val="auto"/>
        </w:rPr>
        <w:t xml:space="preserve"> </w:t>
      </w:r>
      <w:r>
        <w:rPr>
          <w:rFonts w:ascii="Arial" w:cs="Arial" w:eastAsia="Arial" w:hAnsi="Arial"/>
          <w:sz w:val="13"/>
          <w:szCs w:val="13"/>
          <w:color w:val="auto"/>
        </w:rPr>
        <w:t>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272"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139" w:name="page140"/>
    <w:bookmarkEnd w:id="139"/>
    <w:p>
      <w:pPr>
        <w:jc w:val="both"/>
        <w:ind w:left="220" w:firstLine="808"/>
        <w:spacing w:after="0" w:line="270" w:lineRule="auto"/>
        <w:rPr>
          <w:sz w:val="20"/>
          <w:szCs w:val="20"/>
          <w:color w:val="auto"/>
        </w:rPr>
      </w:pPr>
      <w:r>
        <w:rPr>
          <w:rFonts w:ascii="Arial" w:cs="Arial" w:eastAsia="Arial" w:hAnsi="Arial"/>
          <w:sz w:val="12"/>
          <w:szCs w:val="12"/>
          <w:b w:val="1"/>
          <w:bCs w:val="1"/>
          <w:color w:val="auto"/>
        </w:rPr>
        <w:t>10.16 No Advisory or Fiduciary Responsibility</w:t>
      </w:r>
      <w:r>
        <w:rPr>
          <w:rFonts w:ascii="Arial" w:cs="Arial" w:eastAsia="Arial" w:hAnsi="Arial"/>
          <w:sz w:val="12"/>
          <w:szCs w:val="12"/>
          <w:color w:val="auto"/>
        </w:rPr>
        <w:t>. In connection with all aspects of each transaction contemplated hereby, the Loan Parties each acknowledge and agree that: (i) the credit</w:t>
      </w:r>
      <w:r>
        <w:rPr>
          <w:rFonts w:ascii="Arial" w:cs="Arial" w:eastAsia="Arial" w:hAnsi="Arial"/>
          <w:sz w:val="12"/>
          <w:szCs w:val="12"/>
          <w:b w:val="1"/>
          <w:bCs w:val="1"/>
          <w:color w:val="auto"/>
        </w:rPr>
        <w:t xml:space="preserve"> </w:t>
      </w:r>
      <w:r>
        <w:rPr>
          <w:rFonts w:ascii="Arial" w:cs="Arial" w:eastAsia="Arial" w:hAnsi="Arial"/>
          <w:sz w:val="12"/>
          <w:szCs w:val="12"/>
          <w:color w:val="auto"/>
        </w:rPr>
        <w:t>facility provided for hereunder and any related arranging or other services in connection therewith (including in connection with any amendment, waiver or other modification hereof or of any other Loan Document) are an arm’s-length commercial transaction between the Loan Parties, on the one hand, and the Credit Parties, on the other hand, and each of the Loan Parties is capable of evaluating and understanding and understands and accepts the terms, risks and conditions of the transactions contemplated hereby and by the other Loan Documents (including any amendment, waiver or other modification hereof or thereof); (ii) in connection with the process leading to such transaction, each Credit Party is and has been acting solely as a principal and is not the financial advisor, agent or fiduciary, for the Loan Parties or any of their respective Affiliates, stockholders, creditors or employees or any other Person; (iii) none of the Credit Parties has assumed or will assume an advisory, agency or fiduciary responsibility in favor of the Loan Parties with respect to any of the transactions contemplated hereby or the process leading thereto, including with respect to any amendment, waiver or other modification hereof or of any other Loan Document (irrespective of whether any of the Credit Parties has advised or is currently advising any Loan Party or any of its Affiliates on other matters) and none of the Credit Parties has any obligation to any Loan Party or any of its Affiliates with respect to the transactions contemplated hereby except those obligations expressly set forth herein and in the other Loan Documents; (iv) the Credit Parties and their respective Affiliates may be engaged in a broad range of transactions that involve interests that differ from those of the Loan Parties and their respective Affiliates, and none of the Credit Parties has any obligation to disclose any of such interests by virtue of any advisory, agency or fiduciary relationship; and (v) the Credit Parties have not provided and will not provide any legal, accounting, regulatory or tax advice with respect to any of the transactions contemplated hereby (including any amendment, waiver or other modification hereof or of any other Loan Document) and each of the Loan Parties has consulted its own legal, accounting, regulatory and tax advisors to the extent it has deemed appropriate. Each of the Loan Parties hereby waives and releases, to the fullest extent permitted by law, any claims that it may have against each of the Credit Parties with respect to any breach or alleged breach of agency or fiduciary duty.</w:t>
      </w:r>
    </w:p>
    <w:p>
      <w:pPr>
        <w:spacing w:after="0" w:line="116" w:lineRule="exact"/>
        <w:rPr>
          <w:sz w:val="20"/>
          <w:szCs w:val="20"/>
          <w:color w:val="auto"/>
        </w:rPr>
      </w:pPr>
    </w:p>
    <w:p>
      <w:pPr>
        <w:jc w:val="both"/>
        <w:ind w:left="220" w:firstLine="808"/>
        <w:spacing w:after="0" w:line="275" w:lineRule="auto"/>
        <w:rPr>
          <w:sz w:val="20"/>
          <w:szCs w:val="20"/>
          <w:color w:val="auto"/>
        </w:rPr>
      </w:pPr>
      <w:r>
        <w:rPr>
          <w:rFonts w:ascii="Arial" w:cs="Arial" w:eastAsia="Arial" w:hAnsi="Arial"/>
          <w:sz w:val="12"/>
          <w:szCs w:val="12"/>
          <w:b w:val="1"/>
          <w:bCs w:val="1"/>
          <w:color w:val="auto"/>
        </w:rPr>
        <w:t>10.17 USA PATRIOT Act Notice</w:t>
      </w:r>
      <w:r>
        <w:rPr>
          <w:rFonts w:ascii="Arial" w:cs="Arial" w:eastAsia="Arial" w:hAnsi="Arial"/>
          <w:sz w:val="12"/>
          <w:szCs w:val="12"/>
          <w:color w:val="auto"/>
        </w:rPr>
        <w:t>. Each Lender that is subject to the Act (as hereinafter defined) and the Agent (for itself and not on behalf of any Lender) hereby notifies the Loan</w:t>
      </w:r>
      <w:r>
        <w:rPr>
          <w:rFonts w:ascii="Arial" w:cs="Arial" w:eastAsia="Arial" w:hAnsi="Arial"/>
          <w:sz w:val="12"/>
          <w:szCs w:val="12"/>
          <w:b w:val="1"/>
          <w:bCs w:val="1"/>
          <w:color w:val="auto"/>
        </w:rPr>
        <w:t xml:space="preserve"> </w:t>
      </w:r>
      <w:r>
        <w:rPr>
          <w:rFonts w:ascii="Arial" w:cs="Arial" w:eastAsia="Arial" w:hAnsi="Arial"/>
          <w:sz w:val="12"/>
          <w:szCs w:val="12"/>
          <w:color w:val="auto"/>
        </w:rPr>
        <w:t>Parties that pursuant to the requirements of the USA Patriot Act (Title III of Pub. L. 107-56 (signed into law October 26, 2001)) (the “Act”), it is required to obtain, verify and record information that identifies each Loan Party, which information includes the name and address of each Loan Party and other information that will allow such Lender or the Agent, as applicable, to identify each Loan Party in accordance with the Act. Each Loan Party is in compliance, in all material respects, with the Act. No part of the proceeds of the Loans will be used by the Loan Parties,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Anti-Corruption Laws. The Loan Parties shall, promptly following a request by the Agent or any Lender, provide all documentation and other information that the Agent or such Lender requests in order to comply with its ongoing obligations under applicable “know your customer”, Anti-Corruption Laws and Anti-Money Laundering Laws, including the Act.</w:t>
      </w:r>
    </w:p>
    <w:p>
      <w:pPr>
        <w:spacing w:after="0" w:line="109" w:lineRule="exact"/>
        <w:rPr>
          <w:sz w:val="20"/>
          <w:szCs w:val="20"/>
          <w:color w:val="auto"/>
        </w:rPr>
      </w:pPr>
    </w:p>
    <w:p>
      <w:pPr>
        <w:jc w:val="both"/>
        <w:ind w:left="220" w:firstLine="808"/>
        <w:spacing w:after="0" w:line="256" w:lineRule="auto"/>
        <w:rPr>
          <w:sz w:val="20"/>
          <w:szCs w:val="20"/>
          <w:color w:val="auto"/>
        </w:rPr>
      </w:pPr>
      <w:r>
        <w:rPr>
          <w:rFonts w:ascii="Arial" w:cs="Arial" w:eastAsia="Arial" w:hAnsi="Arial"/>
          <w:sz w:val="13"/>
          <w:szCs w:val="13"/>
          <w:b w:val="1"/>
          <w:bCs w:val="1"/>
          <w:color w:val="auto"/>
        </w:rPr>
        <w:t>10.18 Foreign Asset Control Regulations</w:t>
      </w:r>
      <w:r>
        <w:rPr>
          <w:rFonts w:ascii="Arial" w:cs="Arial" w:eastAsia="Arial" w:hAnsi="Arial"/>
          <w:sz w:val="13"/>
          <w:szCs w:val="13"/>
          <w:color w:val="auto"/>
        </w:rPr>
        <w:t>. Neither of the advance of the Loans nor the use of the proceeds of any thereof will violate the Trading With the Enemy Act (50 U.S.C. § 1 et</w:t>
      </w:r>
      <w:r>
        <w:rPr>
          <w:rFonts w:ascii="Arial" w:cs="Arial" w:eastAsia="Arial" w:hAnsi="Arial"/>
          <w:sz w:val="13"/>
          <w:szCs w:val="13"/>
          <w:b w:val="1"/>
          <w:bCs w:val="1"/>
          <w:color w:val="auto"/>
        </w:rPr>
        <w:t xml:space="preserve"> </w:t>
      </w:r>
      <w:r>
        <w:rPr>
          <w:rFonts w:ascii="Arial" w:cs="Arial" w:eastAsia="Arial" w:hAnsi="Arial"/>
          <w:sz w:val="13"/>
          <w:szCs w:val="13"/>
          <w:color w:val="auto"/>
        </w:rPr>
        <w:t>seq., as amended) (the “Trading With the Enemy Act”) or any of the foreign assets control regulations of the United States Treasury Department (31 CFR, Subtitle B, Chapter V, as amended) (the “Foreign Assets Control Regulations”) or any enabling legislation or executive order relating thereto (which for the avoidance of doubt shall include, but shall not be limited to (a) Executive Order 13224 of September 21, 2001 Blocking Property and Prohibiting Transactions With Persons Who Commit, Threaten to Commit,</w:t>
      </w:r>
    </w:p>
    <w:p>
      <w:pPr>
        <w:spacing w:after="0" w:line="270"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4" w:right="439" w:bottom="1440" w:gutter="0" w:footer="0" w:header="0"/>
        </w:sectPr>
      </w:pPr>
    </w:p>
    <w:bookmarkStart w:id="140" w:name="page141"/>
    <w:bookmarkEnd w:id="140"/>
    <w:p>
      <w:pPr>
        <w:jc w:val="both"/>
        <w:ind w:left="220"/>
        <w:spacing w:after="0" w:line="255" w:lineRule="auto"/>
        <w:rPr>
          <w:sz w:val="20"/>
          <w:szCs w:val="20"/>
          <w:color w:val="auto"/>
        </w:rPr>
      </w:pPr>
      <w:r>
        <w:rPr>
          <w:rFonts w:ascii="Arial" w:cs="Arial" w:eastAsia="Arial" w:hAnsi="Arial"/>
          <w:sz w:val="13"/>
          <w:szCs w:val="13"/>
          <w:color w:val="auto"/>
        </w:rPr>
        <w:t>or Support Terrorism (66 Fed. Reg. 49079 (2001)) (the “Executive Order”) and (b) the Uniting and Strengthening America by Providing Appropriate Tools Required to Intercept and Obstruct Terrorism Act of 2001 (Public Law 107-56)). To the extent applicable, each Loan Party is in compliance, in all material respects, with the Trading with the Enemy Act. Furthermore, none of the Borrowers or their Affiliates (a) is or will become a “blocked person” as described in the Executive Order, the Trading With the Enemy Act or the Foreign Assets Control Regulations or (b) engages or will engage in any dealings or transactions, or be otherwise associated, with any such “blocked person” or in any manner violative of any such order.</w:t>
      </w:r>
    </w:p>
    <w:p>
      <w:pPr>
        <w:spacing w:after="0" w:line="119" w:lineRule="exact"/>
        <w:rPr>
          <w:sz w:val="20"/>
          <w:szCs w:val="20"/>
          <w:color w:val="auto"/>
        </w:rPr>
      </w:pPr>
    </w:p>
    <w:tbl>
      <w:tblPr>
        <w:tblLayout w:type="fixed"/>
        <w:tblInd w:w="1040" w:type="dxa"/>
        <w:tblCellMar>
          <w:top w:w="0" w:type="dxa"/>
          <w:left w:w="0" w:type="dxa"/>
          <w:bottom w:w="0" w:type="dxa"/>
          <w:right w:w="0" w:type="dxa"/>
        </w:tblCellMar>
      </w:tblPr>
      <w:tr>
        <w:trPr>
          <w:trHeight w:val="170"/>
        </w:trPr>
        <w:tc>
          <w:tcPr>
            <w:tcW w:w="500" w:type="dxa"/>
            <w:vAlign w:val="bottom"/>
          </w:tcPr>
          <w:p>
            <w:pPr>
              <w:jc w:val="right"/>
              <w:ind w:right="154"/>
              <w:spacing w:after="0"/>
              <w:rPr>
                <w:sz w:val="20"/>
                <w:szCs w:val="20"/>
                <w:color w:val="auto"/>
              </w:rPr>
            </w:pPr>
            <w:r>
              <w:rPr>
                <w:rFonts w:ascii="Arial" w:cs="Arial" w:eastAsia="Arial" w:hAnsi="Arial"/>
                <w:sz w:val="13"/>
                <w:szCs w:val="13"/>
                <w:b w:val="1"/>
                <w:bCs w:val="1"/>
                <w:color w:val="auto"/>
                <w:w w:val="79"/>
              </w:rPr>
              <w:t>10.19</w:t>
            </w:r>
          </w:p>
        </w:tc>
        <w:tc>
          <w:tcPr>
            <w:tcW w:w="3840" w:type="dxa"/>
            <w:vAlign w:val="bottom"/>
          </w:tcPr>
          <w:p>
            <w:pPr>
              <w:ind w:left="220"/>
              <w:spacing w:after="0"/>
              <w:rPr>
                <w:sz w:val="20"/>
                <w:szCs w:val="20"/>
                <w:color w:val="auto"/>
              </w:rPr>
            </w:pPr>
            <w:r>
              <w:rPr>
                <w:rFonts w:ascii="Arial" w:cs="Arial" w:eastAsia="Arial" w:hAnsi="Arial"/>
                <w:sz w:val="13"/>
                <w:szCs w:val="13"/>
                <w:b w:val="1"/>
                <w:bCs w:val="1"/>
                <w:color w:val="auto"/>
                <w:w w:val="88"/>
              </w:rPr>
              <w:t>Time of the Essence</w:t>
            </w:r>
            <w:r>
              <w:rPr>
                <w:rFonts w:ascii="Arial" w:cs="Arial" w:eastAsia="Arial" w:hAnsi="Arial"/>
                <w:sz w:val="13"/>
                <w:szCs w:val="13"/>
                <w:color w:val="auto"/>
                <w:w w:val="88"/>
              </w:rPr>
              <w:t>. Time is of the essence of the Loan Documents.</w:t>
            </w:r>
          </w:p>
        </w:tc>
      </w:tr>
      <w:tr>
        <w:trPr>
          <w:trHeight w:val="297"/>
        </w:trPr>
        <w:tc>
          <w:tcPr>
            <w:tcW w:w="500" w:type="dxa"/>
            <w:vAlign w:val="bottom"/>
          </w:tcPr>
          <w:p>
            <w:pPr>
              <w:jc w:val="right"/>
              <w:ind w:right="154"/>
              <w:spacing w:after="0"/>
              <w:rPr>
                <w:sz w:val="20"/>
                <w:szCs w:val="20"/>
                <w:color w:val="auto"/>
              </w:rPr>
            </w:pPr>
            <w:r>
              <w:rPr>
                <w:rFonts w:ascii="Arial" w:cs="Arial" w:eastAsia="Arial" w:hAnsi="Arial"/>
                <w:sz w:val="13"/>
                <w:szCs w:val="13"/>
                <w:b w:val="1"/>
                <w:bCs w:val="1"/>
                <w:color w:val="auto"/>
                <w:w w:val="79"/>
              </w:rPr>
              <w:t>10.20</w:t>
            </w:r>
          </w:p>
        </w:tc>
        <w:tc>
          <w:tcPr>
            <w:tcW w:w="3840" w:type="dxa"/>
            <w:vAlign w:val="bottom"/>
          </w:tcPr>
          <w:p>
            <w:pPr>
              <w:ind w:left="220"/>
              <w:spacing w:after="0"/>
              <w:rPr>
                <w:sz w:val="20"/>
                <w:szCs w:val="20"/>
                <w:color w:val="auto"/>
              </w:rPr>
            </w:pPr>
            <w:r>
              <w:rPr>
                <w:rFonts w:ascii="Arial" w:cs="Arial" w:eastAsia="Arial" w:hAnsi="Arial"/>
                <w:sz w:val="13"/>
                <w:szCs w:val="13"/>
                <w:b w:val="1"/>
                <w:bCs w:val="1"/>
                <w:color w:val="auto"/>
              </w:rPr>
              <w:t>Press Releases</w:t>
            </w:r>
            <w:r>
              <w:rPr>
                <w:rFonts w:ascii="Arial" w:cs="Arial" w:eastAsia="Arial" w:hAnsi="Arial"/>
                <w:sz w:val="13"/>
                <w:szCs w:val="13"/>
                <w:color w:val="auto"/>
              </w:rPr>
              <w:t>.</w:t>
            </w:r>
          </w:p>
        </w:tc>
      </w:tr>
    </w:tbl>
    <w:p>
      <w:pPr>
        <w:spacing w:after="0" w:line="132" w:lineRule="exact"/>
        <w:rPr>
          <w:sz w:val="20"/>
          <w:szCs w:val="20"/>
          <w:color w:val="auto"/>
        </w:rPr>
      </w:pPr>
    </w:p>
    <w:p>
      <w:pPr>
        <w:jc w:val="both"/>
        <w:ind w:left="220" w:firstLine="1623"/>
        <w:spacing w:after="0" w:line="254" w:lineRule="auto"/>
        <w:tabs>
          <w:tab w:leader="none" w:pos="2412" w:val="left"/>
        </w:tabs>
        <w:numPr>
          <w:ilvl w:val="0"/>
          <w:numId w:val="184"/>
        </w:numPr>
        <w:rPr>
          <w:rFonts w:ascii="Arial" w:cs="Arial" w:eastAsia="Arial" w:hAnsi="Arial"/>
          <w:sz w:val="13"/>
          <w:szCs w:val="13"/>
          <w:color w:val="auto"/>
        </w:rPr>
      </w:pPr>
      <w:r>
        <w:rPr>
          <w:rFonts w:ascii="Arial" w:cs="Arial" w:eastAsia="Arial" w:hAnsi="Arial"/>
          <w:sz w:val="13"/>
          <w:szCs w:val="13"/>
          <w:color w:val="auto"/>
        </w:rPr>
        <w:t>Each Credit Party executing this Agreement agrees that neither it nor its Affiliates will in the future issue any press releases or other public disclosure using the name of the Agent or its Affiliates or referring to this Agreement or the other Loan Documents without at least two (2) Business Days’ prior notice to the Agent and without the prior written consent of the Agent unless (and only to the extent that) such Credit Party or Affiliate is required to do so under Law and then, in any event, such Credit Party or Affiliate will consult with the Agent before issuing such press release or other public disclosure.</w:t>
      </w:r>
    </w:p>
    <w:p>
      <w:pPr>
        <w:spacing w:after="0" w:line="123" w:lineRule="exact"/>
        <w:rPr>
          <w:rFonts w:ascii="Arial" w:cs="Arial" w:eastAsia="Arial" w:hAnsi="Arial"/>
          <w:sz w:val="13"/>
          <w:szCs w:val="13"/>
          <w:color w:val="auto"/>
        </w:rPr>
      </w:pPr>
    </w:p>
    <w:p>
      <w:pPr>
        <w:jc w:val="both"/>
        <w:ind w:left="220" w:firstLine="1623"/>
        <w:spacing w:after="0" w:line="290" w:lineRule="auto"/>
        <w:tabs>
          <w:tab w:leader="none" w:pos="2418" w:val="left"/>
        </w:tabs>
        <w:numPr>
          <w:ilvl w:val="0"/>
          <w:numId w:val="184"/>
        </w:numPr>
        <w:rPr>
          <w:rFonts w:ascii="Arial" w:cs="Arial" w:eastAsia="Arial" w:hAnsi="Arial"/>
          <w:sz w:val="12"/>
          <w:szCs w:val="12"/>
          <w:color w:val="auto"/>
        </w:rPr>
      </w:pPr>
      <w:r>
        <w:rPr>
          <w:rFonts w:ascii="Arial" w:cs="Arial" w:eastAsia="Arial" w:hAnsi="Arial"/>
          <w:sz w:val="12"/>
          <w:szCs w:val="12"/>
          <w:color w:val="auto"/>
        </w:rPr>
        <w:t>Each Loan Party consents to the publication by the Agent or any Lender of advertising material relating to the financing transactions contemplated by this Agreement using any Loan Party’s name, product photographs, logo or trademark. The Agent or such Lender shall provide a draft reasonably in advance of any advertising material to the Lead Borrower prior to the publication thereof. The Agent reserves the right to provide to industry trade organizations information necessary and customary for inclusion in league table measurements.</w:t>
      </w:r>
    </w:p>
    <w:p>
      <w:pPr>
        <w:spacing w:after="0" w:line="99" w:lineRule="exact"/>
        <w:rPr>
          <w:sz w:val="20"/>
          <w:szCs w:val="20"/>
          <w:color w:val="auto"/>
        </w:rPr>
      </w:pPr>
    </w:p>
    <w:p>
      <w:pPr>
        <w:ind w:left="1040"/>
        <w:spacing w:after="0"/>
        <w:tabs>
          <w:tab w:leader="none" w:pos="1740" w:val="left"/>
        </w:tabs>
        <w:rPr>
          <w:sz w:val="20"/>
          <w:szCs w:val="20"/>
          <w:color w:val="auto"/>
        </w:rPr>
      </w:pPr>
      <w:r>
        <w:rPr>
          <w:rFonts w:ascii="Arial" w:cs="Arial" w:eastAsia="Arial" w:hAnsi="Arial"/>
          <w:sz w:val="13"/>
          <w:szCs w:val="13"/>
          <w:b w:val="1"/>
          <w:bCs w:val="1"/>
          <w:color w:val="auto"/>
        </w:rPr>
        <w:t>10.21</w:t>
      </w:r>
      <w:r>
        <w:rPr>
          <w:sz w:val="20"/>
          <w:szCs w:val="20"/>
          <w:color w:val="auto"/>
        </w:rPr>
        <w:tab/>
      </w:r>
      <w:r>
        <w:rPr>
          <w:rFonts w:ascii="Arial" w:cs="Arial" w:eastAsia="Arial" w:hAnsi="Arial"/>
          <w:sz w:val="12"/>
          <w:szCs w:val="12"/>
          <w:b w:val="1"/>
          <w:bCs w:val="1"/>
          <w:color w:val="auto"/>
        </w:rPr>
        <w:t>Additional Waivers</w:t>
      </w:r>
      <w:r>
        <w:rPr>
          <w:rFonts w:ascii="Arial" w:cs="Arial" w:eastAsia="Arial" w:hAnsi="Arial"/>
          <w:sz w:val="12"/>
          <w:szCs w:val="12"/>
          <w:color w:val="auto"/>
        </w:rPr>
        <w:t>.</w:t>
      </w:r>
    </w:p>
    <w:p>
      <w:pPr>
        <w:spacing w:after="0" w:line="152" w:lineRule="exact"/>
        <w:rPr>
          <w:sz w:val="20"/>
          <w:szCs w:val="20"/>
          <w:color w:val="auto"/>
        </w:rPr>
      </w:pPr>
    </w:p>
    <w:p>
      <w:pPr>
        <w:jc w:val="both"/>
        <w:ind w:left="220" w:firstLine="1623"/>
        <w:spacing w:after="0" w:line="249" w:lineRule="auto"/>
        <w:tabs>
          <w:tab w:leader="none" w:pos="2412" w:val="left"/>
        </w:tabs>
        <w:numPr>
          <w:ilvl w:val="0"/>
          <w:numId w:val="185"/>
        </w:numPr>
        <w:rPr>
          <w:rFonts w:ascii="Arial" w:cs="Arial" w:eastAsia="Arial" w:hAnsi="Arial"/>
          <w:sz w:val="13"/>
          <w:szCs w:val="13"/>
          <w:color w:val="auto"/>
        </w:rPr>
      </w:pPr>
      <w:r>
        <w:rPr>
          <w:rFonts w:ascii="Arial" w:cs="Arial" w:eastAsia="Arial" w:hAnsi="Arial"/>
          <w:sz w:val="13"/>
          <w:szCs w:val="13"/>
          <w:color w:val="auto"/>
        </w:rPr>
        <w:t>The Obligations are the joint and several obligation of each Loan Party. To the fullest extent permitted by Law, the obligations of each Loan Party shall not be affected by (i) the failure of any Credit Party to assert any claim or demand or to enforce or exercise any right or remedy against any other Loan Party under the provisions of this Agreement, any other Loan Document or otherwise, (ii) any rescission, waiver, amendment or modification of, or any release from any of the terms or provisions of, this Agreement or any other Loan Document, (iii) the failure to perfect any security interest in, or the release of, any of the Collateral or other security held by or on behalf of the Agent or any other Credit Party, or (iv) any default, failure or delay, willful or otherwise, in the performance of any of the Obligations, or by any other act or omission that may or might in any manner or to any extent vary the risk of any Loan Party or that would otherwise operate as a discharge of any Loan Party as a matter of law or equity (other than the indefeasible payment in full in cash of all the Obligations after the termination of the Commitments). The obligations of each Loan Party shall not be subject to any reduction, limitation, impairment or termination for any reason (other than the indefeasible payment in full in cash of the Obligations after the termination of the Commitments), including any claim of waiver, release, surrender, alteration or compromise of any of the Obligations, and shall not be subject to any defense or setoff, counterclaim, recoupment or termination whatsoever by reason of the invalidity, illegality or unenforceability of any of the Obligations or otherwise.</w:t>
      </w:r>
    </w:p>
    <w:p>
      <w:pPr>
        <w:spacing w:after="0" w:line="126" w:lineRule="exact"/>
        <w:rPr>
          <w:rFonts w:ascii="Arial" w:cs="Arial" w:eastAsia="Arial" w:hAnsi="Arial"/>
          <w:sz w:val="13"/>
          <w:szCs w:val="13"/>
          <w:color w:val="auto"/>
        </w:rPr>
      </w:pPr>
    </w:p>
    <w:p>
      <w:pPr>
        <w:ind w:left="220" w:firstLine="1623"/>
        <w:spacing w:after="0" w:line="271" w:lineRule="auto"/>
        <w:tabs>
          <w:tab w:leader="none" w:pos="2419" w:val="left"/>
        </w:tabs>
        <w:numPr>
          <w:ilvl w:val="0"/>
          <w:numId w:val="185"/>
        </w:numPr>
        <w:rPr>
          <w:rFonts w:ascii="Arial" w:cs="Arial" w:eastAsia="Arial" w:hAnsi="Arial"/>
          <w:sz w:val="13"/>
          <w:szCs w:val="13"/>
          <w:color w:val="auto"/>
        </w:rPr>
      </w:pPr>
      <w:r>
        <w:rPr>
          <w:rFonts w:ascii="Arial" w:cs="Arial" w:eastAsia="Arial" w:hAnsi="Arial"/>
          <w:sz w:val="13"/>
          <w:szCs w:val="13"/>
          <w:color w:val="auto"/>
        </w:rPr>
        <w:t>To the fullest extent permitted by Law, each Loan Party waives any defense based on or arising out of any defense of any other Loan Party or the unenforceability of the Obligations or any part thereof from any cause, or the cessation from any cause of the liability of any other Loan</w:t>
      </w:r>
    </w:p>
    <w:p>
      <w:pPr>
        <w:spacing w:after="0" w:line="260"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141" w:name="page142"/>
    <w:bookmarkEnd w:id="141"/>
    <w:p>
      <w:pPr>
        <w:jc w:val="both"/>
        <w:ind w:left="220"/>
        <w:spacing w:after="0" w:line="278" w:lineRule="auto"/>
        <w:rPr>
          <w:sz w:val="20"/>
          <w:szCs w:val="20"/>
          <w:color w:val="auto"/>
        </w:rPr>
      </w:pPr>
      <w:r>
        <w:rPr>
          <w:rFonts w:ascii="Arial" w:cs="Arial" w:eastAsia="Arial" w:hAnsi="Arial"/>
          <w:sz w:val="12"/>
          <w:szCs w:val="12"/>
          <w:color w:val="auto"/>
        </w:rPr>
        <w:t>Party, other than the indefeasible payment in full in cash of all the Obligations and the termination of the Commitments. The Agent and the other Credit Parties may, at their election, foreclose on any security held by one or more of them by one or more judicial or non-judicial sales, accept an assignment of any such security in lieu of foreclosure, compromise or adjust any part of the Obligations, make any other accommodation with any other Loan Party, or exercise any other right or remedy available to them against any other Loan Party, without affecting or impairing in any way the liability of any Loan Party hereunder except to the extent that all of the Obligations have been indefeasibly paid in full in cash and the Commitments have been terminated. Each Loan Party waives any defense arising out of any such election even though such election operates, pursuant to Law, to impair or to extinguish any right of reimbursement or subrogation or other right or remedy of such Loan Party against any other Loan Party.</w:t>
      </w:r>
    </w:p>
    <w:p>
      <w:pPr>
        <w:spacing w:after="0" w:line="112" w:lineRule="exact"/>
        <w:rPr>
          <w:sz w:val="20"/>
          <w:szCs w:val="20"/>
          <w:color w:val="auto"/>
        </w:rPr>
      </w:pPr>
    </w:p>
    <w:p>
      <w:pPr>
        <w:jc w:val="both"/>
        <w:ind w:left="220" w:firstLine="1624"/>
        <w:spacing w:after="0" w:line="270" w:lineRule="auto"/>
        <w:tabs>
          <w:tab w:leader="none" w:pos="2413" w:val="left"/>
        </w:tabs>
        <w:numPr>
          <w:ilvl w:val="0"/>
          <w:numId w:val="186"/>
        </w:numPr>
        <w:rPr>
          <w:rFonts w:ascii="Arial" w:cs="Arial" w:eastAsia="Arial" w:hAnsi="Arial"/>
          <w:sz w:val="12"/>
          <w:szCs w:val="12"/>
          <w:color w:val="auto"/>
        </w:rPr>
      </w:pPr>
      <w:r>
        <w:rPr>
          <w:rFonts w:ascii="Arial" w:cs="Arial" w:eastAsia="Arial" w:hAnsi="Arial"/>
          <w:sz w:val="12"/>
          <w:szCs w:val="12"/>
          <w:color w:val="auto"/>
        </w:rPr>
        <w:t>Upon payment by any Loan Party of any Obligations, all rights of such Loan Party against any other Loan Party arising as a result thereof by way of right of subrogation, contribution, reimbursement, indemnity or otherwise shall in all respects be subordinate and junior in right of payment to the prior indefeasible payment in full in cash of all of the Obligations and the termination of the Commitments. In addition, any indebtedness of any Loan Party now or hereafter held by any other Loan Party is hereby subordinated in right of payment to the prior indefeasible payment in full of the Obligations and no Loan Party will demand, sue for or otherwise attempt to collect any such indebtedness. If any amount shall erroneously be paid to any Loan Party on account of (i) such subrogation, contribution, reimbursement, indemnity or similar right or (ii) any such indebtedness of any Loan Party, such amount shall be held in trust for the benefit of the Credit Parties and shall forthwith be paid to the Agent to be credited against the payment of the Obligations, whether matured or unmatured, in accordance with the terms of this Agreement and the other Loan Documents. Subject to the foregoing, to the extent that any Borrower shall, under this Agreement as a joint and several obligor, repay any of the Obligations constituting Loans made to another Borrower hereunder or other Obligations incurred directly and primarily by any other Borrower (an “Accommodation Payment”), then the Borrower making such Accommodation Payment shall be entitled to contribution and indemnification from, and be reimbursed by, each of the other Borrowers in an amount, for each of such other Borrowers, equal to a fraction of such Accommodation Payment, the numerator of which fraction is such other Borrower's Allocable Amount and the denominator of which is the sum of the Allocable Amounts of all of the Borrowers. As of any date of determination, the “Allocable Amount” of each Borrower shall be equal to the maximum amount of liability for Accommodation Payments which could be asserted against such Borrower hereunder without (a) rendering such Borrower “insolvent” within the meaning of Section 101 (32) of the Bankruptcy Code, Section 2 of the Uniform Fraudulent Transfer Act (“UFTA”) or Section 2 of the Uniform Fraudulent Conveyance Act (“UFCA”), (b) leaving such Borrower with unreasonably small capital or assets, within the meaning of Section 548 of the Bankruptcy Code, Section 4 of the UFTA, or Section 5 of the UFCA, or (c) leaving such Borrower unable to pay its debts as they become due within the meaning of Section 548 of the Bankruptcy Code or Section 4 of the UFTA, or Section 5 of the UFCA.</w:t>
      </w:r>
    </w:p>
    <w:p>
      <w:pPr>
        <w:spacing w:after="0" w:line="110" w:lineRule="exact"/>
        <w:rPr>
          <w:sz w:val="20"/>
          <w:szCs w:val="20"/>
          <w:color w:val="auto"/>
        </w:rPr>
      </w:pPr>
    </w:p>
    <w:p>
      <w:pPr>
        <w:ind w:left="1040"/>
        <w:spacing w:after="0"/>
        <w:tabs>
          <w:tab w:leader="none" w:pos="1740" w:val="left"/>
        </w:tabs>
        <w:rPr>
          <w:sz w:val="20"/>
          <w:szCs w:val="20"/>
          <w:color w:val="auto"/>
        </w:rPr>
      </w:pPr>
      <w:r>
        <w:rPr>
          <w:rFonts w:ascii="Arial" w:cs="Arial" w:eastAsia="Arial" w:hAnsi="Arial"/>
          <w:sz w:val="13"/>
          <w:szCs w:val="13"/>
          <w:b w:val="1"/>
          <w:bCs w:val="1"/>
          <w:color w:val="auto"/>
        </w:rPr>
        <w:t>10.22</w:t>
      </w:r>
      <w:r>
        <w:rPr>
          <w:sz w:val="20"/>
          <w:szCs w:val="20"/>
          <w:color w:val="auto"/>
        </w:rPr>
        <w:tab/>
      </w:r>
      <w:r>
        <w:rPr>
          <w:rFonts w:ascii="Arial" w:cs="Arial" w:eastAsia="Arial" w:hAnsi="Arial"/>
          <w:sz w:val="11"/>
          <w:szCs w:val="11"/>
          <w:b w:val="1"/>
          <w:bCs w:val="1"/>
          <w:color w:val="auto"/>
        </w:rPr>
        <w:t>No Strict Construction.</w:t>
      </w:r>
    </w:p>
    <w:p>
      <w:pPr>
        <w:spacing w:after="0" w:line="152" w:lineRule="exact"/>
        <w:rPr>
          <w:sz w:val="20"/>
          <w:szCs w:val="20"/>
          <w:color w:val="auto"/>
        </w:rPr>
      </w:pPr>
    </w:p>
    <w:p>
      <w:pPr>
        <w:ind w:left="220" w:firstLine="808"/>
        <w:spacing w:after="0" w:line="314" w:lineRule="auto"/>
        <w:rPr>
          <w:sz w:val="20"/>
          <w:szCs w:val="20"/>
          <w:color w:val="auto"/>
        </w:rPr>
      </w:pPr>
      <w:r>
        <w:rPr>
          <w:rFonts w:ascii="Arial" w:cs="Arial" w:eastAsia="Arial" w:hAnsi="Arial"/>
          <w:sz w:val="12"/>
          <w:szCs w:val="12"/>
          <w:color w:val="auto"/>
        </w:rPr>
        <w:t>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85" w:lineRule="exact"/>
        <w:rPr>
          <w:sz w:val="20"/>
          <w:szCs w:val="20"/>
          <w:color w:val="auto"/>
        </w:rPr>
      </w:pPr>
    </w:p>
    <w:p>
      <w:pPr>
        <w:ind w:left="1040"/>
        <w:spacing w:after="0"/>
        <w:tabs>
          <w:tab w:leader="none" w:pos="1740" w:val="left"/>
        </w:tabs>
        <w:rPr>
          <w:sz w:val="20"/>
          <w:szCs w:val="20"/>
          <w:color w:val="auto"/>
        </w:rPr>
      </w:pPr>
      <w:r>
        <w:rPr>
          <w:rFonts w:ascii="Arial" w:cs="Arial" w:eastAsia="Arial" w:hAnsi="Arial"/>
          <w:sz w:val="13"/>
          <w:szCs w:val="13"/>
          <w:b w:val="1"/>
          <w:bCs w:val="1"/>
          <w:color w:val="auto"/>
        </w:rPr>
        <w:t>10.23</w:t>
      </w:r>
      <w:r>
        <w:rPr>
          <w:sz w:val="20"/>
          <w:szCs w:val="20"/>
          <w:color w:val="auto"/>
        </w:rPr>
        <w:tab/>
      </w:r>
      <w:r>
        <w:rPr>
          <w:rFonts w:ascii="Arial" w:cs="Arial" w:eastAsia="Arial" w:hAnsi="Arial"/>
          <w:sz w:val="11"/>
          <w:szCs w:val="11"/>
          <w:b w:val="1"/>
          <w:bCs w:val="1"/>
          <w:color w:val="auto"/>
        </w:rPr>
        <w:t>Attachments.</w:t>
      </w:r>
    </w:p>
    <w:p>
      <w:pPr>
        <w:spacing w:after="0" w:line="152" w:lineRule="exact"/>
        <w:rPr>
          <w:sz w:val="20"/>
          <w:szCs w:val="20"/>
          <w:color w:val="auto"/>
        </w:rPr>
      </w:pPr>
    </w:p>
    <w:p>
      <w:pPr>
        <w:ind w:left="1040"/>
        <w:spacing w:after="0"/>
        <w:rPr>
          <w:sz w:val="20"/>
          <w:szCs w:val="20"/>
          <w:color w:val="auto"/>
        </w:rPr>
      </w:pPr>
      <w:r>
        <w:rPr>
          <w:rFonts w:ascii="Arial" w:cs="Arial" w:eastAsia="Arial" w:hAnsi="Arial"/>
          <w:sz w:val="11"/>
          <w:szCs w:val="11"/>
          <w:color w:val="auto"/>
        </w:rPr>
        <w:t>The exhibits, schedules and annexes attached to this Agreement are incorporated herein and shall be considered a part of this Agreement for the purposes stated herein, except that in the event</w:t>
      </w:r>
    </w:p>
    <w:p>
      <w:pPr>
        <w:spacing w:after="0" w:line="37" w:lineRule="exact"/>
        <w:rPr>
          <w:sz w:val="20"/>
          <w:szCs w:val="20"/>
          <w:color w:val="auto"/>
        </w:rPr>
      </w:pPr>
    </w:p>
    <w:p>
      <w:pPr>
        <w:ind w:left="220"/>
        <w:spacing w:after="0"/>
        <w:rPr>
          <w:sz w:val="20"/>
          <w:szCs w:val="20"/>
          <w:color w:val="auto"/>
        </w:rPr>
      </w:pPr>
      <w:r>
        <w:rPr>
          <w:rFonts w:ascii="Arial" w:cs="Arial" w:eastAsia="Arial" w:hAnsi="Arial"/>
          <w:sz w:val="13"/>
          <w:szCs w:val="13"/>
          <w:color w:val="auto"/>
        </w:rPr>
        <w:t>of any</w:t>
      </w:r>
    </w:p>
    <w:p>
      <w:pPr>
        <w:spacing w:after="0" w:line="285"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142" w:name="page143"/>
    <w:bookmarkEnd w:id="142"/>
    <w:p>
      <w:pPr>
        <w:ind w:left="220"/>
        <w:spacing w:after="0"/>
        <w:rPr>
          <w:sz w:val="20"/>
          <w:szCs w:val="20"/>
          <w:color w:val="auto"/>
        </w:rPr>
      </w:pPr>
      <w:r>
        <w:rPr>
          <w:rFonts w:ascii="Arial" w:cs="Arial" w:eastAsia="Arial" w:hAnsi="Arial"/>
          <w:sz w:val="13"/>
          <w:szCs w:val="13"/>
          <w:color w:val="auto"/>
        </w:rPr>
        <w:t>conflict between any of the provisions of such exhibits and the provisions of this Agreement, the provisions of this Agreement shall prevail.</w:t>
      </w:r>
    </w:p>
    <w:p>
      <w:pPr>
        <w:spacing w:after="0" w:line="145" w:lineRule="exact"/>
        <w:rPr>
          <w:sz w:val="20"/>
          <w:szCs w:val="20"/>
          <w:color w:val="auto"/>
        </w:rPr>
      </w:pPr>
    </w:p>
    <w:p>
      <w:pPr>
        <w:ind w:left="1040"/>
        <w:spacing w:after="0"/>
        <w:tabs>
          <w:tab w:leader="none" w:pos="1740" w:val="left"/>
        </w:tabs>
        <w:rPr>
          <w:sz w:val="20"/>
          <w:szCs w:val="20"/>
          <w:color w:val="auto"/>
        </w:rPr>
      </w:pPr>
      <w:r>
        <w:rPr>
          <w:rFonts w:ascii="Arial" w:cs="Arial" w:eastAsia="Arial" w:hAnsi="Arial"/>
          <w:sz w:val="13"/>
          <w:szCs w:val="13"/>
          <w:b w:val="1"/>
          <w:bCs w:val="1"/>
          <w:color w:val="auto"/>
        </w:rPr>
        <w:t>10.24</w:t>
      </w:r>
      <w:r>
        <w:rPr>
          <w:sz w:val="20"/>
          <w:szCs w:val="20"/>
          <w:color w:val="auto"/>
        </w:rPr>
        <w:tab/>
      </w:r>
      <w:r>
        <w:rPr>
          <w:rFonts w:ascii="Arial" w:cs="Arial" w:eastAsia="Arial" w:hAnsi="Arial"/>
          <w:sz w:val="11"/>
          <w:szCs w:val="11"/>
          <w:b w:val="1"/>
          <w:bCs w:val="1"/>
          <w:color w:val="auto"/>
        </w:rPr>
        <w:t>Electronic Execution of Assignments and Certain Other Documents.</w:t>
      </w:r>
    </w:p>
    <w:p>
      <w:pPr>
        <w:spacing w:after="0" w:line="152" w:lineRule="exact"/>
        <w:rPr>
          <w:sz w:val="20"/>
          <w:szCs w:val="20"/>
          <w:color w:val="auto"/>
        </w:rPr>
      </w:pPr>
    </w:p>
    <w:p>
      <w:pPr>
        <w:jc w:val="both"/>
        <w:ind w:left="220" w:firstLine="808"/>
        <w:spacing w:after="0" w:line="252" w:lineRule="auto"/>
        <w:rPr>
          <w:sz w:val="20"/>
          <w:szCs w:val="20"/>
          <w:color w:val="auto"/>
        </w:rPr>
      </w:pPr>
      <w:r>
        <w:rPr>
          <w:rFonts w:ascii="Arial" w:cs="Arial" w:eastAsia="Arial" w:hAnsi="Arial"/>
          <w:sz w:val="13"/>
          <w:szCs w:val="13"/>
          <w:color w:val="auto"/>
        </w:rPr>
        <w:t>The words “execute,” “execution,” “signed,” “signature,” and words of like import in any Assignment and Assumption or in any amendment or other modification hereof (including waivers and consents) shall be deemed to include electronic signatures, the electronic matching of assignment terms and contract formations on electronic platforms approved by the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21" w:lineRule="exact"/>
        <w:rPr>
          <w:sz w:val="20"/>
          <w:szCs w:val="20"/>
          <w:color w:val="auto"/>
        </w:rPr>
      </w:pPr>
    </w:p>
    <w:p>
      <w:pPr>
        <w:ind w:left="1040"/>
        <w:spacing w:after="0"/>
        <w:tabs>
          <w:tab w:leader="none" w:pos="1740" w:val="left"/>
        </w:tabs>
        <w:rPr>
          <w:sz w:val="20"/>
          <w:szCs w:val="20"/>
          <w:color w:val="auto"/>
        </w:rPr>
      </w:pPr>
      <w:r>
        <w:rPr>
          <w:rFonts w:ascii="Arial" w:cs="Arial" w:eastAsia="Arial" w:hAnsi="Arial"/>
          <w:sz w:val="13"/>
          <w:szCs w:val="13"/>
          <w:b w:val="1"/>
          <w:bCs w:val="1"/>
          <w:color w:val="auto"/>
        </w:rPr>
        <w:t>10.25</w:t>
      </w:r>
      <w:r>
        <w:rPr>
          <w:sz w:val="20"/>
          <w:szCs w:val="20"/>
          <w:color w:val="auto"/>
        </w:rPr>
        <w:tab/>
      </w:r>
      <w:r>
        <w:rPr>
          <w:rFonts w:ascii="Arial" w:cs="Arial" w:eastAsia="Arial" w:hAnsi="Arial"/>
          <w:sz w:val="11"/>
          <w:szCs w:val="11"/>
          <w:b w:val="1"/>
          <w:bCs w:val="1"/>
          <w:color w:val="auto"/>
        </w:rPr>
        <w:t>Keepwell.</w:t>
      </w:r>
    </w:p>
    <w:p>
      <w:pPr>
        <w:spacing w:after="0" w:line="152" w:lineRule="exact"/>
        <w:rPr>
          <w:sz w:val="20"/>
          <w:szCs w:val="20"/>
          <w:color w:val="auto"/>
        </w:rPr>
      </w:pPr>
    </w:p>
    <w:p>
      <w:pPr>
        <w:jc w:val="both"/>
        <w:ind w:left="220" w:firstLine="808"/>
        <w:spacing w:after="0" w:line="274" w:lineRule="auto"/>
        <w:rPr>
          <w:sz w:val="20"/>
          <w:szCs w:val="20"/>
          <w:color w:val="auto"/>
        </w:rPr>
      </w:pPr>
      <w:r>
        <w:rPr>
          <w:rFonts w:ascii="Arial" w:cs="Arial" w:eastAsia="Arial" w:hAnsi="Arial"/>
          <w:sz w:val="12"/>
          <w:szCs w:val="12"/>
          <w:color w:val="auto"/>
        </w:rPr>
        <w:t>Each Loan Party that is a Qualified ECP Guarantor at the time the Facility Guaranty or the grant of a security interest under the Loan Documents, in each case, by any Specified Loan Party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such Qualified ECP Guarantor’s obligations and undertakings under the Facility Guaranty voidable under applicable Law relating to fraudulent conveyance or fraudulent transfer, and not for any greater amount). The obligations and undertakings of each Qualified ECP Guarantor under this Section shall remain in full force and effect until Payment in Full of the Obligations have been indefeasibly paid and performed in full. Each Loan Party intends this Section to constitute, and this Section shall be deemed to constitute, a guarantee of the obligations of, and a “keepwell, support, or other agreement” for the benefit of, each Specified Loan Party for all purposes of the Commodity Exchange Act.</w:t>
      </w:r>
    </w:p>
    <w:p>
      <w:pPr>
        <w:spacing w:after="0" w:line="109" w:lineRule="exact"/>
        <w:rPr>
          <w:sz w:val="20"/>
          <w:szCs w:val="20"/>
          <w:color w:val="auto"/>
        </w:rPr>
      </w:pPr>
    </w:p>
    <w:p>
      <w:pPr>
        <w:ind w:left="1040"/>
        <w:spacing w:after="0"/>
        <w:tabs>
          <w:tab w:leader="none" w:pos="1740" w:val="left"/>
        </w:tabs>
        <w:rPr>
          <w:sz w:val="20"/>
          <w:szCs w:val="20"/>
          <w:color w:val="auto"/>
        </w:rPr>
      </w:pPr>
      <w:r>
        <w:rPr>
          <w:rFonts w:ascii="Arial" w:cs="Arial" w:eastAsia="Arial" w:hAnsi="Arial"/>
          <w:sz w:val="13"/>
          <w:szCs w:val="13"/>
          <w:b w:val="1"/>
          <w:bCs w:val="1"/>
          <w:color w:val="auto"/>
        </w:rPr>
        <w:t>10.26</w:t>
      </w:r>
      <w:r>
        <w:rPr>
          <w:sz w:val="20"/>
          <w:szCs w:val="20"/>
          <w:color w:val="auto"/>
        </w:rPr>
        <w:tab/>
      </w:r>
      <w:r>
        <w:rPr>
          <w:rFonts w:ascii="Arial" w:cs="Arial" w:eastAsia="Arial" w:hAnsi="Arial"/>
          <w:sz w:val="11"/>
          <w:szCs w:val="11"/>
          <w:b w:val="1"/>
          <w:bCs w:val="1"/>
          <w:color w:val="auto"/>
        </w:rPr>
        <w:t>Acknowledgement and Consent to Bail-In of EEA Financial Institutions.</w:t>
      </w:r>
    </w:p>
    <w:p>
      <w:pPr>
        <w:spacing w:after="0" w:line="152" w:lineRule="exact"/>
        <w:rPr>
          <w:sz w:val="20"/>
          <w:szCs w:val="20"/>
          <w:color w:val="auto"/>
        </w:rPr>
      </w:pPr>
    </w:p>
    <w:p>
      <w:pPr>
        <w:jc w:val="both"/>
        <w:ind w:left="220" w:firstLine="808"/>
        <w:spacing w:after="0" w:line="258" w:lineRule="auto"/>
        <w:rPr>
          <w:sz w:val="20"/>
          <w:szCs w:val="20"/>
          <w:color w:val="auto"/>
        </w:rPr>
      </w:pPr>
      <w:r>
        <w:rPr>
          <w:rFonts w:ascii="Arial" w:cs="Arial" w:eastAsia="Arial" w:hAnsi="Arial"/>
          <w:sz w:val="13"/>
          <w:szCs w:val="13"/>
          <w:color w:val="auto"/>
        </w:rPr>
        <w:t>Notwithstanding anything to the contrary in any Loan Document or in any other agreement, arrangement or understanding among any such parties, each party hereto acknowledges that any liability of any Lender that is an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21" w:lineRule="exact"/>
        <w:rPr>
          <w:sz w:val="20"/>
          <w:szCs w:val="20"/>
          <w:color w:val="auto"/>
        </w:rPr>
      </w:pPr>
    </w:p>
    <w:p>
      <w:pPr>
        <w:ind w:left="220" w:firstLine="816"/>
        <w:spacing w:after="0" w:line="271" w:lineRule="auto"/>
        <w:tabs>
          <w:tab w:leader="none" w:pos="1607" w:val="left"/>
        </w:tabs>
        <w:numPr>
          <w:ilvl w:val="0"/>
          <w:numId w:val="187"/>
        </w:numPr>
        <w:rPr>
          <w:rFonts w:ascii="Arial" w:cs="Arial" w:eastAsia="Arial" w:hAnsi="Arial"/>
          <w:sz w:val="13"/>
          <w:szCs w:val="13"/>
          <w:color w:val="auto"/>
        </w:rPr>
      </w:pPr>
      <w:r>
        <w:rPr>
          <w:rFonts w:ascii="Arial" w:cs="Arial" w:eastAsia="Arial" w:hAnsi="Arial"/>
          <w:sz w:val="13"/>
          <w:szCs w:val="13"/>
          <w:color w:val="auto"/>
        </w:rPr>
        <w:t>the application of any Write-Down and Conversion Powers by an EEA Resolution Authority to any such liabilities arising hereunder which may be payable to it by any Lender that is an EEA Financial Institution; and</w:t>
      </w:r>
    </w:p>
    <w:p>
      <w:pPr>
        <w:spacing w:after="0" w:line="112" w:lineRule="exact"/>
        <w:rPr>
          <w:rFonts w:ascii="Arial" w:cs="Arial" w:eastAsia="Arial" w:hAnsi="Arial"/>
          <w:sz w:val="13"/>
          <w:szCs w:val="13"/>
          <w:color w:val="auto"/>
        </w:rPr>
      </w:pPr>
    </w:p>
    <w:p>
      <w:pPr>
        <w:ind w:left="1620" w:hanging="587"/>
        <w:spacing w:after="0"/>
        <w:tabs>
          <w:tab w:leader="none" w:pos="1620" w:val="left"/>
        </w:tabs>
        <w:numPr>
          <w:ilvl w:val="0"/>
          <w:numId w:val="187"/>
        </w:numPr>
        <w:rPr>
          <w:rFonts w:ascii="Arial" w:cs="Arial" w:eastAsia="Arial" w:hAnsi="Arial"/>
          <w:sz w:val="13"/>
          <w:szCs w:val="13"/>
          <w:color w:val="auto"/>
        </w:rPr>
      </w:pPr>
      <w:r>
        <w:rPr>
          <w:rFonts w:ascii="Arial" w:cs="Arial" w:eastAsia="Arial" w:hAnsi="Arial"/>
          <w:sz w:val="13"/>
          <w:szCs w:val="13"/>
          <w:color w:val="auto"/>
        </w:rPr>
        <w:t>the effects of any Bail-In Action on any such liability, including, if applicable:</w:t>
      </w:r>
    </w:p>
    <w:p>
      <w:pPr>
        <w:spacing w:after="0" w:line="147" w:lineRule="exact"/>
        <w:rPr>
          <w:rFonts w:ascii="Arial" w:cs="Arial" w:eastAsia="Arial" w:hAnsi="Arial"/>
          <w:sz w:val="13"/>
          <w:szCs w:val="13"/>
          <w:color w:val="auto"/>
        </w:rPr>
      </w:pPr>
    </w:p>
    <w:p>
      <w:pPr>
        <w:ind w:left="2380" w:hanging="565"/>
        <w:spacing w:after="0"/>
        <w:tabs>
          <w:tab w:leader="none" w:pos="2380" w:val="left"/>
        </w:tabs>
        <w:numPr>
          <w:ilvl w:val="1"/>
          <w:numId w:val="187"/>
        </w:numPr>
        <w:rPr>
          <w:rFonts w:ascii="Arial" w:cs="Arial" w:eastAsia="Arial" w:hAnsi="Arial"/>
          <w:sz w:val="13"/>
          <w:szCs w:val="13"/>
          <w:color w:val="auto"/>
        </w:rPr>
      </w:pPr>
      <w:r>
        <w:rPr>
          <w:rFonts w:ascii="Arial" w:cs="Arial" w:eastAsia="Arial" w:hAnsi="Arial"/>
          <w:sz w:val="13"/>
          <w:szCs w:val="13"/>
          <w:color w:val="auto"/>
        </w:rPr>
        <w:t>a reduction in full or in part or cancellation of any such liability;</w:t>
      </w:r>
    </w:p>
    <w:p>
      <w:pPr>
        <w:spacing w:after="0" w:line="147" w:lineRule="exact"/>
        <w:rPr>
          <w:rFonts w:ascii="Arial" w:cs="Arial" w:eastAsia="Arial" w:hAnsi="Arial"/>
          <w:sz w:val="13"/>
          <w:szCs w:val="13"/>
          <w:color w:val="auto"/>
        </w:rPr>
      </w:pPr>
    </w:p>
    <w:p>
      <w:pPr>
        <w:ind w:left="1060" w:firstLine="755"/>
        <w:spacing w:after="0" w:line="271" w:lineRule="auto"/>
        <w:tabs>
          <w:tab w:leader="none" w:pos="2400" w:val="left"/>
        </w:tabs>
        <w:numPr>
          <w:ilvl w:val="1"/>
          <w:numId w:val="187"/>
        </w:numPr>
        <w:rPr>
          <w:rFonts w:ascii="Arial" w:cs="Arial" w:eastAsia="Arial" w:hAnsi="Arial"/>
          <w:sz w:val="13"/>
          <w:szCs w:val="13"/>
          <w:color w:val="auto"/>
        </w:rPr>
      </w:pPr>
      <w:r>
        <w:rPr>
          <w:rFonts w:ascii="Arial" w:cs="Arial" w:eastAsia="Arial" w:hAnsi="Arial"/>
          <w:sz w:val="13"/>
          <w:szCs w:val="13"/>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w:t>
      </w:r>
    </w:p>
    <w:p>
      <w:pPr>
        <w:spacing w:after="0" w:line="260"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143" w:name="page144"/>
    <w:bookmarkEnd w:id="143"/>
    <w:p>
      <w:pPr>
        <w:ind w:left="1060"/>
        <w:spacing w:after="0"/>
        <w:rPr>
          <w:sz w:val="20"/>
          <w:szCs w:val="20"/>
          <w:color w:val="auto"/>
        </w:rPr>
      </w:pPr>
      <w:r>
        <w:rPr>
          <w:rFonts w:ascii="Arial" w:cs="Arial" w:eastAsia="Arial" w:hAnsi="Arial"/>
          <w:sz w:val="13"/>
          <w:szCs w:val="13"/>
          <w:color w:val="auto"/>
        </w:rPr>
        <w:t>ownership will be accepted by it in lieu of any rights with respect to any such liability under this Agreement or any other Loan Document; or</w:t>
      </w:r>
    </w:p>
    <w:p>
      <w:pPr>
        <w:spacing w:after="0" w:line="149" w:lineRule="exact"/>
        <w:rPr>
          <w:sz w:val="20"/>
          <w:szCs w:val="20"/>
          <w:color w:val="auto"/>
        </w:rPr>
      </w:pPr>
    </w:p>
    <w:p>
      <w:pPr>
        <w:ind w:left="2440" w:hanging="622"/>
        <w:spacing w:after="0"/>
        <w:tabs>
          <w:tab w:leader="none" w:pos="2440" w:val="left"/>
        </w:tabs>
        <w:numPr>
          <w:ilvl w:val="0"/>
          <w:numId w:val="188"/>
        </w:numPr>
        <w:rPr>
          <w:rFonts w:ascii="Arial" w:cs="Arial" w:eastAsia="Arial" w:hAnsi="Arial"/>
          <w:sz w:val="13"/>
          <w:szCs w:val="13"/>
          <w:color w:val="auto"/>
        </w:rPr>
      </w:pPr>
      <w:r>
        <w:rPr>
          <w:rFonts w:ascii="Arial" w:cs="Arial" w:eastAsia="Arial" w:hAnsi="Arial"/>
          <w:sz w:val="13"/>
          <w:szCs w:val="13"/>
          <w:color w:val="auto"/>
        </w:rPr>
        <w:t>the variation of the terms of such liability in connection with the exercise of the write-down and conversion powers of any EEA Resolution Authority.</w:t>
      </w:r>
    </w:p>
    <w:p>
      <w:pPr>
        <w:spacing w:after="0" w:line="144" w:lineRule="exact"/>
        <w:rPr>
          <w:sz w:val="20"/>
          <w:szCs w:val="20"/>
          <w:color w:val="auto"/>
        </w:rPr>
      </w:pPr>
    </w:p>
    <w:p>
      <w:pPr>
        <w:ind w:left="1040"/>
        <w:spacing w:after="0"/>
        <w:tabs>
          <w:tab w:leader="none" w:pos="1740" w:val="left"/>
        </w:tabs>
        <w:rPr>
          <w:sz w:val="20"/>
          <w:szCs w:val="20"/>
          <w:color w:val="auto"/>
        </w:rPr>
      </w:pPr>
      <w:r>
        <w:rPr>
          <w:rFonts w:ascii="Arial" w:cs="Arial" w:eastAsia="Arial" w:hAnsi="Arial"/>
          <w:sz w:val="13"/>
          <w:szCs w:val="13"/>
          <w:b w:val="1"/>
          <w:bCs w:val="1"/>
          <w:color w:val="auto"/>
        </w:rPr>
        <w:t>10.27</w:t>
      </w:r>
      <w:r>
        <w:rPr>
          <w:sz w:val="20"/>
          <w:szCs w:val="20"/>
          <w:color w:val="auto"/>
        </w:rPr>
        <w:tab/>
      </w:r>
      <w:r>
        <w:rPr>
          <w:rFonts w:ascii="Arial" w:cs="Arial" w:eastAsia="Arial" w:hAnsi="Arial"/>
          <w:sz w:val="11"/>
          <w:szCs w:val="11"/>
          <w:b w:val="1"/>
          <w:bCs w:val="1"/>
          <w:color w:val="auto"/>
        </w:rPr>
        <w:t>Amendment and Restatement.</w:t>
      </w:r>
    </w:p>
    <w:p>
      <w:pPr>
        <w:spacing w:after="0" w:line="152" w:lineRule="exact"/>
        <w:rPr>
          <w:sz w:val="20"/>
          <w:szCs w:val="20"/>
          <w:color w:val="auto"/>
        </w:rPr>
      </w:pPr>
    </w:p>
    <w:p>
      <w:pPr>
        <w:jc w:val="both"/>
        <w:ind w:left="220" w:firstLine="808"/>
        <w:spacing w:after="0" w:line="273" w:lineRule="auto"/>
        <w:rPr>
          <w:sz w:val="20"/>
          <w:szCs w:val="20"/>
          <w:color w:val="auto"/>
        </w:rPr>
      </w:pPr>
      <w:r>
        <w:rPr>
          <w:rFonts w:ascii="Arial" w:cs="Arial" w:eastAsia="Arial" w:hAnsi="Arial"/>
          <w:sz w:val="12"/>
          <w:szCs w:val="12"/>
          <w:color w:val="auto"/>
        </w:rPr>
        <w:t>This Agreement is an amendment and restatement of the Existing Credit Agreement, it being acknowledged and agreed that as of the Closing Date all obligations outstanding under or in connection with the Existing Credit Agreement and any of the other Loan Documents (such obligations, collectively, the “Existing Obligations”) constitute obligations under this Agreement. This Agreement is in no way intended to constitute a novation of the Existing Credit Agreement or the Existing Obligations. With respect to (i) any date or time period occurring and ending prior to the Closing Date, the Existing Credit Agreement and the other Loan Documents shall govern the respective rights and obligations of any party or parties hereto also party thereto and shall for such purposes remain in full force and effect; and (ii) any date or time period occurring or ending on or after the Closing Date, the rights and obligations of the parties hereto shall be governed by this Agreement (including, without limitation, the exhibits and schedules hereto) and the other Loan Documents. From and after the Closing Date, any reference to the Existing Credit Agreement in any of the other Loan Documents executed or issued by and/or delivered to any one or more parties hereto pursuant to or in connection therewith shall be deemed to be a reference to this Agreement, and the provisions of this Agreement shall prevail in the event of any conflict or inconsistency between such provisions and those of the Existing Credit Agreement.</w:t>
      </w:r>
    </w:p>
    <w:p>
      <w:pPr>
        <w:spacing w:after="0" w:line="261" w:lineRule="exact"/>
        <w:rPr>
          <w:sz w:val="20"/>
          <w:szCs w:val="20"/>
          <w:color w:val="auto"/>
        </w:rPr>
      </w:pPr>
    </w:p>
    <w:p>
      <w:pPr>
        <w:spacing w:after="0"/>
        <w:rPr>
          <w:sz w:val="20"/>
          <w:szCs w:val="20"/>
          <w:color w:val="auto"/>
        </w:rPr>
      </w:pPr>
      <w:r>
        <w:rPr>
          <w:rFonts w:ascii="Arial" w:cs="Arial" w:eastAsia="Arial" w:hAnsi="Arial"/>
          <w:sz w:val="10"/>
          <w:szCs w:val="10"/>
          <w:color w:val="auto"/>
        </w:rPr>
        <w:t>DB1/ 97390493.6</w:t>
      </w:r>
    </w:p>
    <w:p>
      <w:pPr>
        <w:jc w:val="center"/>
        <w:ind w:right="-199"/>
        <w:spacing w:after="0"/>
        <w:rPr>
          <w:sz w:val="20"/>
          <w:szCs w:val="20"/>
          <w:color w:val="auto"/>
        </w:rPr>
      </w:pPr>
      <w:r>
        <w:rPr>
          <w:rFonts w:ascii="Arial" w:cs="Arial" w:eastAsia="Arial" w:hAnsi="Arial"/>
          <w:sz w:val="13"/>
          <w:szCs w:val="13"/>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35560</wp:posOffset>
            </wp:positionV>
            <wp:extent cx="7329170" cy="368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144" w:name="page145"/>
    <w:bookmarkEnd w:id="144"/>
    <w:p>
      <w:pPr>
        <w:spacing w:after="0"/>
        <w:rPr>
          <w:sz w:val="20"/>
          <w:szCs w:val="20"/>
          <w:color w:val="auto"/>
        </w:rPr>
      </w:pPr>
      <w:r>
        <w:rPr>
          <w:rFonts w:ascii="Arial" w:cs="Arial" w:eastAsia="Arial" w:hAnsi="Arial"/>
          <w:sz w:val="10"/>
          <w:szCs w:val="10"/>
          <w:i w:val="1"/>
          <w:iCs w:val="1"/>
          <w:color w:val="auto"/>
        </w:rPr>
        <w:t xml:space="preserve">IN WITNESS WHEREOF, </w:t>
      </w:r>
      <w:r>
        <w:rPr>
          <w:rFonts w:ascii="Arial" w:cs="Arial" w:eastAsia="Arial" w:hAnsi="Arial"/>
          <w:sz w:val="10"/>
          <w:szCs w:val="10"/>
          <w:color w:val="auto"/>
        </w:rPr>
        <w:t>the parties hereto have caused this Agreement to be duly executed by their respective authorized officers as of the date first above written.</w:t>
      </w:r>
    </w:p>
    <w:p>
      <w:pPr>
        <w:spacing w:after="0" w:line="160" w:lineRule="exact"/>
        <w:rPr>
          <w:sz w:val="20"/>
          <w:szCs w:val="20"/>
          <w:color w:val="auto"/>
        </w:rPr>
      </w:pPr>
    </w:p>
    <w:p>
      <w:pPr>
        <w:ind w:left="4680"/>
        <w:spacing w:after="0"/>
        <w:rPr>
          <w:sz w:val="20"/>
          <w:szCs w:val="20"/>
          <w:color w:val="auto"/>
        </w:rPr>
      </w:pPr>
      <w:r>
        <w:rPr>
          <w:rFonts w:ascii="Arial" w:cs="Arial" w:eastAsia="Arial" w:hAnsi="Arial"/>
          <w:sz w:val="12"/>
          <w:szCs w:val="12"/>
          <w:b w:val="1"/>
          <w:bCs w:val="1"/>
          <w:color w:val="auto"/>
        </w:rPr>
        <w:t xml:space="preserve">DESTINATION XL GROUP, INC., </w:t>
      </w:r>
      <w:r>
        <w:rPr>
          <w:rFonts w:ascii="Arial" w:cs="Arial" w:eastAsia="Arial" w:hAnsi="Arial"/>
          <w:sz w:val="12"/>
          <w:szCs w:val="12"/>
          <w:color w:val="auto"/>
        </w:rPr>
        <w:t>as a Lead</w:t>
      </w:r>
    </w:p>
    <w:p>
      <w:pPr>
        <w:spacing w:after="0" w:line="19" w:lineRule="exact"/>
        <w:rPr>
          <w:sz w:val="20"/>
          <w:szCs w:val="20"/>
          <w:color w:val="auto"/>
        </w:rPr>
      </w:pPr>
    </w:p>
    <w:p>
      <w:pPr>
        <w:ind w:left="4680"/>
        <w:spacing w:after="0"/>
        <w:rPr>
          <w:sz w:val="20"/>
          <w:szCs w:val="20"/>
          <w:color w:val="auto"/>
        </w:rPr>
      </w:pPr>
      <w:r>
        <w:rPr>
          <w:rFonts w:ascii="Arial" w:cs="Arial" w:eastAsia="Arial" w:hAnsi="Arial"/>
          <w:sz w:val="12"/>
          <w:szCs w:val="12"/>
          <w:color w:val="auto"/>
        </w:rPr>
        <w:t>Borrower and a Borrower</w:t>
      </w:r>
    </w:p>
    <w:p>
      <w:pPr>
        <w:spacing w:after="0" w:line="141" w:lineRule="exact"/>
        <w:rPr>
          <w:sz w:val="20"/>
          <w:szCs w:val="20"/>
          <w:color w:val="auto"/>
        </w:rPr>
      </w:pPr>
    </w:p>
    <w:p>
      <w:pPr>
        <w:ind w:left="4680"/>
        <w:spacing w:after="0"/>
        <w:tabs>
          <w:tab w:leader="none" w:pos="508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b w:val="1"/>
          <w:bCs w:val="1"/>
          <w:i w:val="1"/>
          <w:iCs w:val="1"/>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3234055</wp:posOffset>
            </wp:positionH>
            <wp:positionV relativeFrom="paragraph">
              <wp:posOffset>9525</wp:posOffset>
            </wp:positionV>
            <wp:extent cx="338010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80105" cy="5715"/>
                    </a:xfrm>
                    <a:prstGeom prst="rect">
                      <a:avLst/>
                    </a:prstGeom>
                    <a:noFill/>
                  </pic:spPr>
                </pic:pic>
              </a:graphicData>
            </a:graphic>
          </wp:anchor>
        </w:drawing>
      </w:r>
    </w:p>
    <w:p>
      <w:pPr>
        <w:ind w:left="5100"/>
        <w:spacing w:after="0"/>
        <w:rPr>
          <w:sz w:val="20"/>
          <w:szCs w:val="20"/>
          <w:color w:val="auto"/>
        </w:rPr>
      </w:pPr>
      <w:r>
        <w:rPr>
          <w:rFonts w:ascii="Arial" w:cs="Arial" w:eastAsia="Arial" w:hAnsi="Arial"/>
          <w:sz w:val="12"/>
          <w:szCs w:val="12"/>
          <w:color w:val="auto"/>
        </w:rPr>
        <w:t>Name: Peter H. Stratton, Jr.</w:t>
      </w:r>
    </w:p>
    <w:p>
      <w:pPr>
        <w:spacing w:after="0" w:line="15" w:lineRule="exact"/>
        <w:rPr>
          <w:sz w:val="20"/>
          <w:szCs w:val="20"/>
          <w:color w:val="auto"/>
        </w:rPr>
      </w:pPr>
    </w:p>
    <w:p>
      <w:pPr>
        <w:ind w:left="5100"/>
        <w:spacing w:after="0"/>
        <w:rPr>
          <w:sz w:val="20"/>
          <w:szCs w:val="20"/>
          <w:color w:val="auto"/>
        </w:rPr>
      </w:pPr>
      <w:r>
        <w:rPr>
          <w:rFonts w:ascii="Arial" w:cs="Arial" w:eastAsia="Arial" w:hAnsi="Arial"/>
          <w:sz w:val="12"/>
          <w:szCs w:val="12"/>
          <w:color w:val="auto"/>
        </w:rPr>
        <w:t>Title: Chief Financial Officer</w:t>
      </w:r>
    </w:p>
    <w:p>
      <w:pPr>
        <w:spacing w:after="0" w:line="137" w:lineRule="exact"/>
        <w:rPr>
          <w:sz w:val="20"/>
          <w:szCs w:val="20"/>
          <w:color w:val="auto"/>
        </w:rPr>
      </w:pPr>
    </w:p>
    <w:p>
      <w:pPr>
        <w:ind w:left="4680"/>
        <w:spacing w:after="0"/>
        <w:rPr>
          <w:sz w:val="20"/>
          <w:szCs w:val="20"/>
          <w:color w:val="auto"/>
        </w:rPr>
      </w:pPr>
      <w:r>
        <w:rPr>
          <w:rFonts w:ascii="Arial" w:cs="Arial" w:eastAsia="Arial" w:hAnsi="Arial"/>
          <w:sz w:val="12"/>
          <w:szCs w:val="12"/>
          <w:b w:val="1"/>
          <w:bCs w:val="1"/>
          <w:color w:val="auto"/>
        </w:rPr>
        <w:t xml:space="preserve">CMRG APPAREL, LLC, </w:t>
      </w:r>
      <w:r>
        <w:rPr>
          <w:rFonts w:ascii="Arial" w:cs="Arial" w:eastAsia="Arial" w:hAnsi="Arial"/>
          <w:sz w:val="12"/>
          <w:szCs w:val="12"/>
          <w:color w:val="auto"/>
        </w:rPr>
        <w:t>as a Borrower</w:t>
      </w:r>
    </w:p>
    <w:p>
      <w:pPr>
        <w:spacing w:after="0" w:line="154" w:lineRule="exact"/>
        <w:rPr>
          <w:sz w:val="20"/>
          <w:szCs w:val="20"/>
          <w:color w:val="auto"/>
        </w:rPr>
      </w:pPr>
    </w:p>
    <w:p>
      <w:pPr>
        <w:ind w:left="4680"/>
        <w:spacing w:after="0"/>
        <w:tabs>
          <w:tab w:leader="none" w:pos="508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b w:val="1"/>
          <w:bCs w:val="1"/>
          <w:i w:val="1"/>
          <w:iCs w:val="1"/>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3234055</wp:posOffset>
            </wp:positionH>
            <wp:positionV relativeFrom="paragraph">
              <wp:posOffset>9525</wp:posOffset>
            </wp:positionV>
            <wp:extent cx="338010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80105" cy="5715"/>
                    </a:xfrm>
                    <a:prstGeom prst="rect">
                      <a:avLst/>
                    </a:prstGeom>
                    <a:noFill/>
                  </pic:spPr>
                </pic:pic>
              </a:graphicData>
            </a:graphic>
          </wp:anchor>
        </w:drawing>
      </w:r>
    </w:p>
    <w:p>
      <w:pPr>
        <w:ind w:left="5100"/>
        <w:spacing w:after="0"/>
        <w:rPr>
          <w:sz w:val="20"/>
          <w:szCs w:val="20"/>
          <w:color w:val="auto"/>
        </w:rPr>
      </w:pPr>
      <w:r>
        <w:rPr>
          <w:rFonts w:ascii="Arial" w:cs="Arial" w:eastAsia="Arial" w:hAnsi="Arial"/>
          <w:sz w:val="12"/>
          <w:szCs w:val="12"/>
          <w:color w:val="auto"/>
        </w:rPr>
        <w:t>Name: Peter H. Stratton, Jr.</w:t>
      </w:r>
    </w:p>
    <w:p>
      <w:pPr>
        <w:spacing w:after="0" w:line="15" w:lineRule="exact"/>
        <w:rPr>
          <w:sz w:val="20"/>
          <w:szCs w:val="20"/>
          <w:color w:val="auto"/>
        </w:rPr>
      </w:pPr>
    </w:p>
    <w:p>
      <w:pPr>
        <w:ind w:left="5100"/>
        <w:spacing w:after="0"/>
        <w:rPr>
          <w:sz w:val="20"/>
          <w:szCs w:val="20"/>
          <w:color w:val="auto"/>
        </w:rPr>
      </w:pPr>
      <w:r>
        <w:rPr>
          <w:rFonts w:ascii="Arial" w:cs="Arial" w:eastAsia="Arial" w:hAnsi="Arial"/>
          <w:sz w:val="12"/>
          <w:szCs w:val="12"/>
          <w:color w:val="auto"/>
        </w:rPr>
        <w:t>Title: Chief Financial Officer</w:t>
      </w:r>
    </w:p>
    <w:p>
      <w:pPr>
        <w:spacing w:after="0" w:line="137" w:lineRule="exact"/>
        <w:rPr>
          <w:sz w:val="20"/>
          <w:szCs w:val="20"/>
          <w:color w:val="auto"/>
        </w:rPr>
      </w:pPr>
    </w:p>
    <w:p>
      <w:pPr>
        <w:ind w:left="4680"/>
        <w:spacing w:after="0"/>
        <w:rPr>
          <w:sz w:val="20"/>
          <w:szCs w:val="20"/>
          <w:color w:val="auto"/>
        </w:rPr>
      </w:pPr>
      <w:r>
        <w:rPr>
          <w:rFonts w:ascii="Arial" w:cs="Arial" w:eastAsia="Arial" w:hAnsi="Arial"/>
          <w:sz w:val="12"/>
          <w:szCs w:val="12"/>
          <w:b w:val="1"/>
          <w:bCs w:val="1"/>
          <w:color w:val="auto"/>
        </w:rPr>
        <w:t xml:space="preserve">CASUAL MALE RBT, LLC, </w:t>
      </w:r>
      <w:r>
        <w:rPr>
          <w:rFonts w:ascii="Arial" w:cs="Arial" w:eastAsia="Arial" w:hAnsi="Arial"/>
          <w:sz w:val="12"/>
          <w:szCs w:val="12"/>
          <w:color w:val="auto"/>
        </w:rPr>
        <w:t>as a Guarantor</w:t>
      </w:r>
    </w:p>
    <w:p>
      <w:pPr>
        <w:spacing w:after="0" w:line="154" w:lineRule="exact"/>
        <w:rPr>
          <w:sz w:val="20"/>
          <w:szCs w:val="20"/>
          <w:color w:val="auto"/>
        </w:rPr>
      </w:pPr>
    </w:p>
    <w:p>
      <w:pPr>
        <w:ind w:left="4680"/>
        <w:spacing w:after="0"/>
        <w:tabs>
          <w:tab w:leader="none" w:pos="508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b w:val="1"/>
          <w:bCs w:val="1"/>
          <w:i w:val="1"/>
          <w:iCs w:val="1"/>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3234055</wp:posOffset>
            </wp:positionH>
            <wp:positionV relativeFrom="paragraph">
              <wp:posOffset>9525</wp:posOffset>
            </wp:positionV>
            <wp:extent cx="3380105"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80105" cy="5715"/>
                    </a:xfrm>
                    <a:prstGeom prst="rect">
                      <a:avLst/>
                    </a:prstGeom>
                    <a:noFill/>
                  </pic:spPr>
                </pic:pic>
              </a:graphicData>
            </a:graphic>
          </wp:anchor>
        </w:drawing>
      </w:r>
    </w:p>
    <w:p>
      <w:pPr>
        <w:ind w:left="5100"/>
        <w:spacing w:after="0"/>
        <w:rPr>
          <w:sz w:val="20"/>
          <w:szCs w:val="20"/>
          <w:color w:val="auto"/>
        </w:rPr>
      </w:pPr>
      <w:r>
        <w:rPr>
          <w:rFonts w:ascii="Arial" w:cs="Arial" w:eastAsia="Arial" w:hAnsi="Arial"/>
          <w:sz w:val="12"/>
          <w:szCs w:val="12"/>
          <w:color w:val="auto"/>
        </w:rPr>
        <w:t>Name: Peter H. Stratton, Jr.</w:t>
      </w:r>
    </w:p>
    <w:p>
      <w:pPr>
        <w:spacing w:after="0" w:line="15" w:lineRule="exact"/>
        <w:rPr>
          <w:sz w:val="20"/>
          <w:szCs w:val="20"/>
          <w:color w:val="auto"/>
        </w:rPr>
      </w:pPr>
    </w:p>
    <w:p>
      <w:pPr>
        <w:ind w:left="5100"/>
        <w:spacing w:after="0"/>
        <w:rPr>
          <w:sz w:val="20"/>
          <w:szCs w:val="20"/>
          <w:color w:val="auto"/>
        </w:rPr>
      </w:pPr>
      <w:r>
        <w:rPr>
          <w:rFonts w:ascii="Arial" w:cs="Arial" w:eastAsia="Arial" w:hAnsi="Arial"/>
          <w:sz w:val="12"/>
          <w:szCs w:val="12"/>
          <w:color w:val="auto"/>
        </w:rPr>
        <w:t>Title: Chief Financial Officer</w:t>
      </w:r>
    </w:p>
    <w:p>
      <w:pPr>
        <w:spacing w:after="0" w:line="137" w:lineRule="exact"/>
        <w:rPr>
          <w:sz w:val="20"/>
          <w:szCs w:val="20"/>
          <w:color w:val="auto"/>
        </w:rPr>
      </w:pPr>
    </w:p>
    <w:p>
      <w:pPr>
        <w:ind w:left="4680"/>
        <w:spacing w:after="0"/>
        <w:rPr>
          <w:sz w:val="20"/>
          <w:szCs w:val="20"/>
          <w:color w:val="auto"/>
        </w:rPr>
      </w:pPr>
      <w:r>
        <w:rPr>
          <w:rFonts w:ascii="Arial" w:cs="Arial" w:eastAsia="Arial" w:hAnsi="Arial"/>
          <w:sz w:val="12"/>
          <w:szCs w:val="12"/>
          <w:b w:val="1"/>
          <w:bCs w:val="1"/>
          <w:color w:val="auto"/>
        </w:rPr>
        <w:t xml:space="preserve">CAPTURE, LLC, </w:t>
      </w:r>
      <w:r>
        <w:rPr>
          <w:rFonts w:ascii="Arial" w:cs="Arial" w:eastAsia="Arial" w:hAnsi="Arial"/>
          <w:sz w:val="12"/>
          <w:szCs w:val="12"/>
          <w:color w:val="auto"/>
        </w:rPr>
        <w:t>as a Guarantor</w:t>
      </w:r>
    </w:p>
    <w:p>
      <w:pPr>
        <w:spacing w:after="0" w:line="154" w:lineRule="exact"/>
        <w:rPr>
          <w:sz w:val="20"/>
          <w:szCs w:val="20"/>
          <w:color w:val="auto"/>
        </w:rPr>
      </w:pPr>
    </w:p>
    <w:p>
      <w:pPr>
        <w:ind w:left="4680"/>
        <w:spacing w:after="0"/>
        <w:tabs>
          <w:tab w:leader="none" w:pos="508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b w:val="1"/>
          <w:bCs w:val="1"/>
          <w:i w:val="1"/>
          <w:iCs w:val="1"/>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3234055</wp:posOffset>
            </wp:positionH>
            <wp:positionV relativeFrom="paragraph">
              <wp:posOffset>9525</wp:posOffset>
            </wp:positionV>
            <wp:extent cx="3380105"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80105" cy="5715"/>
                    </a:xfrm>
                    <a:prstGeom prst="rect">
                      <a:avLst/>
                    </a:prstGeom>
                    <a:noFill/>
                  </pic:spPr>
                </pic:pic>
              </a:graphicData>
            </a:graphic>
          </wp:anchor>
        </w:drawing>
      </w:r>
    </w:p>
    <w:p>
      <w:pPr>
        <w:ind w:left="5100"/>
        <w:spacing w:after="0"/>
        <w:rPr>
          <w:sz w:val="20"/>
          <w:szCs w:val="20"/>
          <w:color w:val="auto"/>
        </w:rPr>
      </w:pPr>
      <w:r>
        <w:rPr>
          <w:rFonts w:ascii="Arial" w:cs="Arial" w:eastAsia="Arial" w:hAnsi="Arial"/>
          <w:sz w:val="12"/>
          <w:szCs w:val="12"/>
          <w:color w:val="auto"/>
        </w:rPr>
        <w:t>Name: Peter H. Stratton, Jr.</w:t>
      </w:r>
    </w:p>
    <w:p>
      <w:pPr>
        <w:spacing w:after="0" w:line="15" w:lineRule="exact"/>
        <w:rPr>
          <w:sz w:val="20"/>
          <w:szCs w:val="20"/>
          <w:color w:val="auto"/>
        </w:rPr>
      </w:pPr>
    </w:p>
    <w:p>
      <w:pPr>
        <w:ind w:left="5100"/>
        <w:spacing w:after="0"/>
        <w:rPr>
          <w:sz w:val="20"/>
          <w:szCs w:val="20"/>
          <w:color w:val="auto"/>
        </w:rPr>
      </w:pPr>
      <w:r>
        <w:rPr>
          <w:rFonts w:ascii="Arial" w:cs="Arial" w:eastAsia="Arial" w:hAnsi="Arial"/>
          <w:sz w:val="12"/>
          <w:szCs w:val="12"/>
          <w:color w:val="auto"/>
        </w:rPr>
        <w:t>Title: Chief Financial Officer</w:t>
      </w:r>
    </w:p>
    <w:p>
      <w:pPr>
        <w:spacing w:after="0" w:line="137" w:lineRule="exact"/>
        <w:rPr>
          <w:sz w:val="20"/>
          <w:szCs w:val="20"/>
          <w:color w:val="auto"/>
        </w:rPr>
      </w:pPr>
    </w:p>
    <w:p>
      <w:pPr>
        <w:ind w:left="4680"/>
        <w:spacing w:after="0"/>
        <w:rPr>
          <w:sz w:val="20"/>
          <w:szCs w:val="20"/>
          <w:color w:val="auto"/>
        </w:rPr>
      </w:pPr>
      <w:r>
        <w:rPr>
          <w:rFonts w:ascii="Arial" w:cs="Arial" w:eastAsia="Arial" w:hAnsi="Arial"/>
          <w:sz w:val="12"/>
          <w:szCs w:val="12"/>
          <w:b w:val="1"/>
          <w:bCs w:val="1"/>
          <w:color w:val="auto"/>
        </w:rPr>
        <w:t xml:space="preserve">CASUAL MALE STORE, LLC, </w:t>
      </w:r>
      <w:r>
        <w:rPr>
          <w:rFonts w:ascii="Arial" w:cs="Arial" w:eastAsia="Arial" w:hAnsi="Arial"/>
          <w:sz w:val="12"/>
          <w:szCs w:val="12"/>
          <w:color w:val="auto"/>
        </w:rPr>
        <w:t>as a</w:t>
      </w:r>
    </w:p>
    <w:p>
      <w:pPr>
        <w:spacing w:after="0" w:line="19" w:lineRule="exact"/>
        <w:rPr>
          <w:sz w:val="20"/>
          <w:szCs w:val="20"/>
          <w:color w:val="auto"/>
        </w:rPr>
      </w:pPr>
    </w:p>
    <w:p>
      <w:pPr>
        <w:ind w:left="4680"/>
        <w:spacing w:after="0"/>
        <w:rPr>
          <w:sz w:val="20"/>
          <w:szCs w:val="20"/>
          <w:color w:val="auto"/>
        </w:rPr>
      </w:pPr>
      <w:r>
        <w:rPr>
          <w:rFonts w:ascii="Arial" w:cs="Arial" w:eastAsia="Arial" w:hAnsi="Arial"/>
          <w:sz w:val="12"/>
          <w:szCs w:val="12"/>
          <w:color w:val="auto"/>
        </w:rPr>
        <w:t>Guarantor</w:t>
      </w:r>
    </w:p>
    <w:p>
      <w:pPr>
        <w:spacing w:after="0" w:line="141" w:lineRule="exact"/>
        <w:rPr>
          <w:sz w:val="20"/>
          <w:szCs w:val="20"/>
          <w:color w:val="auto"/>
        </w:rPr>
      </w:pPr>
    </w:p>
    <w:p>
      <w:pPr>
        <w:ind w:left="4680"/>
        <w:spacing w:after="0"/>
        <w:tabs>
          <w:tab w:leader="none" w:pos="508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b w:val="1"/>
          <w:bCs w:val="1"/>
          <w:i w:val="1"/>
          <w:iCs w:val="1"/>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3234055</wp:posOffset>
            </wp:positionH>
            <wp:positionV relativeFrom="paragraph">
              <wp:posOffset>9525</wp:posOffset>
            </wp:positionV>
            <wp:extent cx="3380105"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80105" cy="5715"/>
                    </a:xfrm>
                    <a:prstGeom prst="rect">
                      <a:avLst/>
                    </a:prstGeom>
                    <a:noFill/>
                  </pic:spPr>
                </pic:pic>
              </a:graphicData>
            </a:graphic>
          </wp:anchor>
        </w:drawing>
      </w:r>
    </w:p>
    <w:p>
      <w:pPr>
        <w:ind w:left="5100"/>
        <w:spacing w:after="0"/>
        <w:rPr>
          <w:sz w:val="20"/>
          <w:szCs w:val="20"/>
          <w:color w:val="auto"/>
        </w:rPr>
      </w:pPr>
      <w:r>
        <w:rPr>
          <w:rFonts w:ascii="Arial" w:cs="Arial" w:eastAsia="Arial" w:hAnsi="Arial"/>
          <w:sz w:val="12"/>
          <w:szCs w:val="12"/>
          <w:color w:val="auto"/>
        </w:rPr>
        <w:t>Name: Peter H. Stratton, Jr.</w:t>
      </w:r>
    </w:p>
    <w:p>
      <w:pPr>
        <w:spacing w:after="0" w:line="15" w:lineRule="exact"/>
        <w:rPr>
          <w:sz w:val="20"/>
          <w:szCs w:val="20"/>
          <w:color w:val="auto"/>
        </w:rPr>
      </w:pPr>
    </w:p>
    <w:p>
      <w:pPr>
        <w:ind w:left="5100"/>
        <w:spacing w:after="0"/>
        <w:rPr>
          <w:sz w:val="20"/>
          <w:szCs w:val="20"/>
          <w:color w:val="auto"/>
        </w:rPr>
      </w:pPr>
      <w:r>
        <w:rPr>
          <w:rFonts w:ascii="Arial" w:cs="Arial" w:eastAsia="Arial" w:hAnsi="Arial"/>
          <w:sz w:val="12"/>
          <w:szCs w:val="12"/>
          <w:color w:val="auto"/>
        </w:rPr>
        <w:t>Title: Chief Financial Officer</w:t>
      </w:r>
    </w:p>
    <w:p>
      <w:pPr>
        <w:spacing w:after="0" w:line="137" w:lineRule="exact"/>
        <w:rPr>
          <w:sz w:val="20"/>
          <w:szCs w:val="20"/>
          <w:color w:val="auto"/>
        </w:rPr>
      </w:pPr>
    </w:p>
    <w:p>
      <w:pPr>
        <w:ind w:left="4680"/>
        <w:spacing w:after="0"/>
        <w:rPr>
          <w:sz w:val="20"/>
          <w:szCs w:val="20"/>
          <w:color w:val="auto"/>
        </w:rPr>
      </w:pPr>
      <w:r>
        <w:rPr>
          <w:rFonts w:ascii="Arial" w:cs="Arial" w:eastAsia="Arial" w:hAnsi="Arial"/>
          <w:sz w:val="12"/>
          <w:szCs w:val="12"/>
          <w:b w:val="1"/>
          <w:bCs w:val="1"/>
          <w:color w:val="auto"/>
        </w:rPr>
        <w:t xml:space="preserve">CASUAL MALE RETAIL STORE, LLC, </w:t>
      </w:r>
      <w:r>
        <w:rPr>
          <w:rFonts w:ascii="Arial" w:cs="Arial" w:eastAsia="Arial" w:hAnsi="Arial"/>
          <w:sz w:val="12"/>
          <w:szCs w:val="12"/>
          <w:color w:val="auto"/>
        </w:rPr>
        <w:t>as</w:t>
      </w:r>
    </w:p>
    <w:p>
      <w:pPr>
        <w:spacing w:after="0" w:line="19" w:lineRule="exact"/>
        <w:rPr>
          <w:sz w:val="20"/>
          <w:szCs w:val="20"/>
          <w:color w:val="auto"/>
        </w:rPr>
      </w:pPr>
    </w:p>
    <w:p>
      <w:pPr>
        <w:ind w:left="4680"/>
        <w:spacing w:after="0"/>
        <w:rPr>
          <w:sz w:val="20"/>
          <w:szCs w:val="20"/>
          <w:color w:val="auto"/>
        </w:rPr>
      </w:pPr>
      <w:r>
        <w:rPr>
          <w:rFonts w:ascii="Arial" w:cs="Arial" w:eastAsia="Arial" w:hAnsi="Arial"/>
          <w:sz w:val="12"/>
          <w:szCs w:val="12"/>
          <w:color w:val="auto"/>
        </w:rPr>
        <w:t>a Guarantor</w:t>
      </w:r>
    </w:p>
    <w:p>
      <w:pPr>
        <w:spacing w:after="0" w:line="141" w:lineRule="exact"/>
        <w:rPr>
          <w:sz w:val="20"/>
          <w:szCs w:val="20"/>
          <w:color w:val="auto"/>
        </w:rPr>
      </w:pPr>
    </w:p>
    <w:p>
      <w:pPr>
        <w:ind w:left="4680"/>
        <w:spacing w:after="0"/>
        <w:tabs>
          <w:tab w:leader="none" w:pos="508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b w:val="1"/>
          <w:bCs w:val="1"/>
          <w:i w:val="1"/>
          <w:iCs w:val="1"/>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3234055</wp:posOffset>
            </wp:positionH>
            <wp:positionV relativeFrom="paragraph">
              <wp:posOffset>9525</wp:posOffset>
            </wp:positionV>
            <wp:extent cx="3380105"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80105" cy="5715"/>
                    </a:xfrm>
                    <a:prstGeom prst="rect">
                      <a:avLst/>
                    </a:prstGeom>
                    <a:noFill/>
                  </pic:spPr>
                </pic:pic>
              </a:graphicData>
            </a:graphic>
          </wp:anchor>
        </w:drawing>
      </w:r>
    </w:p>
    <w:p>
      <w:pPr>
        <w:ind w:left="5100"/>
        <w:spacing w:after="0"/>
        <w:rPr>
          <w:sz w:val="20"/>
          <w:szCs w:val="20"/>
          <w:color w:val="auto"/>
        </w:rPr>
      </w:pPr>
      <w:r>
        <w:rPr>
          <w:rFonts w:ascii="Arial" w:cs="Arial" w:eastAsia="Arial" w:hAnsi="Arial"/>
          <w:sz w:val="12"/>
          <w:szCs w:val="12"/>
          <w:color w:val="auto"/>
        </w:rPr>
        <w:t>Name: Peter H. Stratton, Jr.</w:t>
      </w:r>
    </w:p>
    <w:p>
      <w:pPr>
        <w:spacing w:after="0" w:line="15" w:lineRule="exact"/>
        <w:rPr>
          <w:sz w:val="20"/>
          <w:szCs w:val="20"/>
          <w:color w:val="auto"/>
        </w:rPr>
      </w:pPr>
    </w:p>
    <w:p>
      <w:pPr>
        <w:ind w:left="5100"/>
        <w:spacing w:after="0"/>
        <w:rPr>
          <w:sz w:val="20"/>
          <w:szCs w:val="20"/>
          <w:color w:val="auto"/>
        </w:rPr>
      </w:pPr>
      <w:r>
        <w:rPr>
          <w:rFonts w:ascii="Arial" w:cs="Arial" w:eastAsia="Arial" w:hAnsi="Arial"/>
          <w:sz w:val="12"/>
          <w:szCs w:val="12"/>
          <w:color w:val="auto"/>
        </w:rPr>
        <w:t>Title: Chief Financial Officer</w:t>
      </w:r>
    </w:p>
    <w:p>
      <w:pPr>
        <w:spacing w:after="0" w:line="137" w:lineRule="exact"/>
        <w:rPr>
          <w:sz w:val="20"/>
          <w:szCs w:val="20"/>
          <w:color w:val="auto"/>
        </w:rPr>
      </w:pPr>
    </w:p>
    <w:p>
      <w:pPr>
        <w:ind w:left="4680"/>
        <w:spacing w:after="0"/>
        <w:rPr>
          <w:sz w:val="20"/>
          <w:szCs w:val="20"/>
          <w:color w:val="auto"/>
        </w:rPr>
      </w:pPr>
      <w:r>
        <w:rPr>
          <w:rFonts w:ascii="Arial" w:cs="Arial" w:eastAsia="Arial" w:hAnsi="Arial"/>
          <w:sz w:val="12"/>
          <w:szCs w:val="12"/>
          <w:b w:val="1"/>
          <w:bCs w:val="1"/>
          <w:color w:val="auto"/>
        </w:rPr>
        <w:t xml:space="preserve">CASUAL MALE DIRECT, LLC, </w:t>
      </w:r>
      <w:r>
        <w:rPr>
          <w:rFonts w:ascii="Arial" w:cs="Arial" w:eastAsia="Arial" w:hAnsi="Arial"/>
          <w:sz w:val="12"/>
          <w:szCs w:val="12"/>
          <w:color w:val="auto"/>
        </w:rPr>
        <w:t>as</w:t>
      </w:r>
    </w:p>
    <w:p>
      <w:pPr>
        <w:spacing w:after="0" w:line="19" w:lineRule="exact"/>
        <w:rPr>
          <w:sz w:val="20"/>
          <w:szCs w:val="20"/>
          <w:color w:val="auto"/>
        </w:rPr>
      </w:pPr>
    </w:p>
    <w:p>
      <w:pPr>
        <w:ind w:left="4680"/>
        <w:spacing w:after="0"/>
        <w:rPr>
          <w:sz w:val="20"/>
          <w:szCs w:val="20"/>
          <w:color w:val="auto"/>
        </w:rPr>
      </w:pPr>
      <w:r>
        <w:rPr>
          <w:rFonts w:ascii="Arial" w:cs="Arial" w:eastAsia="Arial" w:hAnsi="Arial"/>
          <w:sz w:val="12"/>
          <w:szCs w:val="12"/>
          <w:color w:val="auto"/>
        </w:rPr>
        <w:t>a Guarantor</w:t>
      </w:r>
    </w:p>
    <w:p>
      <w:pPr>
        <w:spacing w:after="0" w:line="141" w:lineRule="exact"/>
        <w:rPr>
          <w:sz w:val="20"/>
          <w:szCs w:val="20"/>
          <w:color w:val="auto"/>
        </w:rPr>
      </w:pPr>
    </w:p>
    <w:p>
      <w:pPr>
        <w:ind w:left="4680"/>
        <w:spacing w:after="0"/>
        <w:tabs>
          <w:tab w:leader="none" w:pos="508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b w:val="1"/>
          <w:bCs w:val="1"/>
          <w:i w:val="1"/>
          <w:iCs w:val="1"/>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3234055</wp:posOffset>
            </wp:positionH>
            <wp:positionV relativeFrom="paragraph">
              <wp:posOffset>9525</wp:posOffset>
            </wp:positionV>
            <wp:extent cx="3380105"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80105" cy="5715"/>
                    </a:xfrm>
                    <a:prstGeom prst="rect">
                      <a:avLst/>
                    </a:prstGeom>
                    <a:noFill/>
                  </pic:spPr>
                </pic:pic>
              </a:graphicData>
            </a:graphic>
          </wp:anchor>
        </w:drawing>
      </w:r>
    </w:p>
    <w:p>
      <w:pPr>
        <w:ind w:left="5100"/>
        <w:spacing w:after="0"/>
        <w:rPr>
          <w:sz w:val="20"/>
          <w:szCs w:val="20"/>
          <w:color w:val="auto"/>
        </w:rPr>
      </w:pPr>
      <w:r>
        <w:rPr>
          <w:rFonts w:ascii="Arial" w:cs="Arial" w:eastAsia="Arial" w:hAnsi="Arial"/>
          <w:sz w:val="12"/>
          <w:szCs w:val="12"/>
          <w:color w:val="auto"/>
        </w:rPr>
        <w:t>Name: Peter H. Stratton, Jr.</w:t>
      </w:r>
    </w:p>
    <w:p>
      <w:pPr>
        <w:spacing w:after="0" w:line="15" w:lineRule="exact"/>
        <w:rPr>
          <w:sz w:val="20"/>
          <w:szCs w:val="20"/>
          <w:color w:val="auto"/>
        </w:rPr>
      </w:pPr>
    </w:p>
    <w:p>
      <w:pPr>
        <w:ind w:left="5100"/>
        <w:spacing w:after="0"/>
        <w:rPr>
          <w:sz w:val="20"/>
          <w:szCs w:val="20"/>
          <w:color w:val="auto"/>
        </w:rPr>
      </w:pPr>
      <w:r>
        <w:rPr>
          <w:rFonts w:ascii="Arial" w:cs="Arial" w:eastAsia="Arial" w:hAnsi="Arial"/>
          <w:sz w:val="12"/>
          <w:szCs w:val="1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80"/>
        <w:spacing w:after="0"/>
        <w:rPr>
          <w:sz w:val="20"/>
          <w:szCs w:val="20"/>
          <w:color w:val="auto"/>
        </w:rPr>
      </w:pPr>
      <w:r>
        <w:rPr>
          <w:rFonts w:ascii="Arial" w:cs="Arial" w:eastAsia="Arial" w:hAnsi="Arial"/>
          <w:sz w:val="12"/>
          <w:szCs w:val="12"/>
          <w:color w:val="auto"/>
        </w:rPr>
        <w:t>[Signature Page to Seventh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42545</wp:posOffset>
            </wp:positionV>
            <wp:extent cx="7329170" cy="368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9179"/>
          </w:cols>
          <w:pgMar w:left="1280" w:top="130" w:right="1440" w:bottom="1440" w:gutter="0" w:footer="0" w:header="0"/>
        </w:sectPr>
      </w:pPr>
    </w:p>
    <w:bookmarkStart w:id="145" w:name="page146"/>
    <w:bookmarkEnd w:id="145"/>
    <w:p>
      <w:pPr>
        <w:ind w:left="4520"/>
        <w:spacing w:after="0"/>
        <w:rPr>
          <w:sz w:val="20"/>
          <w:szCs w:val="20"/>
          <w:color w:val="auto"/>
        </w:rPr>
      </w:pPr>
      <w:r>
        <w:rPr>
          <w:rFonts w:ascii="Arial" w:cs="Arial" w:eastAsia="Arial" w:hAnsi="Arial"/>
          <w:sz w:val="12"/>
          <w:szCs w:val="12"/>
          <w:b w:val="1"/>
          <w:bCs w:val="1"/>
          <w:color w:val="auto"/>
        </w:rPr>
        <w:t xml:space="preserve">CASUAL MALE RBT (U.K.) LLC, </w:t>
      </w:r>
      <w:r>
        <w:rPr>
          <w:rFonts w:ascii="Arial" w:cs="Arial" w:eastAsia="Arial" w:hAnsi="Arial"/>
          <w:sz w:val="12"/>
          <w:szCs w:val="12"/>
          <w:color w:val="auto"/>
        </w:rPr>
        <w:t>as a</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Guarantor</w:t>
      </w:r>
    </w:p>
    <w:p>
      <w:pPr>
        <w:spacing w:after="0" w:line="141" w:lineRule="exact"/>
        <w:rPr>
          <w:sz w:val="20"/>
          <w:szCs w:val="20"/>
          <w:color w:val="auto"/>
        </w:rPr>
      </w:pPr>
    </w:p>
    <w:p>
      <w:pPr>
        <w:ind w:left="4520"/>
        <w:spacing w:after="0"/>
        <w:tabs>
          <w:tab w:leader="none" w:pos="49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b w:val="1"/>
          <w:bCs w:val="1"/>
          <w:i w:val="1"/>
          <w:iCs w:val="1"/>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9525</wp:posOffset>
            </wp:positionV>
            <wp:extent cx="3380105"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80105" cy="5715"/>
                    </a:xfrm>
                    <a:prstGeom prst="rect">
                      <a:avLst/>
                    </a:prstGeom>
                    <a:noFill/>
                  </pic:spPr>
                </pic:pic>
              </a:graphicData>
            </a:graphic>
          </wp:anchor>
        </w:drawing>
      </w:r>
    </w:p>
    <w:p>
      <w:pPr>
        <w:ind w:left="4940"/>
        <w:spacing w:after="0"/>
        <w:rPr>
          <w:sz w:val="20"/>
          <w:szCs w:val="20"/>
          <w:color w:val="auto"/>
        </w:rPr>
      </w:pPr>
      <w:r>
        <w:rPr>
          <w:rFonts w:ascii="Arial" w:cs="Arial" w:eastAsia="Arial" w:hAnsi="Arial"/>
          <w:sz w:val="12"/>
          <w:szCs w:val="12"/>
          <w:color w:val="auto"/>
        </w:rPr>
        <w:t>Name: Peter H. Stratton, Jr.</w:t>
      </w:r>
    </w:p>
    <w:p>
      <w:pPr>
        <w:spacing w:after="0" w:line="15" w:lineRule="exact"/>
        <w:rPr>
          <w:sz w:val="20"/>
          <w:szCs w:val="20"/>
          <w:color w:val="auto"/>
        </w:rPr>
      </w:pPr>
    </w:p>
    <w:p>
      <w:pPr>
        <w:ind w:left="4940"/>
        <w:spacing w:after="0"/>
        <w:rPr>
          <w:sz w:val="20"/>
          <w:szCs w:val="20"/>
          <w:color w:val="auto"/>
        </w:rPr>
      </w:pPr>
      <w:r>
        <w:rPr>
          <w:rFonts w:ascii="Arial" w:cs="Arial" w:eastAsia="Arial" w:hAnsi="Arial"/>
          <w:sz w:val="12"/>
          <w:szCs w:val="12"/>
          <w:color w:val="auto"/>
        </w:rPr>
        <w:t>Title: Chief Financial Officer</w:t>
      </w:r>
    </w:p>
    <w:p>
      <w:pPr>
        <w:spacing w:after="0" w:line="137" w:lineRule="exact"/>
        <w:rPr>
          <w:sz w:val="20"/>
          <w:szCs w:val="20"/>
          <w:color w:val="auto"/>
        </w:rPr>
      </w:pPr>
    </w:p>
    <w:p>
      <w:pPr>
        <w:ind w:left="4520"/>
        <w:spacing w:after="0"/>
        <w:rPr>
          <w:sz w:val="20"/>
          <w:szCs w:val="20"/>
          <w:color w:val="auto"/>
        </w:rPr>
      </w:pPr>
      <w:r>
        <w:rPr>
          <w:rFonts w:ascii="Arial" w:cs="Arial" w:eastAsia="Arial" w:hAnsi="Arial"/>
          <w:sz w:val="12"/>
          <w:szCs w:val="12"/>
          <w:b w:val="1"/>
          <w:bCs w:val="1"/>
          <w:color w:val="auto"/>
        </w:rPr>
        <w:t xml:space="preserve">THINK BIG PRODUCTS LLC, </w:t>
      </w:r>
      <w:r>
        <w:rPr>
          <w:rFonts w:ascii="Arial" w:cs="Arial" w:eastAsia="Arial" w:hAnsi="Arial"/>
          <w:sz w:val="12"/>
          <w:szCs w:val="12"/>
          <w:color w:val="auto"/>
        </w:rPr>
        <w:t>as a</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Guarantor</w:t>
      </w:r>
    </w:p>
    <w:p>
      <w:pPr>
        <w:spacing w:after="0" w:line="141" w:lineRule="exact"/>
        <w:rPr>
          <w:sz w:val="20"/>
          <w:szCs w:val="20"/>
          <w:color w:val="auto"/>
        </w:rPr>
      </w:pPr>
    </w:p>
    <w:p>
      <w:pPr>
        <w:ind w:left="4520"/>
        <w:spacing w:after="0"/>
        <w:tabs>
          <w:tab w:leader="none" w:pos="49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b w:val="1"/>
          <w:bCs w:val="1"/>
          <w:i w:val="1"/>
          <w:iCs w:val="1"/>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9525</wp:posOffset>
            </wp:positionV>
            <wp:extent cx="3380105"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80105" cy="5715"/>
                    </a:xfrm>
                    <a:prstGeom prst="rect">
                      <a:avLst/>
                    </a:prstGeom>
                    <a:noFill/>
                  </pic:spPr>
                </pic:pic>
              </a:graphicData>
            </a:graphic>
          </wp:anchor>
        </w:drawing>
      </w:r>
    </w:p>
    <w:p>
      <w:pPr>
        <w:ind w:left="4940"/>
        <w:spacing w:after="0"/>
        <w:rPr>
          <w:sz w:val="20"/>
          <w:szCs w:val="20"/>
          <w:color w:val="auto"/>
        </w:rPr>
      </w:pPr>
      <w:r>
        <w:rPr>
          <w:rFonts w:ascii="Arial" w:cs="Arial" w:eastAsia="Arial" w:hAnsi="Arial"/>
          <w:sz w:val="12"/>
          <w:szCs w:val="12"/>
          <w:color w:val="auto"/>
        </w:rPr>
        <w:t>Name: Peter H. Stratton, Jr.</w:t>
      </w:r>
    </w:p>
    <w:p>
      <w:pPr>
        <w:spacing w:after="0" w:line="15" w:lineRule="exact"/>
        <w:rPr>
          <w:sz w:val="20"/>
          <w:szCs w:val="20"/>
          <w:color w:val="auto"/>
        </w:rPr>
      </w:pPr>
    </w:p>
    <w:p>
      <w:pPr>
        <w:ind w:left="4940"/>
        <w:spacing w:after="0"/>
        <w:rPr>
          <w:sz w:val="20"/>
          <w:szCs w:val="20"/>
          <w:color w:val="auto"/>
        </w:rPr>
      </w:pPr>
      <w:r>
        <w:rPr>
          <w:rFonts w:ascii="Arial" w:cs="Arial" w:eastAsia="Arial" w:hAnsi="Arial"/>
          <w:sz w:val="12"/>
          <w:szCs w:val="12"/>
          <w:color w:val="auto"/>
        </w:rPr>
        <w:t>Title: Chief Financial Officer</w:t>
      </w:r>
    </w:p>
    <w:p>
      <w:pPr>
        <w:spacing w:after="0" w:line="137" w:lineRule="exact"/>
        <w:rPr>
          <w:sz w:val="20"/>
          <w:szCs w:val="20"/>
          <w:color w:val="auto"/>
        </w:rPr>
      </w:pPr>
    </w:p>
    <w:p>
      <w:pPr>
        <w:ind w:left="4520"/>
        <w:spacing w:after="0"/>
        <w:rPr>
          <w:sz w:val="20"/>
          <w:szCs w:val="20"/>
          <w:color w:val="auto"/>
        </w:rPr>
      </w:pPr>
      <w:r>
        <w:rPr>
          <w:rFonts w:ascii="Arial" w:cs="Arial" w:eastAsia="Arial" w:hAnsi="Arial"/>
          <w:sz w:val="12"/>
          <w:szCs w:val="12"/>
          <w:b w:val="1"/>
          <w:bCs w:val="1"/>
          <w:color w:val="auto"/>
        </w:rPr>
        <w:t xml:space="preserve">CMRG HOLDCO, LLC </w:t>
      </w:r>
      <w:r>
        <w:rPr>
          <w:rFonts w:ascii="Arial" w:cs="Arial" w:eastAsia="Arial" w:hAnsi="Arial"/>
          <w:sz w:val="12"/>
          <w:szCs w:val="12"/>
          <w:color w:val="auto"/>
        </w:rPr>
        <w:t>as a</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Guarantor</w:t>
      </w:r>
    </w:p>
    <w:p>
      <w:pPr>
        <w:spacing w:after="0" w:line="141" w:lineRule="exact"/>
        <w:rPr>
          <w:sz w:val="20"/>
          <w:szCs w:val="20"/>
          <w:color w:val="auto"/>
        </w:rPr>
      </w:pPr>
    </w:p>
    <w:p>
      <w:pPr>
        <w:ind w:left="4520"/>
        <w:spacing w:after="0"/>
        <w:tabs>
          <w:tab w:leader="none" w:pos="49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b w:val="1"/>
          <w:bCs w:val="1"/>
          <w:i w:val="1"/>
          <w:iCs w:val="1"/>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9525</wp:posOffset>
            </wp:positionV>
            <wp:extent cx="3380105"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80105" cy="5715"/>
                    </a:xfrm>
                    <a:prstGeom prst="rect">
                      <a:avLst/>
                    </a:prstGeom>
                    <a:noFill/>
                  </pic:spPr>
                </pic:pic>
              </a:graphicData>
            </a:graphic>
          </wp:anchor>
        </w:drawing>
      </w:r>
    </w:p>
    <w:p>
      <w:pPr>
        <w:ind w:left="4940"/>
        <w:spacing w:after="0"/>
        <w:rPr>
          <w:sz w:val="20"/>
          <w:szCs w:val="20"/>
          <w:color w:val="auto"/>
        </w:rPr>
      </w:pPr>
      <w:r>
        <w:rPr>
          <w:rFonts w:ascii="Arial" w:cs="Arial" w:eastAsia="Arial" w:hAnsi="Arial"/>
          <w:sz w:val="12"/>
          <w:szCs w:val="12"/>
          <w:color w:val="auto"/>
        </w:rPr>
        <w:t>Name: Peter H. Stratton, Jr.</w:t>
      </w:r>
    </w:p>
    <w:p>
      <w:pPr>
        <w:spacing w:after="0" w:line="15" w:lineRule="exact"/>
        <w:rPr>
          <w:sz w:val="20"/>
          <w:szCs w:val="20"/>
          <w:color w:val="auto"/>
        </w:rPr>
      </w:pPr>
    </w:p>
    <w:p>
      <w:pPr>
        <w:ind w:left="4940"/>
        <w:spacing w:after="0"/>
        <w:rPr>
          <w:sz w:val="20"/>
          <w:szCs w:val="20"/>
          <w:color w:val="auto"/>
        </w:rPr>
      </w:pPr>
      <w:r>
        <w:rPr>
          <w:rFonts w:ascii="Arial" w:cs="Arial" w:eastAsia="Arial" w:hAnsi="Arial"/>
          <w:sz w:val="12"/>
          <w:szCs w:val="12"/>
          <w:color w:val="auto"/>
        </w:rPr>
        <w:t>Title: Chief Financial Officer</w:t>
      </w:r>
    </w:p>
    <w:p>
      <w:pPr>
        <w:spacing w:after="0" w:line="137" w:lineRule="exact"/>
        <w:rPr>
          <w:sz w:val="20"/>
          <w:szCs w:val="20"/>
          <w:color w:val="auto"/>
        </w:rPr>
      </w:pPr>
    </w:p>
    <w:p>
      <w:pPr>
        <w:ind w:left="4520"/>
        <w:spacing w:after="0"/>
        <w:rPr>
          <w:sz w:val="20"/>
          <w:szCs w:val="20"/>
          <w:color w:val="auto"/>
        </w:rPr>
      </w:pPr>
      <w:r>
        <w:rPr>
          <w:rFonts w:ascii="Arial" w:cs="Arial" w:eastAsia="Arial" w:hAnsi="Arial"/>
          <w:sz w:val="12"/>
          <w:szCs w:val="12"/>
          <w:b w:val="1"/>
          <w:bCs w:val="1"/>
          <w:color w:val="auto"/>
        </w:rPr>
        <w:t xml:space="preserve">DXLG WHOLESALE, LLC </w:t>
      </w:r>
      <w:r>
        <w:rPr>
          <w:rFonts w:ascii="Arial" w:cs="Arial" w:eastAsia="Arial" w:hAnsi="Arial"/>
          <w:sz w:val="12"/>
          <w:szCs w:val="12"/>
          <w:color w:val="auto"/>
        </w:rPr>
        <w:t>as a</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Guarantor</w:t>
      </w:r>
    </w:p>
    <w:p>
      <w:pPr>
        <w:spacing w:after="0" w:line="141" w:lineRule="exact"/>
        <w:rPr>
          <w:sz w:val="20"/>
          <w:szCs w:val="20"/>
          <w:color w:val="auto"/>
        </w:rPr>
      </w:pPr>
    </w:p>
    <w:p>
      <w:pPr>
        <w:ind w:left="4520"/>
        <w:spacing w:after="0"/>
        <w:tabs>
          <w:tab w:leader="none" w:pos="49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b w:val="1"/>
          <w:bCs w:val="1"/>
          <w:i w:val="1"/>
          <w:iCs w:val="1"/>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9525</wp:posOffset>
            </wp:positionV>
            <wp:extent cx="3380105"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80105" cy="5715"/>
                    </a:xfrm>
                    <a:prstGeom prst="rect">
                      <a:avLst/>
                    </a:prstGeom>
                    <a:noFill/>
                  </pic:spPr>
                </pic:pic>
              </a:graphicData>
            </a:graphic>
          </wp:anchor>
        </w:drawing>
      </w:r>
    </w:p>
    <w:p>
      <w:pPr>
        <w:ind w:left="4940"/>
        <w:spacing w:after="0"/>
        <w:rPr>
          <w:sz w:val="20"/>
          <w:szCs w:val="20"/>
          <w:color w:val="auto"/>
        </w:rPr>
      </w:pPr>
      <w:r>
        <w:rPr>
          <w:rFonts w:ascii="Arial" w:cs="Arial" w:eastAsia="Arial" w:hAnsi="Arial"/>
          <w:sz w:val="12"/>
          <w:szCs w:val="12"/>
          <w:color w:val="auto"/>
        </w:rPr>
        <w:t>Name: Peter H. Stratton, Jr.</w:t>
      </w:r>
    </w:p>
    <w:p>
      <w:pPr>
        <w:spacing w:after="0" w:line="15" w:lineRule="exact"/>
        <w:rPr>
          <w:sz w:val="20"/>
          <w:szCs w:val="20"/>
          <w:color w:val="auto"/>
        </w:rPr>
      </w:pPr>
    </w:p>
    <w:p>
      <w:pPr>
        <w:ind w:left="4940"/>
        <w:spacing w:after="0"/>
        <w:rPr>
          <w:sz w:val="20"/>
          <w:szCs w:val="20"/>
          <w:color w:val="auto"/>
        </w:rPr>
      </w:pPr>
      <w:r>
        <w:rPr>
          <w:rFonts w:ascii="Arial" w:cs="Arial" w:eastAsia="Arial" w:hAnsi="Arial"/>
          <w:sz w:val="12"/>
          <w:szCs w:val="12"/>
          <w:color w:val="auto"/>
        </w:rPr>
        <w:t>Title: Chief Financial Officer</w:t>
      </w:r>
    </w:p>
    <w:p>
      <w:pPr>
        <w:spacing w:after="0" w:line="137" w:lineRule="exact"/>
        <w:rPr>
          <w:sz w:val="20"/>
          <w:szCs w:val="20"/>
          <w:color w:val="auto"/>
        </w:rPr>
      </w:pPr>
    </w:p>
    <w:p>
      <w:pPr>
        <w:ind w:left="4520"/>
        <w:spacing w:after="0"/>
        <w:rPr>
          <w:sz w:val="20"/>
          <w:szCs w:val="20"/>
          <w:color w:val="auto"/>
        </w:rPr>
      </w:pPr>
      <w:r>
        <w:rPr>
          <w:rFonts w:ascii="Arial" w:cs="Arial" w:eastAsia="Arial" w:hAnsi="Arial"/>
          <w:sz w:val="11"/>
          <w:szCs w:val="11"/>
          <w:b w:val="1"/>
          <w:bCs w:val="1"/>
          <w:color w:val="auto"/>
        </w:rPr>
        <w:t xml:space="preserve">CMRG APPAREL MANAGEMENT, INC., </w:t>
      </w:r>
      <w:r>
        <w:rPr>
          <w:rFonts w:ascii="Arial" w:cs="Arial" w:eastAsia="Arial" w:hAnsi="Arial"/>
          <w:sz w:val="11"/>
          <w:szCs w:val="11"/>
          <w:color w:val="auto"/>
        </w:rPr>
        <w:t>as a</w:t>
      </w:r>
    </w:p>
    <w:p>
      <w:pPr>
        <w:spacing w:after="0" w:line="30"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Guarantor</w:t>
      </w:r>
    </w:p>
    <w:p>
      <w:pPr>
        <w:spacing w:after="0" w:line="141" w:lineRule="exact"/>
        <w:rPr>
          <w:sz w:val="20"/>
          <w:szCs w:val="20"/>
          <w:color w:val="auto"/>
        </w:rPr>
      </w:pPr>
    </w:p>
    <w:p>
      <w:pPr>
        <w:ind w:left="4520"/>
        <w:spacing w:after="0"/>
        <w:tabs>
          <w:tab w:leader="none" w:pos="49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b w:val="1"/>
          <w:bCs w:val="1"/>
          <w:i w:val="1"/>
          <w:iCs w:val="1"/>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9525</wp:posOffset>
            </wp:positionV>
            <wp:extent cx="3380105"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80105" cy="5715"/>
                    </a:xfrm>
                    <a:prstGeom prst="rect">
                      <a:avLst/>
                    </a:prstGeom>
                    <a:noFill/>
                  </pic:spPr>
                </pic:pic>
              </a:graphicData>
            </a:graphic>
          </wp:anchor>
        </w:drawing>
      </w:r>
    </w:p>
    <w:p>
      <w:pPr>
        <w:ind w:left="4940"/>
        <w:spacing w:after="0"/>
        <w:rPr>
          <w:sz w:val="20"/>
          <w:szCs w:val="20"/>
          <w:color w:val="auto"/>
        </w:rPr>
      </w:pPr>
      <w:r>
        <w:rPr>
          <w:rFonts w:ascii="Arial" w:cs="Arial" w:eastAsia="Arial" w:hAnsi="Arial"/>
          <w:sz w:val="12"/>
          <w:szCs w:val="12"/>
          <w:color w:val="auto"/>
        </w:rPr>
        <w:t>Name: Peter H. Stratton, Jr.</w:t>
      </w:r>
    </w:p>
    <w:p>
      <w:pPr>
        <w:spacing w:after="0" w:line="15" w:lineRule="exact"/>
        <w:rPr>
          <w:sz w:val="20"/>
          <w:szCs w:val="20"/>
          <w:color w:val="auto"/>
        </w:rPr>
      </w:pPr>
    </w:p>
    <w:p>
      <w:pPr>
        <w:ind w:left="4940"/>
        <w:spacing w:after="0"/>
        <w:rPr>
          <w:sz w:val="20"/>
          <w:szCs w:val="20"/>
          <w:color w:val="auto"/>
        </w:rPr>
      </w:pPr>
      <w:r>
        <w:rPr>
          <w:rFonts w:ascii="Arial" w:cs="Arial" w:eastAsia="Arial" w:hAnsi="Arial"/>
          <w:sz w:val="12"/>
          <w:szCs w:val="12"/>
          <w:color w:val="auto"/>
        </w:rPr>
        <w:t>Title: Chief Financial Officer</w:t>
      </w:r>
    </w:p>
    <w:p>
      <w:pPr>
        <w:spacing w:after="0" w:line="137" w:lineRule="exact"/>
        <w:rPr>
          <w:sz w:val="20"/>
          <w:szCs w:val="20"/>
          <w:color w:val="auto"/>
        </w:rPr>
      </w:pPr>
    </w:p>
    <w:p>
      <w:pPr>
        <w:ind w:left="4520"/>
        <w:spacing w:after="0"/>
        <w:rPr>
          <w:sz w:val="20"/>
          <w:szCs w:val="20"/>
          <w:color w:val="auto"/>
        </w:rPr>
      </w:pPr>
      <w:r>
        <w:rPr>
          <w:rFonts w:ascii="Arial" w:cs="Arial" w:eastAsia="Arial" w:hAnsi="Arial"/>
          <w:sz w:val="12"/>
          <w:szCs w:val="12"/>
          <w:b w:val="1"/>
          <w:bCs w:val="1"/>
          <w:color w:val="auto"/>
        </w:rPr>
        <w:t xml:space="preserve">CMXL APPAREL, LP, </w:t>
      </w:r>
      <w:r>
        <w:rPr>
          <w:rFonts w:ascii="Arial" w:cs="Arial" w:eastAsia="Arial" w:hAnsi="Arial"/>
          <w:sz w:val="12"/>
          <w:szCs w:val="12"/>
          <w:color w:val="auto"/>
        </w:rPr>
        <w:t>as a</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Guarantor</w:t>
      </w:r>
    </w:p>
    <w:p>
      <w:pPr>
        <w:spacing w:after="0" w:line="141" w:lineRule="exact"/>
        <w:rPr>
          <w:sz w:val="20"/>
          <w:szCs w:val="20"/>
          <w:color w:val="auto"/>
        </w:rPr>
      </w:pPr>
    </w:p>
    <w:p>
      <w:pPr>
        <w:ind w:left="4520"/>
        <w:spacing w:after="0"/>
        <w:tabs>
          <w:tab w:leader="none" w:pos="49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b w:val="1"/>
          <w:bCs w:val="1"/>
          <w:i w:val="1"/>
          <w:iCs w:val="1"/>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9525</wp:posOffset>
            </wp:positionV>
            <wp:extent cx="3380105"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80105" cy="5715"/>
                    </a:xfrm>
                    <a:prstGeom prst="rect">
                      <a:avLst/>
                    </a:prstGeom>
                    <a:noFill/>
                  </pic:spPr>
                </pic:pic>
              </a:graphicData>
            </a:graphic>
          </wp:anchor>
        </w:drawing>
      </w:r>
    </w:p>
    <w:p>
      <w:pPr>
        <w:ind w:left="4940"/>
        <w:spacing w:after="0"/>
        <w:rPr>
          <w:sz w:val="20"/>
          <w:szCs w:val="20"/>
          <w:color w:val="auto"/>
        </w:rPr>
      </w:pPr>
      <w:r>
        <w:rPr>
          <w:rFonts w:ascii="Arial" w:cs="Arial" w:eastAsia="Arial" w:hAnsi="Arial"/>
          <w:sz w:val="12"/>
          <w:szCs w:val="12"/>
          <w:color w:val="auto"/>
        </w:rPr>
        <w:t>Name: Peter H. Stratton, Jr.</w:t>
      </w:r>
    </w:p>
    <w:p>
      <w:pPr>
        <w:spacing w:after="0" w:line="15" w:lineRule="exact"/>
        <w:rPr>
          <w:sz w:val="20"/>
          <w:szCs w:val="20"/>
          <w:color w:val="auto"/>
        </w:rPr>
      </w:pPr>
    </w:p>
    <w:p>
      <w:pPr>
        <w:ind w:left="4940"/>
        <w:spacing w:after="0"/>
        <w:rPr>
          <w:sz w:val="20"/>
          <w:szCs w:val="20"/>
          <w:color w:val="auto"/>
        </w:rPr>
      </w:pPr>
      <w:r>
        <w:rPr>
          <w:rFonts w:ascii="Arial" w:cs="Arial" w:eastAsia="Arial" w:hAnsi="Arial"/>
          <w:sz w:val="12"/>
          <w:szCs w:val="12"/>
          <w:color w:val="auto"/>
        </w:rPr>
        <w:t>Title: Chief Financial Officer</w:t>
      </w:r>
    </w:p>
    <w:p>
      <w:pPr>
        <w:spacing w:after="0" w:line="137" w:lineRule="exact"/>
        <w:rPr>
          <w:sz w:val="20"/>
          <w:szCs w:val="20"/>
          <w:color w:val="auto"/>
        </w:rPr>
      </w:pPr>
    </w:p>
    <w:p>
      <w:pPr>
        <w:ind w:left="4520"/>
        <w:spacing w:after="0"/>
        <w:rPr>
          <w:sz w:val="20"/>
          <w:szCs w:val="20"/>
          <w:color w:val="auto"/>
        </w:rPr>
      </w:pPr>
      <w:r>
        <w:rPr>
          <w:rFonts w:ascii="Arial" w:cs="Arial" w:eastAsia="Arial" w:hAnsi="Arial"/>
          <w:sz w:val="12"/>
          <w:szCs w:val="12"/>
          <w:b w:val="1"/>
          <w:bCs w:val="1"/>
          <w:color w:val="auto"/>
        </w:rPr>
        <w:t xml:space="preserve">CASUAL MALE (EUROPE), LLC, </w:t>
      </w:r>
      <w:r>
        <w:rPr>
          <w:rFonts w:ascii="Arial" w:cs="Arial" w:eastAsia="Arial" w:hAnsi="Arial"/>
          <w:sz w:val="12"/>
          <w:szCs w:val="12"/>
          <w:color w:val="auto"/>
        </w:rPr>
        <w:t>as a</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Guarantor</w:t>
      </w:r>
    </w:p>
    <w:p>
      <w:pPr>
        <w:spacing w:after="0" w:line="141" w:lineRule="exact"/>
        <w:rPr>
          <w:sz w:val="20"/>
          <w:szCs w:val="20"/>
          <w:color w:val="auto"/>
        </w:rPr>
      </w:pPr>
    </w:p>
    <w:p>
      <w:pPr>
        <w:ind w:left="4520"/>
        <w:spacing w:after="0"/>
        <w:tabs>
          <w:tab w:leader="none" w:pos="49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b w:val="1"/>
          <w:bCs w:val="1"/>
          <w:i w:val="1"/>
          <w:iCs w:val="1"/>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9525</wp:posOffset>
            </wp:positionV>
            <wp:extent cx="3380105"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80105" cy="5715"/>
                    </a:xfrm>
                    <a:prstGeom prst="rect">
                      <a:avLst/>
                    </a:prstGeom>
                    <a:noFill/>
                  </pic:spPr>
                </pic:pic>
              </a:graphicData>
            </a:graphic>
          </wp:anchor>
        </w:drawing>
      </w:r>
    </w:p>
    <w:p>
      <w:pPr>
        <w:ind w:left="4940"/>
        <w:spacing w:after="0"/>
        <w:rPr>
          <w:sz w:val="20"/>
          <w:szCs w:val="20"/>
          <w:color w:val="auto"/>
        </w:rPr>
      </w:pPr>
      <w:r>
        <w:rPr>
          <w:rFonts w:ascii="Arial" w:cs="Arial" w:eastAsia="Arial" w:hAnsi="Arial"/>
          <w:sz w:val="12"/>
          <w:szCs w:val="12"/>
          <w:color w:val="auto"/>
        </w:rPr>
        <w:t>Name: Peter H. Stratton, Jr.</w:t>
      </w:r>
    </w:p>
    <w:p>
      <w:pPr>
        <w:spacing w:after="0" w:line="15" w:lineRule="exact"/>
        <w:rPr>
          <w:sz w:val="20"/>
          <w:szCs w:val="20"/>
          <w:color w:val="auto"/>
        </w:rPr>
      </w:pPr>
    </w:p>
    <w:p>
      <w:pPr>
        <w:ind w:left="4940"/>
        <w:spacing w:after="0"/>
        <w:rPr>
          <w:sz w:val="20"/>
          <w:szCs w:val="20"/>
          <w:color w:val="auto"/>
        </w:rPr>
      </w:pPr>
      <w:r>
        <w:rPr>
          <w:rFonts w:ascii="Arial" w:cs="Arial" w:eastAsia="Arial" w:hAnsi="Arial"/>
          <w:sz w:val="12"/>
          <w:szCs w:val="1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[Signature Page to Seventh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57150</wp:posOffset>
            </wp:positionV>
            <wp:extent cx="7329170" cy="368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46" w:name="page147"/>
    <w:bookmarkEnd w:id="146"/>
    <w:p>
      <w:pPr>
        <w:ind w:left="4520"/>
        <w:spacing w:after="0"/>
        <w:rPr>
          <w:sz w:val="20"/>
          <w:szCs w:val="20"/>
          <w:color w:val="auto"/>
        </w:rPr>
      </w:pPr>
      <w:r>
        <w:rPr>
          <w:rFonts w:ascii="Arial" w:cs="Arial" w:eastAsia="Arial" w:hAnsi="Arial"/>
          <w:sz w:val="11"/>
          <w:szCs w:val="11"/>
          <w:b w:val="1"/>
          <w:bCs w:val="1"/>
          <w:color w:val="2A2A2A"/>
        </w:rPr>
        <w:t>BANK OF AMERICA</w:t>
      </w:r>
      <w:r>
        <w:rPr>
          <w:rFonts w:ascii="Arial" w:cs="Arial" w:eastAsia="Arial" w:hAnsi="Arial"/>
          <w:sz w:val="11"/>
          <w:szCs w:val="11"/>
          <w:b w:val="1"/>
          <w:bCs w:val="1"/>
          <w:color w:val="494949"/>
        </w:rPr>
        <w:t>,</w:t>
      </w:r>
      <w:r>
        <w:rPr>
          <w:rFonts w:ascii="Arial" w:cs="Arial" w:eastAsia="Arial" w:hAnsi="Arial"/>
          <w:sz w:val="11"/>
          <w:szCs w:val="11"/>
          <w:b w:val="1"/>
          <w:bCs w:val="1"/>
          <w:color w:val="2A2A2A"/>
        </w:rPr>
        <w:t xml:space="preserve"> N.A.</w:t>
      </w:r>
      <w:r>
        <w:rPr>
          <w:rFonts w:ascii="Arial" w:cs="Arial" w:eastAsia="Arial" w:hAnsi="Arial"/>
          <w:sz w:val="11"/>
          <w:szCs w:val="11"/>
          <w:b w:val="1"/>
          <w:bCs w:val="1"/>
          <w:color w:val="494949"/>
        </w:rPr>
        <w:t>,</w:t>
      </w:r>
      <w:r>
        <w:rPr>
          <w:rFonts w:ascii="Arial" w:cs="Arial" w:eastAsia="Arial" w:hAnsi="Arial"/>
          <w:sz w:val="11"/>
          <w:szCs w:val="11"/>
          <w:b w:val="1"/>
          <w:bCs w:val="1"/>
          <w:color w:val="2A2A2A"/>
        </w:rPr>
        <w:t xml:space="preserve"> </w:t>
      </w:r>
      <w:r>
        <w:rPr>
          <w:rFonts w:ascii="Arial" w:cs="Arial" w:eastAsia="Arial" w:hAnsi="Arial"/>
          <w:sz w:val="10"/>
          <w:szCs w:val="10"/>
          <w:color w:val="2A2A2A"/>
        </w:rPr>
        <w:t>a</w:t>
      </w:r>
      <w:r>
        <w:rPr>
          <w:rFonts w:ascii="Arial" w:cs="Arial" w:eastAsia="Arial" w:hAnsi="Arial"/>
          <w:sz w:val="10"/>
          <w:szCs w:val="10"/>
          <w:color w:val="494949"/>
        </w:rPr>
        <w:t>s</w:t>
      </w:r>
      <w:r>
        <w:rPr>
          <w:rFonts w:ascii="Arial" w:cs="Arial" w:eastAsia="Arial" w:hAnsi="Arial"/>
          <w:sz w:val="11"/>
          <w:szCs w:val="11"/>
          <w:b w:val="1"/>
          <w:bCs w:val="1"/>
          <w:color w:val="2A2A2A"/>
        </w:rPr>
        <w:t xml:space="preserve"> </w:t>
      </w:r>
      <w:r>
        <w:rPr>
          <w:rFonts w:ascii="Arial" w:cs="Arial" w:eastAsia="Arial" w:hAnsi="Arial"/>
          <w:sz w:val="10"/>
          <w:szCs w:val="10"/>
          <w:color w:val="2A2A2A"/>
        </w:rPr>
        <w:t>administrative agent and collateral agent</w:t>
      </w:r>
    </w:p>
    <w:p>
      <w:pPr>
        <w:spacing w:after="0" w:line="166" w:lineRule="exact"/>
        <w:rPr>
          <w:sz w:val="20"/>
          <w:szCs w:val="20"/>
          <w:color w:val="auto"/>
        </w:rPr>
      </w:pPr>
    </w:p>
    <w:p>
      <w:pPr>
        <w:ind w:left="4520"/>
        <w:spacing w:after="0"/>
        <w:tabs>
          <w:tab w:leader="none" w:pos="4920" w:val="left"/>
        </w:tabs>
        <w:rPr>
          <w:sz w:val="20"/>
          <w:szCs w:val="20"/>
          <w:color w:val="auto"/>
        </w:rPr>
      </w:pPr>
      <w:r>
        <w:rPr>
          <w:rFonts w:ascii="Arial" w:cs="Arial" w:eastAsia="Arial" w:hAnsi="Arial"/>
          <w:sz w:val="13"/>
          <w:szCs w:val="13"/>
          <w:color w:val="auto"/>
        </w:rPr>
        <w:t>By</w:t>
      </w:r>
      <w:r>
        <w:rPr>
          <w:rFonts w:ascii="Arial" w:cs="Arial" w:eastAsia="Arial" w:hAnsi="Arial"/>
          <w:sz w:val="13"/>
          <w:szCs w:val="13"/>
          <w:b w:val="1"/>
          <w:bCs w:val="1"/>
          <w:i w:val="1"/>
          <w:iCs w:val="1"/>
          <w:color w:val="auto"/>
        </w:rPr>
        <w:t>:</w:t>
      </w:r>
      <w:r>
        <w:rPr>
          <w:sz w:val="20"/>
          <w:szCs w:val="20"/>
          <w:color w:val="auto"/>
        </w:rPr>
        <w:tab/>
      </w:r>
      <w:r>
        <w:rPr>
          <w:rFonts w:ascii="Arial" w:cs="Arial" w:eastAsia="Arial" w:hAnsi="Arial"/>
          <w:sz w:val="11"/>
          <w:szCs w:val="11"/>
          <w:b w:val="1"/>
          <w:bCs w:val="1"/>
          <w:i w:val="1"/>
          <w:iCs w:val="1"/>
          <w:color w:val="auto"/>
        </w:rPr>
        <w:t>/s/ Christine Hutchinson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5715</wp:posOffset>
            </wp:positionV>
            <wp:extent cx="3380105"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80105" cy="5715"/>
                    </a:xfrm>
                    <a:prstGeom prst="rect">
                      <a:avLst/>
                    </a:prstGeom>
                    <a:noFill/>
                  </pic:spPr>
                </pic:pic>
              </a:graphicData>
            </a:graphic>
          </wp:anchor>
        </w:drawing>
      </w:r>
    </w:p>
    <w:p>
      <w:pPr>
        <w:ind w:left="4940"/>
        <w:spacing w:after="0"/>
        <w:rPr>
          <w:sz w:val="20"/>
          <w:szCs w:val="20"/>
          <w:color w:val="auto"/>
        </w:rPr>
      </w:pPr>
      <w:r>
        <w:rPr>
          <w:rFonts w:ascii="Arial" w:cs="Arial" w:eastAsia="Arial" w:hAnsi="Arial"/>
          <w:sz w:val="13"/>
          <w:szCs w:val="13"/>
          <w:color w:val="auto"/>
        </w:rPr>
        <w:t>Name: Christine Hutchinson</w:t>
      </w:r>
    </w:p>
    <w:p>
      <w:pPr>
        <w:ind w:left="4940"/>
        <w:spacing w:after="0"/>
        <w:rPr>
          <w:sz w:val="20"/>
          <w:szCs w:val="20"/>
          <w:color w:val="auto"/>
        </w:rPr>
      </w:pPr>
      <w:r>
        <w:rPr>
          <w:rFonts w:ascii="Arial" w:cs="Arial" w:eastAsia="Arial" w:hAnsi="Arial"/>
          <w:sz w:val="13"/>
          <w:szCs w:val="13"/>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[Signature Page to Seventh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57150</wp:posOffset>
            </wp:positionV>
            <wp:extent cx="7329170" cy="368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147" w:name="page148"/>
    <w:bookmarkEnd w:id="147"/>
    <w:p>
      <w:pPr>
        <w:ind w:left="4520"/>
        <w:spacing w:after="0"/>
        <w:rPr>
          <w:sz w:val="20"/>
          <w:szCs w:val="20"/>
          <w:color w:val="auto"/>
        </w:rPr>
      </w:pPr>
      <w:r>
        <w:rPr>
          <w:rFonts w:ascii="Arial" w:cs="Arial" w:eastAsia="Arial" w:hAnsi="Arial"/>
          <w:sz w:val="11"/>
          <w:szCs w:val="11"/>
          <w:b w:val="1"/>
          <w:bCs w:val="1"/>
          <w:color w:val="2A2A2A"/>
        </w:rPr>
        <w:t xml:space="preserve">BANK OF AMERICA, </w:t>
      </w:r>
      <w:r>
        <w:rPr>
          <w:rFonts w:ascii="Arial" w:cs="Arial" w:eastAsia="Arial" w:hAnsi="Arial"/>
          <w:sz w:val="11"/>
          <w:szCs w:val="11"/>
          <w:b w:val="1"/>
          <w:bCs w:val="1"/>
          <w:color w:val="3D3D3D"/>
        </w:rPr>
        <w:t>N</w:t>
      </w:r>
      <w:r>
        <w:rPr>
          <w:rFonts w:ascii="Arial" w:cs="Arial" w:eastAsia="Arial" w:hAnsi="Arial"/>
          <w:sz w:val="11"/>
          <w:szCs w:val="11"/>
          <w:b w:val="1"/>
          <w:bCs w:val="1"/>
          <w:color w:val="161616"/>
        </w:rPr>
        <w:t>.A.</w:t>
      </w:r>
      <w:r>
        <w:rPr>
          <w:rFonts w:ascii="Arial" w:cs="Arial" w:eastAsia="Arial" w:hAnsi="Arial"/>
          <w:sz w:val="11"/>
          <w:szCs w:val="11"/>
          <w:b w:val="1"/>
          <w:bCs w:val="1"/>
          <w:color w:val="545454"/>
        </w:rPr>
        <w:t>,</w:t>
      </w:r>
      <w:r>
        <w:rPr>
          <w:rFonts w:ascii="Arial" w:cs="Arial" w:eastAsia="Arial" w:hAnsi="Arial"/>
          <w:sz w:val="11"/>
          <w:szCs w:val="11"/>
          <w:b w:val="1"/>
          <w:bCs w:val="1"/>
          <w:color w:val="2A2A2A"/>
        </w:rPr>
        <w:t xml:space="preserve"> </w:t>
      </w:r>
      <w:r>
        <w:rPr>
          <w:rFonts w:ascii="Arial" w:cs="Arial" w:eastAsia="Arial" w:hAnsi="Arial"/>
          <w:sz w:val="11"/>
          <w:szCs w:val="11"/>
          <w:color w:val="2A2A2A"/>
        </w:rPr>
        <w:t>as</w:t>
      </w:r>
      <w:r>
        <w:rPr>
          <w:rFonts w:ascii="Arial" w:cs="Arial" w:eastAsia="Arial" w:hAnsi="Arial"/>
          <w:sz w:val="11"/>
          <w:szCs w:val="11"/>
          <w:b w:val="1"/>
          <w:bCs w:val="1"/>
          <w:color w:val="2A2A2A"/>
        </w:rPr>
        <w:t xml:space="preserve"> </w:t>
      </w:r>
      <w:r>
        <w:rPr>
          <w:rFonts w:ascii="Arial" w:cs="Arial" w:eastAsia="Arial" w:hAnsi="Arial"/>
          <w:sz w:val="11"/>
          <w:szCs w:val="11"/>
          <w:color w:val="161616"/>
        </w:rPr>
        <w:t>a Revolving</w:t>
      </w:r>
      <w:r>
        <w:rPr>
          <w:rFonts w:ascii="Arial" w:cs="Arial" w:eastAsia="Arial" w:hAnsi="Arial"/>
          <w:sz w:val="11"/>
          <w:szCs w:val="11"/>
          <w:b w:val="1"/>
          <w:bCs w:val="1"/>
          <w:color w:val="2A2A2A"/>
        </w:rPr>
        <w:t xml:space="preserve"> </w:t>
      </w:r>
      <w:r>
        <w:rPr>
          <w:rFonts w:ascii="Arial" w:cs="Arial" w:eastAsia="Arial" w:hAnsi="Arial"/>
          <w:sz w:val="11"/>
          <w:szCs w:val="11"/>
          <w:color w:val="2A2A2A"/>
        </w:rPr>
        <w:t>Lender, a FILO</w:t>
      </w:r>
      <w:r>
        <w:rPr>
          <w:rFonts w:ascii="Arial" w:cs="Arial" w:eastAsia="Arial" w:hAnsi="Arial"/>
          <w:sz w:val="11"/>
          <w:szCs w:val="11"/>
          <w:b w:val="1"/>
          <w:bCs w:val="1"/>
          <w:color w:val="2A2A2A"/>
        </w:rPr>
        <w:t xml:space="preserve"> </w:t>
      </w:r>
      <w:r>
        <w:rPr>
          <w:rFonts w:ascii="Arial" w:cs="Arial" w:eastAsia="Arial" w:hAnsi="Arial"/>
          <w:sz w:val="11"/>
          <w:szCs w:val="11"/>
          <w:color w:val="161616"/>
        </w:rPr>
        <w:t>L</w:t>
      </w:r>
      <w:r>
        <w:rPr>
          <w:rFonts w:ascii="Arial" w:cs="Arial" w:eastAsia="Arial" w:hAnsi="Arial"/>
          <w:sz w:val="11"/>
          <w:szCs w:val="11"/>
          <w:color w:val="3D3D3D"/>
        </w:rPr>
        <w:t>e</w:t>
      </w:r>
      <w:r>
        <w:rPr>
          <w:rFonts w:ascii="Arial" w:cs="Arial" w:eastAsia="Arial" w:hAnsi="Arial"/>
          <w:sz w:val="11"/>
          <w:szCs w:val="11"/>
          <w:color w:val="161616"/>
        </w:rPr>
        <w:t>nder</w:t>
      </w:r>
      <w:r>
        <w:rPr>
          <w:rFonts w:ascii="Arial" w:cs="Arial" w:eastAsia="Arial" w:hAnsi="Arial"/>
          <w:sz w:val="11"/>
          <w:szCs w:val="11"/>
          <w:color w:val="3D3D3D"/>
        </w:rPr>
        <w:t>, L/C</w:t>
      </w:r>
      <w:r>
        <w:rPr>
          <w:rFonts w:ascii="Arial" w:cs="Arial" w:eastAsia="Arial" w:hAnsi="Arial"/>
          <w:sz w:val="11"/>
          <w:szCs w:val="11"/>
          <w:b w:val="1"/>
          <w:bCs w:val="1"/>
          <w:color w:val="2A2A2A"/>
        </w:rPr>
        <w:t xml:space="preserve"> </w:t>
      </w:r>
      <w:r>
        <w:rPr>
          <w:rFonts w:ascii="Arial" w:cs="Arial" w:eastAsia="Arial" w:hAnsi="Arial"/>
          <w:sz w:val="11"/>
          <w:szCs w:val="11"/>
          <w:color w:val="050505"/>
        </w:rPr>
        <w:t>I</w:t>
      </w:r>
      <w:r>
        <w:rPr>
          <w:rFonts w:ascii="Arial" w:cs="Arial" w:eastAsia="Arial" w:hAnsi="Arial"/>
          <w:sz w:val="11"/>
          <w:szCs w:val="11"/>
          <w:color w:val="3D3D3D"/>
        </w:rPr>
        <w:t>ss</w:t>
      </w:r>
      <w:r>
        <w:rPr>
          <w:rFonts w:ascii="Arial" w:cs="Arial" w:eastAsia="Arial" w:hAnsi="Arial"/>
          <w:sz w:val="11"/>
          <w:szCs w:val="11"/>
          <w:color w:val="161616"/>
        </w:rPr>
        <w:t>uer</w:t>
      </w:r>
      <w:r>
        <w:rPr>
          <w:rFonts w:ascii="Arial" w:cs="Arial" w:eastAsia="Arial" w:hAnsi="Arial"/>
          <w:sz w:val="11"/>
          <w:szCs w:val="11"/>
          <w:b w:val="1"/>
          <w:bCs w:val="1"/>
          <w:color w:val="2A2A2A"/>
        </w:rPr>
        <w:t xml:space="preserve"> </w:t>
      </w:r>
      <w:r>
        <w:rPr>
          <w:rFonts w:ascii="Arial" w:cs="Arial" w:eastAsia="Arial" w:hAnsi="Arial"/>
          <w:sz w:val="11"/>
          <w:szCs w:val="11"/>
          <w:color w:val="2A2A2A"/>
        </w:rPr>
        <w:t>and Swing Line Lender</w:t>
      </w:r>
    </w:p>
    <w:p>
      <w:pPr>
        <w:spacing w:after="0" w:line="166" w:lineRule="exact"/>
        <w:rPr>
          <w:sz w:val="20"/>
          <w:szCs w:val="20"/>
          <w:color w:val="auto"/>
        </w:rPr>
      </w:pPr>
    </w:p>
    <w:p>
      <w:pPr>
        <w:ind w:left="4520"/>
        <w:spacing w:after="0"/>
        <w:tabs>
          <w:tab w:leader="none" w:pos="4920" w:val="left"/>
        </w:tabs>
        <w:rPr>
          <w:sz w:val="20"/>
          <w:szCs w:val="20"/>
          <w:color w:val="auto"/>
        </w:rPr>
      </w:pPr>
      <w:r>
        <w:rPr>
          <w:rFonts w:ascii="Arial" w:cs="Arial" w:eastAsia="Arial" w:hAnsi="Arial"/>
          <w:sz w:val="13"/>
          <w:szCs w:val="13"/>
          <w:color w:val="auto"/>
        </w:rPr>
        <w:t>By</w:t>
      </w:r>
      <w:r>
        <w:rPr>
          <w:rFonts w:ascii="Arial" w:cs="Arial" w:eastAsia="Arial" w:hAnsi="Arial"/>
          <w:sz w:val="13"/>
          <w:szCs w:val="13"/>
          <w:b w:val="1"/>
          <w:bCs w:val="1"/>
          <w:i w:val="1"/>
          <w:iCs w:val="1"/>
          <w:color w:val="auto"/>
        </w:rPr>
        <w:t>:</w:t>
      </w:r>
      <w:r>
        <w:rPr>
          <w:sz w:val="20"/>
          <w:szCs w:val="20"/>
          <w:color w:val="auto"/>
        </w:rPr>
        <w:tab/>
      </w:r>
      <w:r>
        <w:rPr>
          <w:rFonts w:ascii="Arial" w:cs="Arial" w:eastAsia="Arial" w:hAnsi="Arial"/>
          <w:sz w:val="11"/>
          <w:szCs w:val="11"/>
          <w:b w:val="1"/>
          <w:bCs w:val="1"/>
          <w:i w:val="1"/>
          <w:iCs w:val="1"/>
          <w:color w:val="auto"/>
        </w:rPr>
        <w:t>/s/ Christine Hutchinson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5715</wp:posOffset>
            </wp:positionV>
            <wp:extent cx="3380105"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80105" cy="5715"/>
                    </a:xfrm>
                    <a:prstGeom prst="rect">
                      <a:avLst/>
                    </a:prstGeom>
                    <a:noFill/>
                  </pic:spPr>
                </pic:pic>
              </a:graphicData>
            </a:graphic>
          </wp:anchor>
        </w:drawing>
      </w:r>
    </w:p>
    <w:p>
      <w:pPr>
        <w:ind w:left="4940"/>
        <w:spacing w:after="0"/>
        <w:rPr>
          <w:sz w:val="20"/>
          <w:szCs w:val="20"/>
          <w:color w:val="auto"/>
        </w:rPr>
      </w:pPr>
      <w:r>
        <w:rPr>
          <w:rFonts w:ascii="Arial" w:cs="Arial" w:eastAsia="Arial" w:hAnsi="Arial"/>
          <w:sz w:val="13"/>
          <w:szCs w:val="13"/>
          <w:color w:val="auto"/>
        </w:rPr>
        <w:t>Name: Christine Hutchinson</w:t>
      </w:r>
    </w:p>
    <w:p>
      <w:pPr>
        <w:ind w:left="4940"/>
        <w:spacing w:after="0"/>
        <w:rPr>
          <w:sz w:val="20"/>
          <w:szCs w:val="20"/>
          <w:color w:val="auto"/>
        </w:rPr>
      </w:pPr>
      <w:r>
        <w:rPr>
          <w:rFonts w:ascii="Arial" w:cs="Arial" w:eastAsia="Arial" w:hAnsi="Arial"/>
          <w:sz w:val="13"/>
          <w:szCs w:val="13"/>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820"/>
        <w:spacing w:after="0"/>
        <w:rPr>
          <w:sz w:val="20"/>
          <w:szCs w:val="20"/>
          <w:color w:val="auto"/>
        </w:rPr>
      </w:pPr>
      <w:r>
        <w:rPr>
          <w:rFonts w:ascii="Arial" w:cs="Arial" w:eastAsia="Arial" w:hAnsi="Arial"/>
          <w:sz w:val="12"/>
          <w:szCs w:val="12"/>
          <w:color w:val="auto"/>
        </w:rPr>
        <w:t>[Signature Page to Seventh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42545</wp:posOffset>
            </wp:positionV>
            <wp:extent cx="7329170" cy="368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9800"/>
          </w:cols>
          <w:pgMar w:left="1440" w:top="301" w:right="659" w:bottom="1440" w:gutter="0" w:footer="0" w:header="0"/>
        </w:sectPr>
      </w:pPr>
    </w:p>
    <w:bookmarkStart w:id="148" w:name="page149"/>
    <w:bookmarkEnd w:id="148"/>
    <w:p>
      <w:pPr>
        <w:ind w:left="4520"/>
        <w:spacing w:after="0"/>
        <w:rPr>
          <w:sz w:val="20"/>
          <w:szCs w:val="20"/>
          <w:color w:val="auto"/>
        </w:rPr>
      </w:pPr>
      <w:r>
        <w:rPr>
          <w:rFonts w:ascii="Arial" w:cs="Arial" w:eastAsia="Arial" w:hAnsi="Arial"/>
          <w:sz w:val="13"/>
          <w:szCs w:val="13"/>
          <w:b w:val="1"/>
          <w:bCs w:val="1"/>
          <w:color w:val="2A2A2A"/>
        </w:rPr>
        <w:t>WELLS FARGO BANK</w:t>
      </w:r>
      <w:r>
        <w:rPr>
          <w:rFonts w:ascii="Arial" w:cs="Arial" w:eastAsia="Arial" w:hAnsi="Arial"/>
          <w:sz w:val="13"/>
          <w:szCs w:val="13"/>
          <w:b w:val="1"/>
          <w:bCs w:val="1"/>
          <w:color w:val="4D4D4D"/>
        </w:rPr>
        <w:t>,</w:t>
      </w:r>
      <w:r>
        <w:rPr>
          <w:rFonts w:ascii="Arial" w:cs="Arial" w:eastAsia="Arial" w:hAnsi="Arial"/>
          <w:sz w:val="13"/>
          <w:szCs w:val="13"/>
          <w:b w:val="1"/>
          <w:bCs w:val="1"/>
          <w:color w:val="2A2A2A"/>
        </w:rPr>
        <w:t xml:space="preserve"> NATIONAL</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1"/>
          <w:szCs w:val="11"/>
          <w:b w:val="1"/>
          <w:bCs w:val="1"/>
          <w:color w:val="2A2A2A"/>
        </w:rPr>
        <w:t>ASSOC IATION</w:t>
      </w:r>
      <w:r>
        <w:rPr>
          <w:rFonts w:ascii="Arial" w:cs="Arial" w:eastAsia="Arial" w:hAnsi="Arial"/>
          <w:sz w:val="11"/>
          <w:szCs w:val="11"/>
          <w:b w:val="1"/>
          <w:bCs w:val="1"/>
          <w:color w:val="5B5B5B"/>
        </w:rPr>
        <w:t>,</w:t>
      </w:r>
      <w:r>
        <w:rPr>
          <w:rFonts w:ascii="Arial" w:cs="Arial" w:eastAsia="Arial" w:hAnsi="Arial"/>
          <w:sz w:val="11"/>
          <w:szCs w:val="11"/>
          <w:b w:val="1"/>
          <w:bCs w:val="1"/>
          <w:color w:val="2A2A2A"/>
        </w:rPr>
        <w:t xml:space="preserve"> </w:t>
      </w:r>
      <w:r>
        <w:rPr>
          <w:rFonts w:ascii="Arial" w:cs="Arial" w:eastAsia="Arial" w:hAnsi="Arial"/>
          <w:sz w:val="11"/>
          <w:szCs w:val="11"/>
          <w:color w:val="3B3B3B"/>
        </w:rPr>
        <w:t>as</w:t>
      </w:r>
      <w:r>
        <w:rPr>
          <w:rFonts w:ascii="Arial" w:cs="Arial" w:eastAsia="Arial" w:hAnsi="Arial"/>
          <w:sz w:val="11"/>
          <w:szCs w:val="11"/>
          <w:b w:val="1"/>
          <w:bCs w:val="1"/>
          <w:color w:val="2A2A2A"/>
        </w:rPr>
        <w:t xml:space="preserve"> </w:t>
      </w:r>
      <w:r>
        <w:rPr>
          <w:rFonts w:ascii="Arial" w:cs="Arial" w:eastAsia="Arial" w:hAnsi="Arial"/>
          <w:sz w:val="11"/>
          <w:szCs w:val="11"/>
          <w:color w:val="2A2A2A"/>
        </w:rPr>
        <w:t>a Revolving</w:t>
      </w:r>
      <w:r>
        <w:rPr>
          <w:rFonts w:ascii="Arial" w:cs="Arial" w:eastAsia="Arial" w:hAnsi="Arial"/>
          <w:sz w:val="11"/>
          <w:szCs w:val="11"/>
          <w:b w:val="1"/>
          <w:bCs w:val="1"/>
          <w:color w:val="2A2A2A"/>
        </w:rPr>
        <w:t xml:space="preserve"> </w:t>
      </w:r>
      <w:r>
        <w:rPr>
          <w:rFonts w:ascii="Arial" w:cs="Arial" w:eastAsia="Arial" w:hAnsi="Arial"/>
          <w:sz w:val="11"/>
          <w:szCs w:val="11"/>
          <w:color w:val="3B3B3B"/>
        </w:rPr>
        <w:t>Lende</w:t>
      </w:r>
      <w:r>
        <w:rPr>
          <w:rFonts w:ascii="Arial" w:cs="Arial" w:eastAsia="Arial" w:hAnsi="Arial"/>
          <w:sz w:val="11"/>
          <w:szCs w:val="11"/>
          <w:color w:val="131313"/>
        </w:rPr>
        <w:t>r</w:t>
      </w:r>
      <w:r>
        <w:rPr>
          <w:rFonts w:ascii="Arial" w:cs="Arial" w:eastAsia="Arial" w:hAnsi="Arial"/>
          <w:sz w:val="11"/>
          <w:szCs w:val="11"/>
          <w:b w:val="1"/>
          <w:bCs w:val="1"/>
          <w:color w:val="2A2A2A"/>
        </w:rPr>
        <w:t xml:space="preserve"> </w:t>
      </w:r>
      <w:r>
        <w:rPr>
          <w:rFonts w:ascii="Arial" w:cs="Arial" w:eastAsia="Arial" w:hAnsi="Arial"/>
          <w:sz w:val="11"/>
          <w:szCs w:val="11"/>
          <w:color w:val="2A2A2A"/>
        </w:rPr>
        <w:t>and</w:t>
      </w:r>
      <w:r>
        <w:rPr>
          <w:rFonts w:ascii="Arial" w:cs="Arial" w:eastAsia="Arial" w:hAnsi="Arial"/>
          <w:sz w:val="11"/>
          <w:szCs w:val="11"/>
          <w:b w:val="1"/>
          <w:bCs w:val="1"/>
          <w:color w:val="2A2A2A"/>
        </w:rPr>
        <w:t xml:space="preserve"> </w:t>
      </w:r>
      <w:r>
        <w:rPr>
          <w:rFonts w:ascii="Arial" w:cs="Arial" w:eastAsia="Arial" w:hAnsi="Arial"/>
          <w:sz w:val="11"/>
          <w:szCs w:val="11"/>
          <w:color w:val="3B3B3B"/>
        </w:rPr>
        <w:t>a</w:t>
      </w:r>
    </w:p>
    <w:p>
      <w:pPr>
        <w:spacing w:after="0" w:line="152" w:lineRule="exact"/>
        <w:rPr>
          <w:sz w:val="20"/>
          <w:szCs w:val="20"/>
          <w:color w:val="auto"/>
        </w:rPr>
      </w:pPr>
    </w:p>
    <w:p>
      <w:pPr>
        <w:ind w:left="4520"/>
        <w:spacing w:after="0"/>
        <w:tabs>
          <w:tab w:leader="none" w:pos="4920" w:val="left"/>
        </w:tabs>
        <w:rPr>
          <w:sz w:val="20"/>
          <w:szCs w:val="20"/>
          <w:color w:val="auto"/>
        </w:rPr>
      </w:pPr>
      <w:r>
        <w:rPr>
          <w:rFonts w:ascii="Arial" w:cs="Arial" w:eastAsia="Arial" w:hAnsi="Arial"/>
          <w:sz w:val="13"/>
          <w:szCs w:val="13"/>
          <w:color w:val="auto"/>
        </w:rPr>
        <w:t>By</w:t>
      </w:r>
      <w:r>
        <w:rPr>
          <w:rFonts w:ascii="Arial" w:cs="Arial" w:eastAsia="Arial" w:hAnsi="Arial"/>
          <w:sz w:val="13"/>
          <w:szCs w:val="13"/>
          <w:b w:val="1"/>
          <w:bCs w:val="1"/>
          <w:i w:val="1"/>
          <w:iCs w:val="1"/>
          <w:color w:val="auto"/>
        </w:rPr>
        <w:t>:</w:t>
      </w:r>
      <w:r>
        <w:rPr>
          <w:sz w:val="20"/>
          <w:szCs w:val="20"/>
          <w:color w:val="auto"/>
        </w:rPr>
        <w:tab/>
      </w:r>
      <w:r>
        <w:rPr>
          <w:rFonts w:ascii="Arial" w:cs="Arial" w:eastAsia="Arial" w:hAnsi="Arial"/>
          <w:sz w:val="11"/>
          <w:szCs w:val="11"/>
          <w:b w:val="1"/>
          <w:bCs w:val="1"/>
          <w:i w:val="1"/>
          <w:iCs w:val="1"/>
          <w:color w:val="auto"/>
        </w:rPr>
        <w:t>/s/ Michael S.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5715</wp:posOffset>
            </wp:positionV>
            <wp:extent cx="3380105"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80105" cy="5715"/>
                    </a:xfrm>
                    <a:prstGeom prst="rect">
                      <a:avLst/>
                    </a:prstGeom>
                    <a:noFill/>
                  </pic:spPr>
                </pic:pic>
              </a:graphicData>
            </a:graphic>
          </wp:anchor>
        </w:drawing>
      </w:r>
    </w:p>
    <w:p>
      <w:pPr>
        <w:ind w:left="4940"/>
        <w:spacing w:after="0"/>
        <w:rPr>
          <w:sz w:val="20"/>
          <w:szCs w:val="20"/>
          <w:color w:val="auto"/>
        </w:rPr>
      </w:pPr>
      <w:r>
        <w:rPr>
          <w:rFonts w:ascii="Arial" w:cs="Arial" w:eastAsia="Arial" w:hAnsi="Arial"/>
          <w:sz w:val="13"/>
          <w:szCs w:val="13"/>
          <w:color w:val="auto"/>
        </w:rPr>
        <w:t>Name: Michael S. Watson</w:t>
      </w:r>
    </w:p>
    <w:p>
      <w:pPr>
        <w:ind w:left="4940"/>
        <w:spacing w:after="0"/>
        <w:rPr>
          <w:sz w:val="20"/>
          <w:szCs w:val="20"/>
          <w:color w:val="auto"/>
        </w:rPr>
      </w:pPr>
      <w:r>
        <w:rPr>
          <w:rFonts w:ascii="Arial" w:cs="Arial" w:eastAsia="Arial" w:hAnsi="Arial"/>
          <w:sz w:val="13"/>
          <w:szCs w:val="13"/>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[Signature Page to Seventh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57150</wp:posOffset>
            </wp:positionV>
            <wp:extent cx="7329170" cy="368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49" w:name="page150"/>
    <w:bookmarkEnd w:id="149"/>
    <w:p>
      <w:pPr>
        <w:ind w:left="4520"/>
        <w:spacing w:after="0"/>
        <w:rPr>
          <w:sz w:val="20"/>
          <w:szCs w:val="20"/>
          <w:color w:val="auto"/>
        </w:rPr>
      </w:pPr>
      <w:r>
        <w:rPr>
          <w:rFonts w:ascii="Arial" w:cs="Arial" w:eastAsia="Arial" w:hAnsi="Arial"/>
          <w:sz w:val="12"/>
          <w:szCs w:val="12"/>
          <w:b w:val="1"/>
          <w:bCs w:val="1"/>
          <w:color w:val="auto"/>
        </w:rPr>
        <w:t xml:space="preserve">CITIZENS BANK, N.A., </w:t>
      </w:r>
      <w:r>
        <w:rPr>
          <w:rFonts w:ascii="Arial" w:cs="Arial" w:eastAsia="Arial" w:hAnsi="Arial"/>
          <w:sz w:val="12"/>
          <w:szCs w:val="12"/>
          <w:color w:val="auto"/>
        </w:rPr>
        <w:t>as a Revolving Lender</w:t>
      </w:r>
    </w:p>
    <w:p>
      <w:pPr>
        <w:spacing w:after="0" w:line="154" w:lineRule="exact"/>
        <w:rPr>
          <w:sz w:val="20"/>
          <w:szCs w:val="20"/>
          <w:color w:val="auto"/>
        </w:rPr>
      </w:pPr>
    </w:p>
    <w:p>
      <w:pPr>
        <w:ind w:left="4520"/>
        <w:spacing w:after="0"/>
        <w:tabs>
          <w:tab w:leader="none" w:pos="4920" w:val="left"/>
        </w:tabs>
        <w:rPr>
          <w:sz w:val="20"/>
          <w:szCs w:val="20"/>
          <w:color w:val="auto"/>
        </w:rPr>
      </w:pPr>
      <w:r>
        <w:rPr>
          <w:rFonts w:ascii="Arial" w:cs="Arial" w:eastAsia="Arial" w:hAnsi="Arial"/>
          <w:sz w:val="13"/>
          <w:szCs w:val="13"/>
          <w:color w:val="auto"/>
        </w:rPr>
        <w:t>By</w:t>
      </w:r>
      <w:r>
        <w:rPr>
          <w:rFonts w:ascii="Arial" w:cs="Arial" w:eastAsia="Arial" w:hAnsi="Arial"/>
          <w:sz w:val="13"/>
          <w:szCs w:val="13"/>
          <w:b w:val="1"/>
          <w:bCs w:val="1"/>
          <w:i w:val="1"/>
          <w:iCs w:val="1"/>
          <w:color w:val="auto"/>
        </w:rPr>
        <w:t>:</w:t>
      </w:r>
      <w:r>
        <w:rPr>
          <w:sz w:val="20"/>
          <w:szCs w:val="20"/>
          <w:color w:val="auto"/>
        </w:rPr>
        <w:tab/>
      </w:r>
      <w:r>
        <w:rPr>
          <w:rFonts w:ascii="Arial" w:cs="Arial" w:eastAsia="Arial" w:hAnsi="Arial"/>
          <w:sz w:val="11"/>
          <w:szCs w:val="11"/>
          <w:b w:val="1"/>
          <w:bCs w:val="1"/>
          <w:i w:val="1"/>
          <w:iCs w:val="1"/>
          <w:color w:val="auto"/>
        </w:rPr>
        <w:t>/s/ Lori C. Hilker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5715</wp:posOffset>
            </wp:positionV>
            <wp:extent cx="3380105"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80105" cy="5715"/>
                    </a:xfrm>
                    <a:prstGeom prst="rect">
                      <a:avLst/>
                    </a:prstGeom>
                    <a:noFill/>
                  </pic:spPr>
                </pic:pic>
              </a:graphicData>
            </a:graphic>
          </wp:anchor>
        </w:drawing>
      </w:r>
    </w:p>
    <w:p>
      <w:pPr>
        <w:ind w:left="4940"/>
        <w:spacing w:after="0"/>
        <w:rPr>
          <w:sz w:val="20"/>
          <w:szCs w:val="20"/>
          <w:color w:val="auto"/>
        </w:rPr>
      </w:pPr>
      <w:r>
        <w:rPr>
          <w:rFonts w:ascii="Arial" w:cs="Arial" w:eastAsia="Arial" w:hAnsi="Arial"/>
          <w:sz w:val="13"/>
          <w:szCs w:val="13"/>
          <w:color w:val="auto"/>
        </w:rPr>
        <w:t>Name: Lori C. Hilker</w:t>
      </w:r>
    </w:p>
    <w:p>
      <w:pPr>
        <w:ind w:left="4940"/>
        <w:spacing w:after="0"/>
        <w:rPr>
          <w:sz w:val="20"/>
          <w:szCs w:val="20"/>
          <w:color w:val="auto"/>
        </w:rPr>
      </w:pPr>
      <w:r>
        <w:rPr>
          <w:rFonts w:ascii="Arial" w:cs="Arial" w:eastAsia="Arial" w:hAnsi="Arial"/>
          <w:sz w:val="13"/>
          <w:szCs w:val="13"/>
          <w:color w:val="auto"/>
        </w:rPr>
        <w:t>Title: Senior Vice President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[Signature Page to Seventh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57150</wp:posOffset>
            </wp:positionV>
            <wp:extent cx="7329170" cy="368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150" w:name="page151"/>
    <w:bookmarkEnd w:id="150"/>
    <w:p>
      <w:pPr>
        <w:jc w:val="center"/>
        <w:ind w:right="-980"/>
        <w:spacing w:after="0"/>
        <w:rPr>
          <w:sz w:val="20"/>
          <w:szCs w:val="20"/>
          <w:color w:val="auto"/>
        </w:rPr>
      </w:pPr>
      <w:r>
        <w:rPr>
          <w:rFonts w:ascii="Arial" w:cs="Arial" w:eastAsia="Arial" w:hAnsi="Arial"/>
          <w:sz w:val="11"/>
          <w:szCs w:val="11"/>
          <w:color w:val="auto"/>
        </w:rPr>
        <w:t>Schedule 1.01</w:t>
      </w:r>
    </w:p>
    <w:p>
      <w:pPr>
        <w:spacing w:after="0" w:line="38" w:lineRule="exact"/>
        <w:rPr>
          <w:sz w:val="20"/>
          <w:szCs w:val="20"/>
          <w:color w:val="auto"/>
        </w:rPr>
      </w:pPr>
    </w:p>
    <w:p>
      <w:pPr>
        <w:jc w:val="center"/>
        <w:ind w:right="-980"/>
        <w:spacing w:after="0"/>
        <w:rPr>
          <w:sz w:val="20"/>
          <w:szCs w:val="20"/>
          <w:color w:val="auto"/>
        </w:rPr>
      </w:pPr>
      <w:r>
        <w:rPr>
          <w:rFonts w:ascii="Arial" w:cs="Arial" w:eastAsia="Arial" w:hAnsi="Arial"/>
          <w:sz w:val="13"/>
          <w:szCs w:val="13"/>
          <w:color w:val="auto"/>
        </w:rPr>
        <w:t>Borrowers</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color w:val="auto"/>
        </w:rPr>
        <w:t>Destination XL Group, Inc.</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color w:val="auto"/>
        </w:rPr>
        <w:t>CMRG Apparel,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236220</wp:posOffset>
            </wp:positionV>
            <wp:extent cx="7329170" cy="368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9999"/>
          </w:cols>
          <w:pgMar w:left="460" w:top="128" w:right="1440" w:bottom="1440" w:gutter="0" w:footer="0" w:header="0"/>
        </w:sectPr>
      </w:pPr>
    </w:p>
    <w:bookmarkStart w:id="151" w:name="page152"/>
    <w:bookmarkEnd w:id="151"/>
    <w:p>
      <w:pPr>
        <w:jc w:val="center"/>
        <w:ind w:right="40"/>
        <w:spacing w:after="0"/>
        <w:rPr>
          <w:sz w:val="20"/>
          <w:szCs w:val="20"/>
          <w:color w:val="auto"/>
        </w:rPr>
      </w:pPr>
      <w:r>
        <w:rPr>
          <w:rFonts w:ascii="Arial" w:cs="Arial" w:eastAsia="Arial" w:hAnsi="Arial"/>
          <w:sz w:val="13"/>
          <w:szCs w:val="13"/>
          <w:color w:val="auto"/>
        </w:rPr>
        <w:t>Schedule 2.01</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Commitments and Applicable Percentages</w:t>
      </w:r>
    </w:p>
    <w:p>
      <w:pPr>
        <w:spacing w:after="0" w:line="281"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2760" w:type="dxa"/>
            <w:vAlign w:val="bottom"/>
            <w:tcBorders>
              <w:top w:val="single" w:sz="8" w:color="auto"/>
              <w:left w:val="single" w:sz="8" w:color="auto"/>
              <w:bottom w:val="single" w:sz="8" w:color="auto"/>
              <w:right w:val="single" w:sz="8" w:color="auto"/>
            </w:tcBorders>
          </w:tcPr>
          <w:p>
            <w:pPr>
              <w:ind w:left="1420"/>
              <w:spacing w:after="0"/>
              <w:rPr>
                <w:sz w:val="20"/>
                <w:szCs w:val="20"/>
                <w:color w:val="auto"/>
              </w:rPr>
            </w:pPr>
            <w:r>
              <w:rPr>
                <w:rFonts w:ascii="Arial" w:cs="Arial" w:eastAsia="Arial" w:hAnsi="Arial"/>
                <w:sz w:val="14"/>
                <w:szCs w:val="14"/>
                <w:b w:val="1"/>
                <w:bCs w:val="1"/>
                <w:color w:val="auto"/>
              </w:rPr>
              <w:t>Lender</w:t>
            </w:r>
          </w:p>
        </w:tc>
        <w:tc>
          <w:tcPr>
            <w:tcW w:w="20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Revolving Commitment</w:t>
            </w:r>
          </w:p>
        </w:tc>
        <w:tc>
          <w:tcPr>
            <w:tcW w:w="2220" w:type="dxa"/>
            <w:vAlign w:val="bottom"/>
            <w:tcBorders>
              <w:top w:val="single" w:sz="8" w:color="auto"/>
              <w:bottom w:val="single" w:sz="8" w:color="auto"/>
              <w:right w:val="single" w:sz="8" w:color="auto"/>
            </w:tcBorders>
          </w:tcPr>
          <w:p>
            <w:pPr>
              <w:jc w:val="right"/>
              <w:ind w:right="648"/>
              <w:spacing w:after="0"/>
              <w:rPr>
                <w:sz w:val="20"/>
                <w:szCs w:val="20"/>
                <w:color w:val="auto"/>
              </w:rPr>
            </w:pPr>
            <w:r>
              <w:rPr>
                <w:rFonts w:ascii="Arial" w:cs="Arial" w:eastAsia="Arial" w:hAnsi="Arial"/>
                <w:sz w:val="14"/>
                <w:szCs w:val="14"/>
                <w:b w:val="1"/>
                <w:bCs w:val="1"/>
                <w:color w:val="auto"/>
                <w:w w:val="98"/>
              </w:rPr>
              <w:t>Applicable Percentage</w:t>
            </w:r>
          </w:p>
        </w:tc>
        <w:tc>
          <w:tcPr>
            <w:tcW w:w="2220" w:type="dxa"/>
            <w:vAlign w:val="bottom"/>
            <w:tcBorders>
              <w:top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4"/>
                <w:szCs w:val="14"/>
                <w:b w:val="1"/>
                <w:bCs w:val="1"/>
                <w:color w:val="auto"/>
              </w:rPr>
              <w:t>FILO Commitment</w:t>
            </w:r>
          </w:p>
        </w:tc>
        <w:tc>
          <w:tcPr>
            <w:tcW w:w="2200" w:type="dxa"/>
            <w:vAlign w:val="bottom"/>
            <w:tcBorders>
              <w:top w:val="single" w:sz="8" w:color="auto"/>
              <w:bottom w:val="single" w:sz="8" w:color="auto"/>
              <w:right w:val="single" w:sz="8" w:color="auto"/>
            </w:tcBorders>
          </w:tcPr>
          <w:p>
            <w:pPr>
              <w:jc w:val="right"/>
              <w:ind w:right="628"/>
              <w:spacing w:after="0"/>
              <w:rPr>
                <w:sz w:val="20"/>
                <w:szCs w:val="20"/>
                <w:color w:val="auto"/>
              </w:rPr>
            </w:pPr>
            <w:r>
              <w:rPr>
                <w:rFonts w:ascii="Arial" w:cs="Arial" w:eastAsia="Arial" w:hAnsi="Arial"/>
                <w:sz w:val="14"/>
                <w:szCs w:val="14"/>
                <w:b w:val="1"/>
                <w:bCs w:val="1"/>
                <w:color w:val="auto"/>
                <w:w w:val="98"/>
              </w:rPr>
              <w:t>Applicable Percentage</w:t>
            </w:r>
          </w:p>
        </w:tc>
        <w:tc>
          <w:tcPr>
            <w:tcW w:w="20" w:type="dxa"/>
            <w:vAlign w:val="bottom"/>
          </w:tcPr>
          <w:p>
            <w:pPr>
              <w:spacing w:after="0"/>
              <w:rPr>
                <w:sz w:val="14"/>
                <w:szCs w:val="14"/>
                <w:color w:val="auto"/>
              </w:rPr>
            </w:pPr>
          </w:p>
        </w:tc>
      </w:tr>
      <w:tr>
        <w:trPr>
          <w:trHeight w:val="171"/>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Bank of America, N.A.</w:t>
            </w:r>
          </w:p>
        </w:tc>
        <w:tc>
          <w:tcPr>
            <w:tcW w:w="2080" w:type="dxa"/>
            <w:vAlign w:val="bottom"/>
            <w:tcBorders>
              <w:right w:val="single" w:sz="8" w:color="auto"/>
            </w:tcBorders>
          </w:tcPr>
          <w:p>
            <w:pPr>
              <w:jc w:val="center"/>
              <w:ind w:right="988"/>
              <w:spacing w:after="0"/>
              <w:rPr>
                <w:sz w:val="20"/>
                <w:szCs w:val="20"/>
                <w:color w:val="auto"/>
              </w:rPr>
            </w:pPr>
            <w:r>
              <w:rPr>
                <w:rFonts w:ascii="Arial" w:cs="Arial" w:eastAsia="Arial" w:hAnsi="Arial"/>
                <w:sz w:val="14"/>
                <w:szCs w:val="14"/>
                <w:color w:val="auto"/>
                <w:w w:val="92"/>
              </w:rPr>
              <w:t>$55,000,000.00</w:t>
            </w:r>
          </w:p>
        </w:tc>
        <w:tc>
          <w:tcPr>
            <w:tcW w:w="2220" w:type="dxa"/>
            <w:vAlign w:val="bottom"/>
            <w:tcBorders>
              <w:right w:val="single" w:sz="8" w:color="auto"/>
            </w:tcBorders>
          </w:tcPr>
          <w:p>
            <w:pPr>
              <w:jc w:val="right"/>
              <w:ind w:right="1148"/>
              <w:spacing w:after="0"/>
              <w:rPr>
                <w:sz w:val="20"/>
                <w:szCs w:val="20"/>
                <w:color w:val="auto"/>
              </w:rPr>
            </w:pPr>
            <w:r>
              <w:rPr>
                <w:rFonts w:ascii="Arial" w:cs="Arial" w:eastAsia="Arial" w:hAnsi="Arial"/>
                <w:sz w:val="14"/>
                <w:szCs w:val="14"/>
                <w:color w:val="auto"/>
                <w:w w:val="96"/>
              </w:rPr>
              <w:t>44.000000000%</w:t>
            </w:r>
          </w:p>
        </w:tc>
        <w:tc>
          <w:tcPr>
            <w:tcW w:w="22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$10,000,000.00</w:t>
            </w:r>
          </w:p>
        </w:tc>
        <w:tc>
          <w:tcPr>
            <w:tcW w:w="2200" w:type="dxa"/>
            <w:vAlign w:val="bottom"/>
            <w:tcBorders>
              <w:right w:val="single" w:sz="8" w:color="auto"/>
            </w:tcBorders>
          </w:tcPr>
          <w:p>
            <w:pPr>
              <w:jc w:val="right"/>
              <w:ind w:right="1128"/>
              <w:spacing w:after="0"/>
              <w:rPr>
                <w:sz w:val="20"/>
                <w:szCs w:val="20"/>
                <w:color w:val="auto"/>
              </w:rPr>
            </w:pPr>
            <w:r>
              <w:rPr>
                <w:rFonts w:ascii="Arial" w:cs="Arial" w:eastAsia="Arial" w:hAnsi="Arial"/>
                <w:sz w:val="14"/>
                <w:szCs w:val="14"/>
                <w:color w:val="auto"/>
                <w:w w:val="96"/>
              </w:rPr>
              <w:t>66.666666667%</w:t>
            </w:r>
          </w:p>
        </w:tc>
        <w:tc>
          <w:tcPr>
            <w:tcW w:w="20" w:type="dxa"/>
            <w:vAlign w:val="bottom"/>
          </w:tcPr>
          <w:p>
            <w:pPr>
              <w:spacing w:after="0"/>
              <w:rPr>
                <w:sz w:val="14"/>
                <w:szCs w:val="14"/>
                <w:color w:val="auto"/>
              </w:rPr>
            </w:pPr>
          </w:p>
        </w:tc>
      </w:tr>
      <w:tr>
        <w:trPr>
          <w:trHeight w:val="115"/>
        </w:trPr>
        <w:tc>
          <w:tcPr>
            <w:tcW w:w="2760" w:type="dxa"/>
            <w:vAlign w:val="bottom"/>
            <w:tcBorders>
              <w:left w:val="single" w:sz="8" w:color="auto"/>
              <w:bottom w:val="single" w:sz="8" w:color="auto"/>
              <w:right w:val="single" w:sz="8" w:color="auto"/>
            </w:tcBorders>
          </w:tcPr>
          <w:p>
            <w:pPr>
              <w:spacing w:after="0"/>
              <w:rPr>
                <w:sz w:val="9"/>
                <w:szCs w:val="9"/>
                <w:color w:val="auto"/>
              </w:rPr>
            </w:pPr>
          </w:p>
        </w:tc>
        <w:tc>
          <w:tcPr>
            <w:tcW w:w="2080" w:type="dxa"/>
            <w:vAlign w:val="bottom"/>
            <w:tcBorders>
              <w:bottom w:val="single" w:sz="8" w:color="auto"/>
              <w:right w:val="single" w:sz="8" w:color="auto"/>
            </w:tcBorders>
          </w:tcPr>
          <w:p>
            <w:pPr>
              <w:spacing w:after="0"/>
              <w:rPr>
                <w:sz w:val="9"/>
                <w:szCs w:val="9"/>
                <w:color w:val="auto"/>
              </w:rPr>
            </w:pPr>
          </w:p>
        </w:tc>
        <w:tc>
          <w:tcPr>
            <w:tcW w:w="2220" w:type="dxa"/>
            <w:vAlign w:val="bottom"/>
            <w:tcBorders>
              <w:bottom w:val="single" w:sz="8" w:color="auto"/>
              <w:right w:val="single" w:sz="8" w:color="auto"/>
            </w:tcBorders>
          </w:tcPr>
          <w:p>
            <w:pPr>
              <w:spacing w:after="0"/>
              <w:rPr>
                <w:sz w:val="9"/>
                <w:szCs w:val="9"/>
                <w:color w:val="auto"/>
              </w:rPr>
            </w:pPr>
          </w:p>
        </w:tc>
        <w:tc>
          <w:tcPr>
            <w:tcW w:w="2220" w:type="dxa"/>
            <w:vAlign w:val="bottom"/>
            <w:tcBorders>
              <w:bottom w:val="single" w:sz="8" w:color="auto"/>
              <w:right w:val="single" w:sz="8" w:color="auto"/>
            </w:tcBorders>
          </w:tcPr>
          <w:p>
            <w:pPr>
              <w:spacing w:after="0"/>
              <w:rPr>
                <w:sz w:val="9"/>
                <w:szCs w:val="9"/>
                <w:color w:val="auto"/>
              </w:rPr>
            </w:pPr>
          </w:p>
        </w:tc>
        <w:tc>
          <w:tcPr>
            <w:tcW w:w="2200" w:type="dxa"/>
            <w:vAlign w:val="bottom"/>
            <w:tcBorders>
              <w:bottom w:val="single" w:sz="8" w:color="auto"/>
              <w:right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71"/>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Wells Fargo Bank, National Association</w:t>
            </w:r>
          </w:p>
        </w:tc>
        <w:tc>
          <w:tcPr>
            <w:tcW w:w="2080" w:type="dxa"/>
            <w:vAlign w:val="bottom"/>
            <w:tcBorders>
              <w:right w:val="single" w:sz="8" w:color="auto"/>
            </w:tcBorders>
          </w:tcPr>
          <w:p>
            <w:pPr>
              <w:jc w:val="center"/>
              <w:ind w:right="988"/>
              <w:spacing w:after="0"/>
              <w:rPr>
                <w:sz w:val="20"/>
                <w:szCs w:val="20"/>
                <w:color w:val="auto"/>
              </w:rPr>
            </w:pPr>
            <w:r>
              <w:rPr>
                <w:rFonts w:ascii="Arial" w:cs="Arial" w:eastAsia="Arial" w:hAnsi="Arial"/>
                <w:sz w:val="14"/>
                <w:szCs w:val="14"/>
                <w:color w:val="auto"/>
                <w:w w:val="92"/>
              </w:rPr>
              <w:t>$35,000,000.00</w:t>
            </w:r>
          </w:p>
        </w:tc>
        <w:tc>
          <w:tcPr>
            <w:tcW w:w="2220" w:type="dxa"/>
            <w:vAlign w:val="bottom"/>
            <w:tcBorders>
              <w:right w:val="single" w:sz="8" w:color="auto"/>
            </w:tcBorders>
          </w:tcPr>
          <w:p>
            <w:pPr>
              <w:jc w:val="right"/>
              <w:ind w:right="1148"/>
              <w:spacing w:after="0"/>
              <w:rPr>
                <w:sz w:val="20"/>
                <w:szCs w:val="20"/>
                <w:color w:val="auto"/>
              </w:rPr>
            </w:pPr>
            <w:r>
              <w:rPr>
                <w:rFonts w:ascii="Arial" w:cs="Arial" w:eastAsia="Arial" w:hAnsi="Arial"/>
                <w:sz w:val="14"/>
                <w:szCs w:val="14"/>
                <w:color w:val="auto"/>
                <w:w w:val="96"/>
              </w:rPr>
              <w:t>28.000000000%</w:t>
            </w:r>
          </w:p>
        </w:tc>
        <w:tc>
          <w:tcPr>
            <w:tcW w:w="22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$5,000,000.00</w:t>
            </w:r>
          </w:p>
        </w:tc>
        <w:tc>
          <w:tcPr>
            <w:tcW w:w="2200" w:type="dxa"/>
            <w:vAlign w:val="bottom"/>
            <w:tcBorders>
              <w:right w:val="single" w:sz="8" w:color="auto"/>
            </w:tcBorders>
          </w:tcPr>
          <w:p>
            <w:pPr>
              <w:jc w:val="right"/>
              <w:ind w:right="1128"/>
              <w:spacing w:after="0"/>
              <w:rPr>
                <w:sz w:val="20"/>
                <w:szCs w:val="20"/>
                <w:color w:val="auto"/>
              </w:rPr>
            </w:pPr>
            <w:r>
              <w:rPr>
                <w:rFonts w:ascii="Arial" w:cs="Arial" w:eastAsia="Arial" w:hAnsi="Arial"/>
                <w:sz w:val="14"/>
                <w:szCs w:val="14"/>
                <w:color w:val="auto"/>
                <w:w w:val="96"/>
              </w:rPr>
              <w:t>33.333333333%</w:t>
            </w:r>
          </w:p>
        </w:tc>
        <w:tc>
          <w:tcPr>
            <w:tcW w:w="20" w:type="dxa"/>
            <w:vAlign w:val="bottom"/>
          </w:tcPr>
          <w:p>
            <w:pPr>
              <w:spacing w:after="0"/>
              <w:rPr>
                <w:sz w:val="14"/>
                <w:szCs w:val="14"/>
                <w:color w:val="auto"/>
              </w:rPr>
            </w:pPr>
          </w:p>
        </w:tc>
      </w:tr>
      <w:tr>
        <w:trPr>
          <w:trHeight w:val="142"/>
        </w:trPr>
        <w:tc>
          <w:tcPr>
            <w:tcW w:w="2760" w:type="dxa"/>
            <w:vAlign w:val="bottom"/>
            <w:tcBorders>
              <w:left w:val="single" w:sz="8" w:color="auto"/>
              <w:bottom w:val="single" w:sz="8" w:color="auto"/>
              <w:right w:val="single" w:sz="8" w:color="auto"/>
            </w:tcBorders>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2220" w:type="dxa"/>
            <w:vAlign w:val="bottom"/>
            <w:tcBorders>
              <w:bottom w:val="single" w:sz="8" w:color="auto"/>
              <w:right w:val="single" w:sz="8" w:color="auto"/>
            </w:tcBorders>
          </w:tcPr>
          <w:p>
            <w:pPr>
              <w:spacing w:after="0"/>
              <w:rPr>
                <w:sz w:val="12"/>
                <w:szCs w:val="12"/>
                <w:color w:val="auto"/>
              </w:rPr>
            </w:pPr>
          </w:p>
        </w:tc>
        <w:tc>
          <w:tcPr>
            <w:tcW w:w="2220" w:type="dxa"/>
            <w:vAlign w:val="bottom"/>
            <w:tcBorders>
              <w:bottom w:val="single" w:sz="8" w:color="auto"/>
              <w:right w:val="single" w:sz="8" w:color="auto"/>
            </w:tcBorders>
          </w:tcPr>
          <w:p>
            <w:pPr>
              <w:spacing w:after="0"/>
              <w:rPr>
                <w:sz w:val="12"/>
                <w:szCs w:val="12"/>
                <w:color w:val="auto"/>
              </w:rPr>
            </w:pPr>
          </w:p>
        </w:tc>
        <w:tc>
          <w:tcPr>
            <w:tcW w:w="2200" w:type="dxa"/>
            <w:vAlign w:val="bottom"/>
            <w:tcBorders>
              <w:bottom w:val="single" w:sz="8" w:color="auto"/>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71"/>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Citizens Bank, N.A.</w:t>
            </w:r>
          </w:p>
        </w:tc>
        <w:tc>
          <w:tcPr>
            <w:tcW w:w="2080" w:type="dxa"/>
            <w:vAlign w:val="bottom"/>
            <w:tcBorders>
              <w:right w:val="single" w:sz="8" w:color="auto"/>
            </w:tcBorders>
          </w:tcPr>
          <w:p>
            <w:pPr>
              <w:jc w:val="center"/>
              <w:ind w:right="988"/>
              <w:spacing w:after="0"/>
              <w:rPr>
                <w:sz w:val="20"/>
                <w:szCs w:val="20"/>
                <w:color w:val="auto"/>
              </w:rPr>
            </w:pPr>
            <w:r>
              <w:rPr>
                <w:rFonts w:ascii="Arial" w:cs="Arial" w:eastAsia="Arial" w:hAnsi="Arial"/>
                <w:sz w:val="14"/>
                <w:szCs w:val="14"/>
                <w:color w:val="auto"/>
                <w:w w:val="92"/>
              </w:rPr>
              <w:t>$35,000,000.00</w:t>
            </w:r>
          </w:p>
        </w:tc>
        <w:tc>
          <w:tcPr>
            <w:tcW w:w="2220" w:type="dxa"/>
            <w:vAlign w:val="bottom"/>
            <w:tcBorders>
              <w:right w:val="single" w:sz="8" w:color="auto"/>
            </w:tcBorders>
          </w:tcPr>
          <w:p>
            <w:pPr>
              <w:jc w:val="right"/>
              <w:ind w:right="1148"/>
              <w:spacing w:after="0"/>
              <w:rPr>
                <w:sz w:val="20"/>
                <w:szCs w:val="20"/>
                <w:color w:val="auto"/>
              </w:rPr>
            </w:pPr>
            <w:r>
              <w:rPr>
                <w:rFonts w:ascii="Arial" w:cs="Arial" w:eastAsia="Arial" w:hAnsi="Arial"/>
                <w:sz w:val="14"/>
                <w:szCs w:val="14"/>
                <w:color w:val="auto"/>
                <w:w w:val="96"/>
              </w:rPr>
              <w:t>28.000000000%</w:t>
            </w:r>
          </w:p>
        </w:tc>
        <w:tc>
          <w:tcPr>
            <w:tcW w:w="2220" w:type="dxa"/>
            <w:vAlign w:val="bottom"/>
            <w:tcBorders>
              <w:right w:val="single" w:sz="8" w:color="auto"/>
            </w:tcBorders>
          </w:tcPr>
          <w:p>
            <w:pPr>
              <w:spacing w:after="0"/>
              <w:rPr>
                <w:sz w:val="14"/>
                <w:szCs w:val="14"/>
                <w:color w:val="auto"/>
              </w:rPr>
            </w:pPr>
          </w:p>
        </w:tc>
        <w:tc>
          <w:tcPr>
            <w:tcW w:w="22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15"/>
        </w:trPr>
        <w:tc>
          <w:tcPr>
            <w:tcW w:w="2760" w:type="dxa"/>
            <w:vAlign w:val="bottom"/>
            <w:tcBorders>
              <w:left w:val="single" w:sz="8" w:color="auto"/>
              <w:bottom w:val="single" w:sz="8" w:color="auto"/>
              <w:right w:val="single" w:sz="8" w:color="auto"/>
            </w:tcBorders>
          </w:tcPr>
          <w:p>
            <w:pPr>
              <w:spacing w:after="0"/>
              <w:rPr>
                <w:sz w:val="9"/>
                <w:szCs w:val="9"/>
                <w:color w:val="auto"/>
              </w:rPr>
            </w:pPr>
          </w:p>
        </w:tc>
        <w:tc>
          <w:tcPr>
            <w:tcW w:w="2080" w:type="dxa"/>
            <w:vAlign w:val="bottom"/>
            <w:tcBorders>
              <w:bottom w:val="single" w:sz="8" w:color="auto"/>
              <w:right w:val="single" w:sz="8" w:color="auto"/>
            </w:tcBorders>
          </w:tcPr>
          <w:p>
            <w:pPr>
              <w:spacing w:after="0"/>
              <w:rPr>
                <w:sz w:val="9"/>
                <w:szCs w:val="9"/>
                <w:color w:val="auto"/>
              </w:rPr>
            </w:pPr>
          </w:p>
        </w:tc>
        <w:tc>
          <w:tcPr>
            <w:tcW w:w="2220" w:type="dxa"/>
            <w:vAlign w:val="bottom"/>
            <w:tcBorders>
              <w:bottom w:val="single" w:sz="8" w:color="auto"/>
              <w:right w:val="single" w:sz="8" w:color="auto"/>
            </w:tcBorders>
          </w:tcPr>
          <w:p>
            <w:pPr>
              <w:spacing w:after="0"/>
              <w:rPr>
                <w:sz w:val="9"/>
                <w:szCs w:val="9"/>
                <w:color w:val="auto"/>
              </w:rPr>
            </w:pPr>
          </w:p>
        </w:tc>
        <w:tc>
          <w:tcPr>
            <w:tcW w:w="2220" w:type="dxa"/>
            <w:vAlign w:val="bottom"/>
            <w:tcBorders>
              <w:bottom w:val="single" w:sz="8" w:color="auto"/>
              <w:right w:val="single" w:sz="8" w:color="auto"/>
            </w:tcBorders>
          </w:tcPr>
          <w:p>
            <w:pPr>
              <w:spacing w:after="0"/>
              <w:rPr>
                <w:sz w:val="9"/>
                <w:szCs w:val="9"/>
                <w:color w:val="auto"/>
              </w:rPr>
            </w:pPr>
          </w:p>
        </w:tc>
        <w:tc>
          <w:tcPr>
            <w:tcW w:w="2200" w:type="dxa"/>
            <w:vAlign w:val="bottom"/>
            <w:tcBorders>
              <w:bottom w:val="single" w:sz="8" w:color="auto"/>
              <w:right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51"/>
        </w:trPr>
        <w:tc>
          <w:tcPr>
            <w:tcW w:w="2760" w:type="dxa"/>
            <w:vAlign w:val="bottom"/>
            <w:tcBorders>
              <w:left w:val="single" w:sz="8" w:color="auto"/>
              <w:bottom w:val="single" w:sz="8" w:color="auto"/>
              <w:right w:val="single" w:sz="8" w:color="auto"/>
            </w:tcBorders>
          </w:tcPr>
          <w:p>
            <w:pPr>
              <w:ind w:left="40"/>
              <w:spacing w:after="0" w:line="151" w:lineRule="exact"/>
              <w:rPr>
                <w:sz w:val="20"/>
                <w:szCs w:val="20"/>
                <w:color w:val="auto"/>
              </w:rPr>
            </w:pPr>
            <w:r>
              <w:rPr>
                <w:rFonts w:ascii="Arial" w:cs="Arial" w:eastAsia="Arial" w:hAnsi="Arial"/>
                <w:sz w:val="14"/>
                <w:szCs w:val="14"/>
                <w:b w:val="1"/>
                <w:bCs w:val="1"/>
                <w:color w:val="auto"/>
              </w:rPr>
              <w:t>TOTAL</w:t>
            </w:r>
          </w:p>
        </w:tc>
        <w:tc>
          <w:tcPr>
            <w:tcW w:w="2080" w:type="dxa"/>
            <w:vAlign w:val="bottom"/>
            <w:tcBorders>
              <w:bottom w:val="single" w:sz="8" w:color="auto"/>
              <w:right w:val="single" w:sz="8" w:color="auto"/>
            </w:tcBorders>
          </w:tcPr>
          <w:p>
            <w:pPr>
              <w:jc w:val="center"/>
              <w:ind w:right="968"/>
              <w:spacing w:after="0" w:line="151" w:lineRule="exact"/>
              <w:rPr>
                <w:sz w:val="20"/>
                <w:szCs w:val="20"/>
                <w:color w:val="auto"/>
              </w:rPr>
            </w:pPr>
            <w:r>
              <w:rPr>
                <w:rFonts w:ascii="Arial" w:cs="Arial" w:eastAsia="Arial" w:hAnsi="Arial"/>
                <w:sz w:val="14"/>
                <w:szCs w:val="14"/>
                <w:b w:val="1"/>
                <w:bCs w:val="1"/>
                <w:color w:val="auto"/>
                <w:w w:val="91"/>
              </w:rPr>
              <w:t>$125,000,000.00</w:t>
            </w:r>
          </w:p>
        </w:tc>
        <w:tc>
          <w:tcPr>
            <w:tcW w:w="2220" w:type="dxa"/>
            <w:vAlign w:val="bottom"/>
            <w:tcBorders>
              <w:bottom w:val="single" w:sz="8" w:color="auto"/>
              <w:right w:val="single" w:sz="8" w:color="auto"/>
            </w:tcBorders>
          </w:tcPr>
          <w:p>
            <w:pPr>
              <w:jc w:val="right"/>
              <w:ind w:right="1068"/>
              <w:spacing w:after="0" w:line="151" w:lineRule="exact"/>
              <w:rPr>
                <w:sz w:val="20"/>
                <w:szCs w:val="20"/>
                <w:color w:val="auto"/>
              </w:rPr>
            </w:pPr>
            <w:r>
              <w:rPr>
                <w:rFonts w:ascii="Arial" w:cs="Arial" w:eastAsia="Arial" w:hAnsi="Arial"/>
                <w:sz w:val="14"/>
                <w:szCs w:val="14"/>
                <w:b w:val="1"/>
                <w:bCs w:val="1"/>
                <w:color w:val="auto"/>
                <w:w w:val="96"/>
              </w:rPr>
              <w:t>100.000000000%</w:t>
            </w:r>
          </w:p>
        </w:tc>
        <w:tc>
          <w:tcPr>
            <w:tcW w:w="2220" w:type="dxa"/>
            <w:vAlign w:val="bottom"/>
            <w:tcBorders>
              <w:bottom w:val="single" w:sz="8" w:color="auto"/>
              <w:right w:val="single" w:sz="8" w:color="auto"/>
            </w:tcBorders>
          </w:tcPr>
          <w:p>
            <w:pPr>
              <w:jc w:val="right"/>
              <w:ind w:right="1208"/>
              <w:spacing w:after="0" w:line="151" w:lineRule="exact"/>
              <w:rPr>
                <w:sz w:val="20"/>
                <w:szCs w:val="20"/>
                <w:color w:val="auto"/>
              </w:rPr>
            </w:pPr>
            <w:r>
              <w:rPr>
                <w:rFonts w:ascii="Arial" w:cs="Arial" w:eastAsia="Arial" w:hAnsi="Arial"/>
                <w:sz w:val="14"/>
                <w:szCs w:val="14"/>
                <w:b w:val="1"/>
                <w:bCs w:val="1"/>
                <w:color w:val="auto"/>
                <w:w w:val="94"/>
              </w:rPr>
              <w:t>$15,000,000.00</w:t>
            </w:r>
          </w:p>
        </w:tc>
        <w:tc>
          <w:tcPr>
            <w:tcW w:w="2200" w:type="dxa"/>
            <w:vAlign w:val="bottom"/>
            <w:tcBorders>
              <w:bottom w:val="single" w:sz="8" w:color="auto"/>
              <w:right w:val="single" w:sz="8" w:color="auto"/>
            </w:tcBorders>
          </w:tcPr>
          <w:p>
            <w:pPr>
              <w:jc w:val="right"/>
              <w:ind w:right="1048"/>
              <w:spacing w:after="0" w:line="151" w:lineRule="exact"/>
              <w:rPr>
                <w:sz w:val="20"/>
                <w:szCs w:val="20"/>
                <w:color w:val="auto"/>
              </w:rPr>
            </w:pPr>
            <w:r>
              <w:rPr>
                <w:rFonts w:ascii="Arial" w:cs="Arial" w:eastAsia="Arial" w:hAnsi="Arial"/>
                <w:sz w:val="14"/>
                <w:szCs w:val="14"/>
                <w:b w:val="1"/>
                <w:bCs w:val="1"/>
                <w:color w:val="auto"/>
                <w:w w:val="96"/>
              </w:rPr>
              <w:t>100.000000000%</w:t>
            </w:r>
          </w:p>
        </w:tc>
        <w:tc>
          <w:tcPr>
            <w:tcW w:w="20" w:type="dxa"/>
            <w:vAlign w:val="bottom"/>
          </w:tcPr>
          <w:p>
            <w:pPr>
              <w:spacing w:after="0"/>
              <w:rPr>
                <w:sz w:val="13"/>
                <w:szCs w:val="13"/>
                <w:color w:val="auto"/>
              </w:rPr>
            </w:pPr>
          </w:p>
        </w:tc>
      </w:tr>
      <w:tr>
        <w:trPr>
          <w:trHeight w:val="358"/>
        </w:trPr>
        <w:tc>
          <w:tcPr>
            <w:tcW w:w="276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28" w:right="179" w:bottom="1440" w:gutter="0" w:footer="0" w:header="0"/>
        </w:sectPr>
      </w:pPr>
    </w:p>
    <w:bookmarkStart w:id="152" w:name="page153"/>
    <w:bookmarkEnd w:id="152"/>
    <w:p>
      <w:pPr>
        <w:jc w:val="center"/>
        <w:ind w:right="20"/>
        <w:spacing w:after="0"/>
        <w:rPr>
          <w:sz w:val="20"/>
          <w:szCs w:val="20"/>
          <w:color w:val="auto"/>
        </w:rPr>
      </w:pPr>
      <w:r>
        <w:rPr>
          <w:rFonts w:ascii="Arial" w:cs="Arial" w:eastAsia="Arial" w:hAnsi="Arial"/>
          <w:sz w:val="13"/>
          <w:szCs w:val="13"/>
          <w:color w:val="auto"/>
        </w:rPr>
        <w:t>Schedule 2.03</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Existing Letters of Credit</w:t>
      </w:r>
    </w:p>
    <w:p>
      <w:pPr>
        <w:spacing w:after="0" w:line="111" w:lineRule="exact"/>
        <w:rPr>
          <w:sz w:val="20"/>
          <w:szCs w:val="20"/>
          <w:color w:val="auto"/>
        </w:rPr>
      </w:pPr>
    </w:p>
    <w:p>
      <w:pPr>
        <w:spacing w:after="0" w:line="314" w:lineRule="auto"/>
        <w:rPr>
          <w:sz w:val="20"/>
          <w:szCs w:val="20"/>
          <w:color w:val="auto"/>
        </w:rPr>
      </w:pPr>
      <w:r>
        <w:rPr>
          <w:rFonts w:ascii="Arial" w:cs="Arial" w:eastAsia="Arial" w:hAnsi="Arial"/>
          <w:sz w:val="12"/>
          <w:szCs w:val="12"/>
          <w:color w:val="auto"/>
        </w:rPr>
        <w:t>Standby Letter of Credit between Casual Male Retail Group (now known as Destination XL Group, Inc.) and Pennsylvania Manufacturers’ Association Insurance Company, Pennsylvania Manufacturers Indemnity Company and Manufacturers Alliance Insurance Company, issued on July 14, 2011. Set to expire on July 1, 2018, with a current outstanding balance of $275,000 as of May 22, 2018.</w:t>
      </w:r>
    </w:p>
    <w:p>
      <w:pPr>
        <w:spacing w:after="0" w:line="71" w:lineRule="exact"/>
        <w:rPr>
          <w:sz w:val="20"/>
          <w:szCs w:val="20"/>
          <w:color w:val="auto"/>
        </w:rPr>
      </w:pPr>
    </w:p>
    <w:p>
      <w:pPr>
        <w:spacing w:after="0" w:line="271" w:lineRule="auto"/>
        <w:rPr>
          <w:sz w:val="20"/>
          <w:szCs w:val="20"/>
          <w:color w:val="auto"/>
        </w:rPr>
      </w:pPr>
      <w:r>
        <w:rPr>
          <w:rFonts w:ascii="Arial" w:cs="Arial" w:eastAsia="Arial" w:hAnsi="Arial"/>
          <w:sz w:val="13"/>
          <w:szCs w:val="13"/>
          <w:color w:val="auto"/>
        </w:rPr>
        <w:t>Standby Letter of Credit between Casual Male Retail Group (now known as Destination XL Group, Inc.) and Lake Success Shopping Center, LLC, issued on November 19, 2008. Set to expire on September 30, 2018, with a current outstanding balance of $59,680.83 as of May 22, 2018.</w:t>
      </w:r>
    </w:p>
    <w:p>
      <w:pPr>
        <w:spacing w:after="0" w:line="86" w:lineRule="exact"/>
        <w:rPr>
          <w:sz w:val="20"/>
          <w:szCs w:val="20"/>
          <w:color w:val="auto"/>
        </w:rPr>
      </w:pPr>
    </w:p>
    <w:p>
      <w:pPr>
        <w:spacing w:after="0" w:line="271" w:lineRule="auto"/>
        <w:rPr>
          <w:sz w:val="20"/>
          <w:szCs w:val="20"/>
          <w:color w:val="auto"/>
        </w:rPr>
      </w:pPr>
      <w:r>
        <w:rPr>
          <w:rFonts w:ascii="Arial" w:cs="Arial" w:eastAsia="Arial" w:hAnsi="Arial"/>
          <w:sz w:val="13"/>
          <w:szCs w:val="13"/>
          <w:color w:val="auto"/>
        </w:rPr>
        <w:t>Standby Letter of Credit between Casual Male Retail Group (now known as Destination XL Group, Inc.) and Ace American Insurance Company, issued on June 21, 2018. Set to expire on July 1, 2018, with a current outstanding balance of $25,114 as of May 22, 2018.</w:t>
      </w:r>
    </w:p>
    <w:p>
      <w:pPr>
        <w:spacing w:after="0" w:line="86" w:lineRule="exact"/>
        <w:rPr>
          <w:sz w:val="20"/>
          <w:szCs w:val="20"/>
          <w:color w:val="auto"/>
        </w:rPr>
      </w:pPr>
    </w:p>
    <w:p>
      <w:pPr>
        <w:spacing w:after="0" w:line="271" w:lineRule="auto"/>
        <w:rPr>
          <w:sz w:val="20"/>
          <w:szCs w:val="20"/>
          <w:color w:val="auto"/>
        </w:rPr>
      </w:pPr>
      <w:r>
        <w:rPr>
          <w:rFonts w:ascii="Arial" w:cs="Arial" w:eastAsia="Arial" w:hAnsi="Arial"/>
          <w:sz w:val="13"/>
          <w:szCs w:val="13"/>
          <w:color w:val="auto"/>
        </w:rPr>
        <w:t>Standby Letter of Credit between Casual Male Retail Group (now known as Destination XL Group, Inc.) and Liberty Mutual Insurance Company, issued on July 05, 2007. Set to expire on July 1, 2018, with a current outstanding balance of $1,566,000 as of May 22, 2018.</w:t>
      </w:r>
    </w:p>
    <w:p>
      <w:pPr>
        <w:spacing w:after="0" w:line="95" w:lineRule="exact"/>
        <w:rPr>
          <w:sz w:val="20"/>
          <w:szCs w:val="20"/>
          <w:color w:val="auto"/>
        </w:rPr>
      </w:pPr>
    </w:p>
    <w:p>
      <w:pPr>
        <w:spacing w:after="0" w:line="271" w:lineRule="auto"/>
        <w:rPr>
          <w:sz w:val="20"/>
          <w:szCs w:val="20"/>
          <w:color w:val="auto"/>
        </w:rPr>
      </w:pPr>
      <w:r>
        <w:rPr>
          <w:rFonts w:ascii="Arial" w:cs="Arial" w:eastAsia="Arial" w:hAnsi="Arial"/>
          <w:sz w:val="13"/>
          <w:szCs w:val="13"/>
          <w:color w:val="auto"/>
        </w:rPr>
        <w:t>Documentary Letter of Credit between Destination XL Group, Inc. and Bando Global Co. Ltd, issued on April 19, 2018. Set to expire on August 9, 2018, with a current outstanding balance of $65,974.30 as of May 22, 2018.</w:t>
      </w:r>
    </w:p>
    <w:p>
      <w:pPr>
        <w:spacing w:after="0" w:line="86" w:lineRule="exact"/>
        <w:rPr>
          <w:sz w:val="20"/>
          <w:szCs w:val="20"/>
          <w:color w:val="auto"/>
        </w:rPr>
      </w:pPr>
    </w:p>
    <w:p>
      <w:pPr>
        <w:spacing w:after="0" w:line="271" w:lineRule="auto"/>
        <w:rPr>
          <w:sz w:val="20"/>
          <w:szCs w:val="20"/>
          <w:color w:val="auto"/>
        </w:rPr>
      </w:pPr>
      <w:r>
        <w:rPr>
          <w:rFonts w:ascii="Arial" w:cs="Arial" w:eastAsia="Arial" w:hAnsi="Arial"/>
          <w:sz w:val="13"/>
          <w:szCs w:val="13"/>
          <w:color w:val="auto"/>
        </w:rPr>
        <w:t>Documentary Letter of Credit between Destination XL Group, Inc. and Bando Global Co. Ltd, issued on April 19, 2018. Set to expire on October 31, 2018, with a current outstanding balance of $1,329,071.46 as of May 22, 2018.</w:t>
      </w:r>
    </w:p>
    <w:p>
      <w:pPr>
        <w:spacing w:after="0" w:line="86" w:lineRule="exact"/>
        <w:rPr>
          <w:sz w:val="20"/>
          <w:szCs w:val="20"/>
          <w:color w:val="auto"/>
        </w:rPr>
      </w:pPr>
    </w:p>
    <w:p>
      <w:pPr>
        <w:spacing w:after="0" w:line="271" w:lineRule="auto"/>
        <w:rPr>
          <w:sz w:val="20"/>
          <w:szCs w:val="20"/>
          <w:color w:val="auto"/>
        </w:rPr>
      </w:pPr>
      <w:r>
        <w:rPr>
          <w:rFonts w:ascii="Arial" w:cs="Arial" w:eastAsia="Arial" w:hAnsi="Arial"/>
          <w:sz w:val="13"/>
          <w:szCs w:val="13"/>
          <w:color w:val="auto"/>
        </w:rPr>
        <w:t>Documentary Letter of Credit between Destination XL Group, Inc. and Bando Global Co. Ltd, issued on February 23, 2018. Set to expire on May 30, 2018, with a current outstanding balance of $23,499.54 as of May 22, 2018.</w:t>
      </w:r>
    </w:p>
    <w:p>
      <w:pPr>
        <w:spacing w:after="0" w:line="95" w:lineRule="exact"/>
        <w:rPr>
          <w:sz w:val="20"/>
          <w:szCs w:val="20"/>
          <w:color w:val="auto"/>
        </w:rPr>
      </w:pPr>
    </w:p>
    <w:p>
      <w:pPr>
        <w:spacing w:after="0" w:line="271" w:lineRule="auto"/>
        <w:rPr>
          <w:sz w:val="20"/>
          <w:szCs w:val="20"/>
          <w:color w:val="auto"/>
        </w:rPr>
      </w:pPr>
      <w:r>
        <w:rPr>
          <w:rFonts w:ascii="Arial" w:cs="Arial" w:eastAsia="Arial" w:hAnsi="Arial"/>
          <w:sz w:val="13"/>
          <w:szCs w:val="13"/>
          <w:color w:val="auto"/>
        </w:rPr>
        <w:t>Standby Letter of Credit between Destination XL Group, Inc. and SACA Development LLC, issued on April 7, 2010. Set to expire on April 6, 2019, with a current outstanding balance of $105,864 as of May 22, 2018.</w:t>
      </w:r>
    </w:p>
    <w:p>
      <w:pPr>
        <w:spacing w:after="0" w:line="86" w:lineRule="exact"/>
        <w:rPr>
          <w:sz w:val="20"/>
          <w:szCs w:val="20"/>
          <w:color w:val="auto"/>
        </w:rPr>
      </w:pPr>
    </w:p>
    <w:p>
      <w:pPr>
        <w:spacing w:after="0" w:line="271" w:lineRule="auto"/>
        <w:rPr>
          <w:sz w:val="20"/>
          <w:szCs w:val="20"/>
          <w:color w:val="auto"/>
        </w:rPr>
      </w:pPr>
      <w:r>
        <w:rPr>
          <w:rFonts w:ascii="Arial" w:cs="Arial" w:eastAsia="Arial" w:hAnsi="Arial"/>
          <w:sz w:val="13"/>
          <w:szCs w:val="13"/>
          <w:color w:val="auto"/>
        </w:rPr>
        <w:t>Standby Letter of Credit between Destination XL Group, Inc. and Travelers Casualty and Surety, issued on February 22, 2017. Set to expire on February 15, 2019, with a current outstanding balance of $700,000 as of May 22,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208280</wp:posOffset>
            </wp:positionV>
            <wp:extent cx="7329170" cy="368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000"/>
          </w:cols>
          <w:pgMar w:left="460" w:top="128" w:right="439" w:bottom="1440" w:gutter="0" w:footer="0" w:header="0"/>
        </w:sectPr>
      </w:pPr>
    </w:p>
    <w:bookmarkStart w:id="153" w:name="page154"/>
    <w:bookmarkEnd w:id="153"/>
    <w:p>
      <w:pPr>
        <w:jc w:val="center"/>
        <w:ind w:right="40"/>
        <w:spacing w:after="0"/>
        <w:rPr>
          <w:sz w:val="20"/>
          <w:szCs w:val="20"/>
          <w:color w:val="auto"/>
        </w:rPr>
      </w:pPr>
      <w:r>
        <w:rPr>
          <w:rFonts w:ascii="Arial" w:cs="Arial" w:eastAsia="Arial" w:hAnsi="Arial"/>
          <w:sz w:val="13"/>
          <w:szCs w:val="13"/>
          <w:color w:val="auto"/>
        </w:rPr>
        <w:t>Schedule 5.01</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Loan Parties Organizational Information</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80" w:type="dxa"/>
            <w:vAlign w:val="bottom"/>
            <w:tcBorders>
              <w:right w:val="single" w:sz="8" w:color="auto"/>
            </w:tcBorders>
          </w:tcPr>
          <w:p>
            <w:pPr>
              <w:spacing w:after="0"/>
              <w:rPr>
                <w:sz w:val="12"/>
                <w:szCs w:val="12"/>
                <w:color w:val="auto"/>
              </w:rPr>
            </w:pPr>
          </w:p>
        </w:tc>
        <w:tc>
          <w:tcPr>
            <w:tcW w:w="3680" w:type="dxa"/>
            <w:vAlign w:val="bottom"/>
            <w:tcBorders>
              <w:top w:val="single" w:sz="8" w:color="auto"/>
              <w:right w:val="single" w:sz="8" w:color="auto"/>
            </w:tcBorders>
            <w:vMerge w:val="restart"/>
            <w:shd w:val="clear" w:color="auto" w:fill="BEBEBE"/>
          </w:tcPr>
          <w:p>
            <w:pPr>
              <w:ind w:left="380"/>
              <w:spacing w:after="0"/>
              <w:rPr>
                <w:sz w:val="20"/>
                <w:szCs w:val="20"/>
                <w:color w:val="auto"/>
              </w:rPr>
            </w:pPr>
            <w:r>
              <w:rPr>
                <w:rFonts w:ascii="Arial" w:cs="Arial" w:eastAsia="Arial" w:hAnsi="Arial"/>
                <w:sz w:val="13"/>
                <w:szCs w:val="13"/>
                <w:b w:val="1"/>
                <w:bCs w:val="1"/>
                <w:color w:val="auto"/>
              </w:rPr>
              <w:t>Loan Party’s Name</w:t>
            </w:r>
          </w:p>
        </w:tc>
        <w:tc>
          <w:tcPr>
            <w:tcW w:w="2260" w:type="dxa"/>
            <w:vAlign w:val="bottom"/>
            <w:tcBorders>
              <w:top w:val="single" w:sz="8" w:color="auto"/>
              <w:right w:val="single" w:sz="8" w:color="auto"/>
            </w:tcBorders>
            <w:shd w:val="clear" w:color="auto" w:fill="BEBEBE"/>
          </w:tcPr>
          <w:p>
            <w:pPr>
              <w:ind w:left="440"/>
              <w:spacing w:after="0" w:line="148" w:lineRule="exact"/>
              <w:rPr>
                <w:sz w:val="20"/>
                <w:szCs w:val="20"/>
                <w:color w:val="auto"/>
              </w:rPr>
            </w:pPr>
            <w:r>
              <w:rPr>
                <w:rFonts w:ascii="Arial" w:cs="Arial" w:eastAsia="Arial" w:hAnsi="Arial"/>
                <w:sz w:val="13"/>
                <w:szCs w:val="13"/>
                <w:b w:val="1"/>
                <w:bCs w:val="1"/>
                <w:color w:val="auto"/>
              </w:rPr>
              <w:t>State of Incorporation or</w:t>
            </w:r>
          </w:p>
        </w:tc>
        <w:tc>
          <w:tcPr>
            <w:tcW w:w="2440" w:type="dxa"/>
            <w:vAlign w:val="bottom"/>
            <w:tcBorders>
              <w:top w:val="single" w:sz="8" w:color="auto"/>
              <w:right w:val="single" w:sz="8" w:color="auto"/>
            </w:tcBorders>
            <w:vMerge w:val="restart"/>
            <w:shd w:val="clear" w:color="auto" w:fill="BEBEBE"/>
          </w:tcPr>
          <w:p>
            <w:pPr>
              <w:ind w:left="80"/>
              <w:spacing w:after="0"/>
              <w:rPr>
                <w:sz w:val="20"/>
                <w:szCs w:val="20"/>
                <w:color w:val="auto"/>
              </w:rPr>
            </w:pPr>
            <w:r>
              <w:rPr>
                <w:rFonts w:ascii="Arial" w:cs="Arial" w:eastAsia="Arial" w:hAnsi="Arial"/>
                <w:sz w:val="13"/>
                <w:szCs w:val="13"/>
                <w:b w:val="1"/>
                <w:bCs w:val="1"/>
                <w:color w:val="auto"/>
              </w:rPr>
              <w:t>Organization Type</w:t>
            </w:r>
          </w:p>
        </w:tc>
        <w:tc>
          <w:tcPr>
            <w:tcW w:w="1960" w:type="dxa"/>
            <w:vAlign w:val="bottom"/>
            <w:tcBorders>
              <w:top w:val="single" w:sz="8" w:color="auto"/>
              <w:right w:val="single" w:sz="8" w:color="auto"/>
            </w:tcBorders>
            <w:shd w:val="clear" w:color="auto" w:fill="BEBEBE"/>
          </w:tcPr>
          <w:p>
            <w:pPr>
              <w:ind w:left="180"/>
              <w:spacing w:after="0" w:line="148" w:lineRule="exact"/>
              <w:rPr>
                <w:sz w:val="20"/>
                <w:szCs w:val="20"/>
                <w:color w:val="auto"/>
              </w:rPr>
            </w:pPr>
            <w:r>
              <w:rPr>
                <w:rFonts w:ascii="Arial" w:cs="Arial" w:eastAsia="Arial" w:hAnsi="Arial"/>
                <w:sz w:val="13"/>
                <w:szCs w:val="13"/>
                <w:b w:val="1"/>
                <w:bCs w:val="1"/>
                <w:color w:val="auto"/>
              </w:rPr>
              <w:t>Organization Number, if any</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580" w:type="dxa"/>
            <w:vAlign w:val="bottom"/>
            <w:tcBorders>
              <w:right w:val="single" w:sz="8" w:color="auto"/>
            </w:tcBorders>
          </w:tcPr>
          <w:p>
            <w:pPr>
              <w:spacing w:after="0"/>
              <w:rPr>
                <w:sz w:val="14"/>
                <w:szCs w:val="14"/>
                <w:color w:val="auto"/>
              </w:rPr>
            </w:pPr>
          </w:p>
        </w:tc>
        <w:tc>
          <w:tcPr>
            <w:tcW w:w="3680" w:type="dxa"/>
            <w:vAlign w:val="bottom"/>
            <w:tcBorders>
              <w:right w:val="single" w:sz="8" w:color="auto"/>
            </w:tcBorders>
            <w:vMerge w:val="continue"/>
            <w:shd w:val="clear" w:color="auto" w:fill="BEBEBE"/>
          </w:tcPr>
          <w:p>
            <w:pPr>
              <w:spacing w:after="0"/>
              <w:rPr>
                <w:sz w:val="14"/>
                <w:szCs w:val="14"/>
                <w:color w:val="auto"/>
              </w:rPr>
            </w:pPr>
          </w:p>
        </w:tc>
        <w:tc>
          <w:tcPr>
            <w:tcW w:w="2260" w:type="dxa"/>
            <w:vAlign w:val="bottom"/>
            <w:tcBorders>
              <w:right w:val="single" w:sz="8" w:color="auto"/>
            </w:tcBorders>
            <w:shd w:val="clear" w:color="auto" w:fill="BEBEBE"/>
          </w:tcPr>
          <w:p>
            <w:pPr>
              <w:ind w:left="780"/>
              <w:spacing w:after="0"/>
              <w:rPr>
                <w:sz w:val="20"/>
                <w:szCs w:val="20"/>
                <w:color w:val="auto"/>
              </w:rPr>
            </w:pPr>
            <w:r>
              <w:rPr>
                <w:rFonts w:ascii="Arial" w:cs="Arial" w:eastAsia="Arial" w:hAnsi="Arial"/>
                <w:sz w:val="13"/>
                <w:szCs w:val="13"/>
                <w:b w:val="1"/>
                <w:bCs w:val="1"/>
                <w:color w:val="auto"/>
              </w:rPr>
              <w:t>Organization</w:t>
            </w:r>
          </w:p>
        </w:tc>
        <w:tc>
          <w:tcPr>
            <w:tcW w:w="2440" w:type="dxa"/>
            <w:vAlign w:val="bottom"/>
            <w:tcBorders>
              <w:right w:val="single" w:sz="8" w:color="auto"/>
            </w:tcBorders>
            <w:vMerge w:val="continue"/>
            <w:shd w:val="clear" w:color="auto" w:fill="BEBEBE"/>
          </w:tcPr>
          <w:p>
            <w:pPr>
              <w:spacing w:after="0"/>
              <w:rPr>
                <w:sz w:val="14"/>
                <w:szCs w:val="14"/>
                <w:color w:val="auto"/>
              </w:rPr>
            </w:pPr>
          </w:p>
        </w:tc>
        <w:tc>
          <w:tcPr>
            <w:tcW w:w="1960" w:type="dxa"/>
            <w:vAlign w:val="bottom"/>
            <w:tcBorders>
              <w:right w:val="single" w:sz="8" w:color="auto"/>
            </w:tcBorders>
            <w:shd w:val="clear" w:color="auto" w:fill="BEBEBE"/>
          </w:tcPr>
          <w:p>
            <w:pPr>
              <w:ind w:left="700"/>
              <w:spacing w:after="0"/>
              <w:rPr>
                <w:sz w:val="20"/>
                <w:szCs w:val="20"/>
                <w:color w:val="auto"/>
              </w:rPr>
            </w:pPr>
            <w:r>
              <w:rPr>
                <w:rFonts w:ascii="Arial" w:cs="Arial" w:eastAsia="Arial" w:hAnsi="Arial"/>
                <w:sz w:val="13"/>
                <w:szCs w:val="13"/>
                <w:b w:val="1"/>
                <w:bCs w:val="1"/>
                <w:color w:val="auto"/>
              </w:rPr>
              <w:t>and FEIN</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580" w:type="dxa"/>
            <w:vAlign w:val="bottom"/>
            <w:tcBorders>
              <w:right w:val="single" w:sz="8" w:color="auto"/>
            </w:tcBorders>
          </w:tcPr>
          <w:p>
            <w:pPr>
              <w:spacing w:after="0"/>
              <w:rPr>
                <w:sz w:val="24"/>
                <w:szCs w:val="24"/>
                <w:color w:val="auto"/>
              </w:rPr>
            </w:pPr>
          </w:p>
        </w:tc>
        <w:tc>
          <w:tcPr>
            <w:tcW w:w="3680" w:type="dxa"/>
            <w:vAlign w:val="bottom"/>
            <w:tcBorders>
              <w:bottom w:val="single" w:sz="8" w:color="auto"/>
              <w:right w:val="single" w:sz="8" w:color="auto"/>
            </w:tcBorders>
            <w:shd w:val="clear" w:color="auto" w:fill="BEBEBE"/>
          </w:tcPr>
          <w:p>
            <w:pPr>
              <w:spacing w:after="0"/>
              <w:rPr>
                <w:sz w:val="24"/>
                <w:szCs w:val="24"/>
                <w:color w:val="auto"/>
              </w:rPr>
            </w:pPr>
          </w:p>
        </w:tc>
        <w:tc>
          <w:tcPr>
            <w:tcW w:w="2260" w:type="dxa"/>
            <w:vAlign w:val="bottom"/>
            <w:tcBorders>
              <w:bottom w:val="single" w:sz="8" w:color="auto"/>
              <w:right w:val="single" w:sz="8" w:color="auto"/>
            </w:tcBorders>
            <w:shd w:val="clear" w:color="auto" w:fill="BEBEBE"/>
          </w:tcPr>
          <w:p>
            <w:pPr>
              <w:spacing w:after="0"/>
              <w:rPr>
                <w:sz w:val="24"/>
                <w:szCs w:val="24"/>
                <w:color w:val="auto"/>
              </w:rPr>
            </w:pPr>
          </w:p>
        </w:tc>
        <w:tc>
          <w:tcPr>
            <w:tcW w:w="2440" w:type="dxa"/>
            <w:vAlign w:val="bottom"/>
            <w:tcBorders>
              <w:bottom w:val="single" w:sz="8" w:color="auto"/>
              <w:right w:val="single" w:sz="8" w:color="auto"/>
            </w:tcBorders>
            <w:shd w:val="clear" w:color="auto" w:fill="BEBEBE"/>
          </w:tcPr>
          <w:p>
            <w:pPr>
              <w:spacing w:after="0"/>
              <w:rPr>
                <w:sz w:val="24"/>
                <w:szCs w:val="24"/>
                <w:color w:val="auto"/>
              </w:rPr>
            </w:pPr>
          </w:p>
        </w:tc>
        <w:tc>
          <w:tcPr>
            <w:tcW w:w="1960" w:type="dxa"/>
            <w:vAlign w:val="bottom"/>
            <w:tcBorders>
              <w:bottom w:val="single" w:sz="8" w:color="auto"/>
              <w:right w:val="single" w:sz="8" w:color="auto"/>
            </w:tcBorders>
            <w:shd w:val="clear" w:color="auto" w:fill="BEBEBE"/>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80" w:type="dxa"/>
            <w:vAlign w:val="bottom"/>
            <w:tcBorders>
              <w:right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Destination XL Group, Inc.</w:t>
            </w: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Delaware</w:t>
            </w:r>
          </w:p>
        </w:tc>
        <w:tc>
          <w:tcPr>
            <w:tcW w:w="2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Corporation</w:t>
            </w:r>
          </w:p>
        </w:tc>
        <w:tc>
          <w:tcPr>
            <w:tcW w:w="1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04-2623104</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80" w:type="dxa"/>
            <w:vAlign w:val="bottom"/>
            <w:tcBorders>
              <w:right w:val="single" w:sz="8" w:color="auto"/>
            </w:tcBorders>
          </w:tcPr>
          <w:p>
            <w:pPr>
              <w:spacing w:after="0"/>
              <w:rPr>
                <w:sz w:val="13"/>
                <w:szCs w:val="13"/>
                <w:color w:val="auto"/>
              </w:rPr>
            </w:pPr>
          </w:p>
        </w:tc>
        <w:tc>
          <w:tcPr>
            <w:tcW w:w="3680" w:type="dxa"/>
            <w:vAlign w:val="bottom"/>
            <w:tcBorders>
              <w:right w:val="single" w:sz="8" w:color="auto"/>
            </w:tcBorders>
            <w:vMerge w:val="restart"/>
          </w:tcPr>
          <w:p>
            <w:pPr>
              <w:ind w:left="60"/>
              <w:spacing w:after="0"/>
              <w:rPr>
                <w:sz w:val="20"/>
                <w:szCs w:val="20"/>
                <w:color w:val="auto"/>
              </w:rPr>
            </w:pPr>
            <w:r>
              <w:rPr>
                <w:rFonts w:ascii="Arial" w:cs="Arial" w:eastAsia="Arial" w:hAnsi="Arial"/>
                <w:sz w:val="13"/>
                <w:szCs w:val="13"/>
                <w:color w:val="auto"/>
              </w:rPr>
              <w:t>CMRG Apparel, LLC</w:t>
            </w:r>
          </w:p>
        </w:tc>
        <w:tc>
          <w:tcPr>
            <w:tcW w:w="2260" w:type="dxa"/>
            <w:vAlign w:val="bottom"/>
            <w:tcBorders>
              <w:right w:val="single" w:sz="8" w:color="auto"/>
            </w:tcBorders>
            <w:vMerge w:val="restart"/>
          </w:tcPr>
          <w:p>
            <w:pPr>
              <w:ind w:left="60"/>
              <w:spacing w:after="0"/>
              <w:rPr>
                <w:sz w:val="20"/>
                <w:szCs w:val="20"/>
                <w:color w:val="auto"/>
              </w:rPr>
            </w:pPr>
            <w:r>
              <w:rPr>
                <w:rFonts w:ascii="Arial" w:cs="Arial" w:eastAsia="Arial" w:hAnsi="Arial"/>
                <w:sz w:val="13"/>
                <w:szCs w:val="13"/>
                <w:color w:val="auto"/>
              </w:rPr>
              <w:t>Delaware</w:t>
            </w:r>
          </w:p>
        </w:tc>
        <w:tc>
          <w:tcPr>
            <w:tcW w:w="244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Limited Liability Company</w:t>
            </w:r>
          </w:p>
        </w:tc>
        <w:tc>
          <w:tcPr>
            <w:tcW w:w="1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color w:val="auto"/>
              </w:rPr>
              <w:t>[ ]</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580" w:type="dxa"/>
            <w:vAlign w:val="bottom"/>
            <w:tcBorders>
              <w:right w:val="single" w:sz="8" w:color="auto"/>
            </w:tcBorders>
          </w:tcPr>
          <w:p>
            <w:pPr>
              <w:spacing w:after="0"/>
              <w:rPr>
                <w:sz w:val="11"/>
                <w:szCs w:val="11"/>
                <w:color w:val="auto"/>
              </w:rPr>
            </w:pPr>
          </w:p>
        </w:tc>
        <w:tc>
          <w:tcPr>
            <w:tcW w:w="3680" w:type="dxa"/>
            <w:vAlign w:val="bottom"/>
            <w:tcBorders>
              <w:bottom w:val="single" w:sz="8" w:color="auto"/>
              <w:right w:val="single" w:sz="8" w:color="auto"/>
            </w:tcBorders>
            <w:vMerge w:val="continue"/>
          </w:tcPr>
          <w:p>
            <w:pPr>
              <w:spacing w:after="0"/>
              <w:rPr>
                <w:sz w:val="11"/>
                <w:szCs w:val="11"/>
                <w:color w:val="auto"/>
              </w:rPr>
            </w:pPr>
          </w:p>
        </w:tc>
        <w:tc>
          <w:tcPr>
            <w:tcW w:w="2260" w:type="dxa"/>
            <w:vAlign w:val="bottom"/>
            <w:tcBorders>
              <w:bottom w:val="single" w:sz="8" w:color="auto"/>
              <w:right w:val="single" w:sz="8" w:color="auto"/>
            </w:tcBorders>
            <w:vMerge w:val="continue"/>
          </w:tcPr>
          <w:p>
            <w:pPr>
              <w:spacing w:after="0"/>
              <w:rPr>
                <w:sz w:val="11"/>
                <w:szCs w:val="11"/>
                <w:color w:val="auto"/>
              </w:rPr>
            </w:pPr>
          </w:p>
        </w:tc>
        <w:tc>
          <w:tcPr>
            <w:tcW w:w="2440" w:type="dxa"/>
            <w:vAlign w:val="bottom"/>
            <w:tcBorders>
              <w:bottom w:val="single" w:sz="8" w:color="auto"/>
              <w:right w:val="single" w:sz="8" w:color="auto"/>
            </w:tcBorders>
          </w:tcPr>
          <w:p>
            <w:pPr>
              <w:spacing w:after="0"/>
              <w:rPr>
                <w:sz w:val="11"/>
                <w:szCs w:val="11"/>
                <w:color w:val="auto"/>
              </w:rPr>
            </w:pPr>
          </w:p>
        </w:tc>
        <w:tc>
          <w:tcPr>
            <w:tcW w:w="1960" w:type="dxa"/>
            <w:vAlign w:val="bottom"/>
            <w:tcBorders>
              <w:bottom w:val="single" w:sz="8" w:color="auto"/>
              <w:right w:val="single" w:sz="8" w:color="auto"/>
            </w:tcBorders>
            <w:vMerge w:val="continue"/>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580" w:type="dxa"/>
            <w:vAlign w:val="bottom"/>
            <w:tcBorders>
              <w:right w:val="single" w:sz="8" w:color="auto"/>
            </w:tcBorders>
          </w:tcPr>
          <w:p>
            <w:pPr>
              <w:spacing w:after="0"/>
              <w:rPr>
                <w:sz w:val="10"/>
                <w:szCs w:val="10"/>
                <w:color w:val="auto"/>
              </w:rPr>
            </w:pPr>
          </w:p>
        </w:tc>
        <w:tc>
          <w:tcPr>
            <w:tcW w:w="3680" w:type="dxa"/>
            <w:vAlign w:val="bottom"/>
            <w:tcBorders>
              <w:right w:val="single" w:sz="8" w:color="auto"/>
            </w:tcBorders>
          </w:tcPr>
          <w:p>
            <w:pPr>
              <w:spacing w:after="0"/>
              <w:rPr>
                <w:sz w:val="10"/>
                <w:szCs w:val="10"/>
                <w:color w:val="auto"/>
              </w:rPr>
            </w:pPr>
          </w:p>
        </w:tc>
        <w:tc>
          <w:tcPr>
            <w:tcW w:w="2260" w:type="dxa"/>
            <w:vAlign w:val="bottom"/>
            <w:tcBorders>
              <w:right w:val="single" w:sz="8" w:color="auto"/>
            </w:tcBorders>
          </w:tcPr>
          <w:p>
            <w:pPr>
              <w:spacing w:after="0"/>
              <w:rPr>
                <w:sz w:val="10"/>
                <w:szCs w:val="10"/>
                <w:color w:val="auto"/>
              </w:rPr>
            </w:pPr>
          </w:p>
        </w:tc>
        <w:tc>
          <w:tcPr>
            <w:tcW w:w="2440" w:type="dxa"/>
            <w:vAlign w:val="bottom"/>
            <w:tcBorders>
              <w:right w:val="single" w:sz="8" w:color="auto"/>
            </w:tcBorders>
          </w:tcPr>
          <w:p>
            <w:pPr>
              <w:ind w:left="60"/>
              <w:spacing w:after="0" w:line="117" w:lineRule="exact"/>
              <w:rPr>
                <w:sz w:val="20"/>
                <w:szCs w:val="20"/>
                <w:color w:val="auto"/>
              </w:rPr>
            </w:pPr>
            <w:r>
              <w:rPr>
                <w:rFonts w:ascii="Arial" w:cs="Arial" w:eastAsia="Arial" w:hAnsi="Arial"/>
                <w:sz w:val="13"/>
                <w:szCs w:val="13"/>
                <w:color w:val="auto"/>
              </w:rPr>
              <w:t>Limited Liability</w:t>
            </w:r>
          </w:p>
        </w:tc>
        <w:tc>
          <w:tcPr>
            <w:tcW w:w="1960" w:type="dxa"/>
            <w:vAlign w:val="bottom"/>
            <w:tcBorders>
              <w:righ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580" w:type="dxa"/>
            <w:vAlign w:val="bottom"/>
            <w:tcBorders>
              <w:right w:val="single" w:sz="8" w:color="auto"/>
            </w:tcBorders>
          </w:tcPr>
          <w:p>
            <w:pPr>
              <w:spacing w:after="0"/>
              <w:rPr>
                <w:sz w:val="14"/>
                <w:szCs w:val="14"/>
                <w:color w:val="auto"/>
              </w:rPr>
            </w:pPr>
          </w:p>
        </w:tc>
        <w:tc>
          <w:tcPr>
            <w:tcW w:w="3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Capture, LLC</w:t>
            </w: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Virginia</w:t>
            </w:r>
          </w:p>
        </w:tc>
        <w:tc>
          <w:tcPr>
            <w:tcW w:w="2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Company</w:t>
            </w:r>
          </w:p>
        </w:tc>
        <w:tc>
          <w:tcPr>
            <w:tcW w:w="1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 ]</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80" w:type="dxa"/>
            <w:vAlign w:val="bottom"/>
            <w:tcBorders>
              <w:right w:val="single" w:sz="8" w:color="auto"/>
            </w:tcBorders>
          </w:tcPr>
          <w:p>
            <w:pPr>
              <w:spacing w:after="0"/>
              <w:rPr>
                <w:sz w:val="13"/>
                <w:szCs w:val="13"/>
                <w:color w:val="auto"/>
              </w:rPr>
            </w:pPr>
          </w:p>
        </w:tc>
        <w:tc>
          <w:tcPr>
            <w:tcW w:w="3680" w:type="dxa"/>
            <w:vAlign w:val="bottom"/>
            <w:tcBorders>
              <w:right w:val="single" w:sz="8" w:color="auto"/>
            </w:tcBorders>
            <w:vMerge w:val="restart"/>
          </w:tcPr>
          <w:p>
            <w:pPr>
              <w:ind w:left="60"/>
              <w:spacing w:after="0"/>
              <w:rPr>
                <w:sz w:val="20"/>
                <w:szCs w:val="20"/>
                <w:color w:val="auto"/>
              </w:rPr>
            </w:pPr>
            <w:r>
              <w:rPr>
                <w:rFonts w:ascii="Arial" w:cs="Arial" w:eastAsia="Arial" w:hAnsi="Arial"/>
                <w:sz w:val="13"/>
                <w:szCs w:val="13"/>
                <w:color w:val="auto"/>
              </w:rPr>
              <w:t>Casual Male Retail Store, LLC</w:t>
            </w:r>
          </w:p>
        </w:tc>
        <w:tc>
          <w:tcPr>
            <w:tcW w:w="2260" w:type="dxa"/>
            <w:vAlign w:val="bottom"/>
            <w:tcBorders>
              <w:right w:val="single" w:sz="8" w:color="auto"/>
            </w:tcBorders>
            <w:vMerge w:val="restart"/>
          </w:tcPr>
          <w:p>
            <w:pPr>
              <w:ind w:left="60"/>
              <w:spacing w:after="0"/>
              <w:rPr>
                <w:sz w:val="20"/>
                <w:szCs w:val="20"/>
                <w:color w:val="auto"/>
              </w:rPr>
            </w:pPr>
            <w:r>
              <w:rPr>
                <w:rFonts w:ascii="Arial" w:cs="Arial" w:eastAsia="Arial" w:hAnsi="Arial"/>
                <w:sz w:val="13"/>
                <w:szCs w:val="13"/>
                <w:color w:val="auto"/>
              </w:rPr>
              <w:t>Delaware</w:t>
            </w:r>
          </w:p>
        </w:tc>
        <w:tc>
          <w:tcPr>
            <w:tcW w:w="244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Limited Liability Company</w:t>
            </w:r>
          </w:p>
        </w:tc>
        <w:tc>
          <w:tcPr>
            <w:tcW w:w="1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color w:val="auto"/>
              </w:rPr>
              <w:t>[ ]</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580" w:type="dxa"/>
            <w:vAlign w:val="bottom"/>
            <w:tcBorders>
              <w:right w:val="single" w:sz="8" w:color="auto"/>
            </w:tcBorders>
          </w:tcPr>
          <w:p>
            <w:pPr>
              <w:spacing w:after="0"/>
              <w:rPr>
                <w:sz w:val="11"/>
                <w:szCs w:val="11"/>
                <w:color w:val="auto"/>
              </w:rPr>
            </w:pPr>
          </w:p>
        </w:tc>
        <w:tc>
          <w:tcPr>
            <w:tcW w:w="3680" w:type="dxa"/>
            <w:vAlign w:val="bottom"/>
            <w:tcBorders>
              <w:bottom w:val="single" w:sz="8" w:color="auto"/>
              <w:right w:val="single" w:sz="8" w:color="auto"/>
            </w:tcBorders>
            <w:vMerge w:val="continue"/>
          </w:tcPr>
          <w:p>
            <w:pPr>
              <w:spacing w:after="0"/>
              <w:rPr>
                <w:sz w:val="11"/>
                <w:szCs w:val="11"/>
                <w:color w:val="auto"/>
              </w:rPr>
            </w:pPr>
          </w:p>
        </w:tc>
        <w:tc>
          <w:tcPr>
            <w:tcW w:w="2260" w:type="dxa"/>
            <w:vAlign w:val="bottom"/>
            <w:tcBorders>
              <w:bottom w:val="single" w:sz="8" w:color="auto"/>
              <w:right w:val="single" w:sz="8" w:color="auto"/>
            </w:tcBorders>
            <w:vMerge w:val="continue"/>
          </w:tcPr>
          <w:p>
            <w:pPr>
              <w:spacing w:after="0"/>
              <w:rPr>
                <w:sz w:val="11"/>
                <w:szCs w:val="11"/>
                <w:color w:val="auto"/>
              </w:rPr>
            </w:pPr>
          </w:p>
        </w:tc>
        <w:tc>
          <w:tcPr>
            <w:tcW w:w="2440" w:type="dxa"/>
            <w:vAlign w:val="bottom"/>
            <w:tcBorders>
              <w:bottom w:val="single" w:sz="8" w:color="auto"/>
              <w:right w:val="single" w:sz="8" w:color="auto"/>
            </w:tcBorders>
          </w:tcPr>
          <w:p>
            <w:pPr>
              <w:spacing w:after="0"/>
              <w:rPr>
                <w:sz w:val="11"/>
                <w:szCs w:val="11"/>
                <w:color w:val="auto"/>
              </w:rPr>
            </w:pPr>
          </w:p>
        </w:tc>
        <w:tc>
          <w:tcPr>
            <w:tcW w:w="1960" w:type="dxa"/>
            <w:vAlign w:val="bottom"/>
            <w:tcBorders>
              <w:bottom w:val="single" w:sz="8" w:color="auto"/>
              <w:right w:val="single" w:sz="8" w:color="auto"/>
            </w:tcBorders>
            <w:vMerge w:val="continue"/>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580" w:type="dxa"/>
            <w:vAlign w:val="bottom"/>
            <w:tcBorders>
              <w:right w:val="single" w:sz="8" w:color="auto"/>
            </w:tcBorders>
          </w:tcPr>
          <w:p>
            <w:pPr>
              <w:spacing w:after="0"/>
              <w:rPr>
                <w:sz w:val="9"/>
                <w:szCs w:val="9"/>
                <w:color w:val="auto"/>
              </w:rPr>
            </w:pPr>
          </w:p>
        </w:tc>
        <w:tc>
          <w:tcPr>
            <w:tcW w:w="3680" w:type="dxa"/>
            <w:vAlign w:val="bottom"/>
            <w:tcBorders>
              <w:right w:val="single" w:sz="8" w:color="auto"/>
            </w:tcBorders>
          </w:tcPr>
          <w:p>
            <w:pPr>
              <w:spacing w:after="0"/>
              <w:rPr>
                <w:sz w:val="9"/>
                <w:szCs w:val="9"/>
                <w:color w:val="auto"/>
              </w:rPr>
            </w:pPr>
          </w:p>
        </w:tc>
        <w:tc>
          <w:tcPr>
            <w:tcW w:w="2260" w:type="dxa"/>
            <w:vAlign w:val="bottom"/>
            <w:tcBorders>
              <w:right w:val="single" w:sz="8" w:color="auto"/>
            </w:tcBorders>
          </w:tcPr>
          <w:p>
            <w:pPr>
              <w:spacing w:after="0"/>
              <w:rPr>
                <w:sz w:val="9"/>
                <w:szCs w:val="9"/>
                <w:color w:val="auto"/>
              </w:rPr>
            </w:pPr>
          </w:p>
        </w:tc>
        <w:tc>
          <w:tcPr>
            <w:tcW w:w="2440" w:type="dxa"/>
            <w:vAlign w:val="bottom"/>
            <w:tcBorders>
              <w:right w:val="single" w:sz="8" w:color="auto"/>
            </w:tcBorders>
          </w:tcPr>
          <w:p>
            <w:pPr>
              <w:ind w:left="60"/>
              <w:spacing w:after="0" w:line="114" w:lineRule="exact"/>
              <w:rPr>
                <w:sz w:val="20"/>
                <w:szCs w:val="20"/>
                <w:color w:val="auto"/>
              </w:rPr>
            </w:pPr>
            <w:r>
              <w:rPr>
                <w:rFonts w:ascii="Arial" w:cs="Arial" w:eastAsia="Arial" w:hAnsi="Arial"/>
                <w:sz w:val="13"/>
                <w:szCs w:val="13"/>
                <w:color w:val="auto"/>
              </w:rPr>
              <w:t>Limited Liability</w:t>
            </w:r>
          </w:p>
        </w:tc>
        <w:tc>
          <w:tcPr>
            <w:tcW w:w="1960" w:type="dxa"/>
            <w:vAlign w:val="bottom"/>
            <w:tcBorders>
              <w:right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580" w:type="dxa"/>
            <w:vAlign w:val="bottom"/>
            <w:tcBorders>
              <w:right w:val="single" w:sz="8" w:color="auto"/>
            </w:tcBorders>
          </w:tcPr>
          <w:p>
            <w:pPr>
              <w:spacing w:after="0"/>
              <w:rPr>
                <w:sz w:val="14"/>
                <w:szCs w:val="14"/>
                <w:color w:val="auto"/>
              </w:rPr>
            </w:pPr>
          </w:p>
        </w:tc>
        <w:tc>
          <w:tcPr>
            <w:tcW w:w="3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Store, LLC</w:t>
            </w: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Delaware</w:t>
            </w:r>
          </w:p>
        </w:tc>
        <w:tc>
          <w:tcPr>
            <w:tcW w:w="2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Company</w:t>
            </w:r>
          </w:p>
        </w:tc>
        <w:tc>
          <w:tcPr>
            <w:tcW w:w="1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 ]</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Borders>
              <w:right w:val="single" w:sz="8" w:color="auto"/>
            </w:tcBorders>
          </w:tcPr>
          <w:p>
            <w:pPr>
              <w:spacing w:after="0"/>
              <w:rPr>
                <w:sz w:val="13"/>
                <w:szCs w:val="13"/>
                <w:color w:val="auto"/>
              </w:rPr>
            </w:pPr>
          </w:p>
        </w:tc>
        <w:tc>
          <w:tcPr>
            <w:tcW w:w="3680" w:type="dxa"/>
            <w:vAlign w:val="bottom"/>
            <w:tcBorders>
              <w:right w:val="single" w:sz="8" w:color="auto"/>
            </w:tcBorders>
            <w:vMerge w:val="restart"/>
          </w:tcPr>
          <w:p>
            <w:pPr>
              <w:ind w:left="60"/>
              <w:spacing w:after="0"/>
              <w:rPr>
                <w:sz w:val="20"/>
                <w:szCs w:val="20"/>
                <w:color w:val="auto"/>
              </w:rPr>
            </w:pPr>
            <w:r>
              <w:rPr>
                <w:rFonts w:ascii="Arial" w:cs="Arial" w:eastAsia="Arial" w:hAnsi="Arial"/>
                <w:sz w:val="13"/>
                <w:szCs w:val="13"/>
                <w:color w:val="auto"/>
              </w:rPr>
              <w:t>Casual Male Direct, LLC</w:t>
            </w:r>
          </w:p>
        </w:tc>
        <w:tc>
          <w:tcPr>
            <w:tcW w:w="2260" w:type="dxa"/>
            <w:vAlign w:val="bottom"/>
            <w:tcBorders>
              <w:right w:val="single" w:sz="8" w:color="auto"/>
            </w:tcBorders>
            <w:vMerge w:val="restart"/>
          </w:tcPr>
          <w:p>
            <w:pPr>
              <w:ind w:left="60"/>
              <w:spacing w:after="0"/>
              <w:rPr>
                <w:sz w:val="20"/>
                <w:szCs w:val="20"/>
                <w:color w:val="auto"/>
              </w:rPr>
            </w:pPr>
            <w:r>
              <w:rPr>
                <w:rFonts w:ascii="Arial" w:cs="Arial" w:eastAsia="Arial" w:hAnsi="Arial"/>
                <w:sz w:val="13"/>
                <w:szCs w:val="13"/>
                <w:color w:val="auto"/>
              </w:rPr>
              <w:t>Delaware</w:t>
            </w:r>
          </w:p>
        </w:tc>
        <w:tc>
          <w:tcPr>
            <w:tcW w:w="244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Limited Liability Company</w:t>
            </w:r>
          </w:p>
        </w:tc>
        <w:tc>
          <w:tcPr>
            <w:tcW w:w="1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color w:val="auto"/>
              </w:rPr>
              <w:t>[ ]</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580" w:type="dxa"/>
            <w:vAlign w:val="bottom"/>
            <w:tcBorders>
              <w:right w:val="single" w:sz="8" w:color="auto"/>
            </w:tcBorders>
          </w:tcPr>
          <w:p>
            <w:pPr>
              <w:spacing w:after="0"/>
              <w:rPr>
                <w:sz w:val="11"/>
                <w:szCs w:val="11"/>
                <w:color w:val="auto"/>
              </w:rPr>
            </w:pPr>
          </w:p>
        </w:tc>
        <w:tc>
          <w:tcPr>
            <w:tcW w:w="3680" w:type="dxa"/>
            <w:vAlign w:val="bottom"/>
            <w:tcBorders>
              <w:bottom w:val="single" w:sz="8" w:color="auto"/>
              <w:right w:val="single" w:sz="8" w:color="auto"/>
            </w:tcBorders>
            <w:vMerge w:val="continue"/>
          </w:tcPr>
          <w:p>
            <w:pPr>
              <w:spacing w:after="0"/>
              <w:rPr>
                <w:sz w:val="11"/>
                <w:szCs w:val="11"/>
                <w:color w:val="auto"/>
              </w:rPr>
            </w:pPr>
          </w:p>
        </w:tc>
        <w:tc>
          <w:tcPr>
            <w:tcW w:w="2260" w:type="dxa"/>
            <w:vAlign w:val="bottom"/>
            <w:tcBorders>
              <w:bottom w:val="single" w:sz="8" w:color="auto"/>
              <w:right w:val="single" w:sz="8" w:color="auto"/>
            </w:tcBorders>
            <w:vMerge w:val="continue"/>
          </w:tcPr>
          <w:p>
            <w:pPr>
              <w:spacing w:after="0"/>
              <w:rPr>
                <w:sz w:val="11"/>
                <w:szCs w:val="11"/>
                <w:color w:val="auto"/>
              </w:rPr>
            </w:pPr>
          </w:p>
        </w:tc>
        <w:tc>
          <w:tcPr>
            <w:tcW w:w="2440" w:type="dxa"/>
            <w:vAlign w:val="bottom"/>
            <w:tcBorders>
              <w:bottom w:val="single" w:sz="8" w:color="auto"/>
              <w:right w:val="single" w:sz="8" w:color="auto"/>
            </w:tcBorders>
          </w:tcPr>
          <w:p>
            <w:pPr>
              <w:spacing w:after="0"/>
              <w:rPr>
                <w:sz w:val="11"/>
                <w:szCs w:val="11"/>
                <w:color w:val="auto"/>
              </w:rPr>
            </w:pPr>
          </w:p>
        </w:tc>
        <w:tc>
          <w:tcPr>
            <w:tcW w:w="1960" w:type="dxa"/>
            <w:vAlign w:val="bottom"/>
            <w:tcBorders>
              <w:bottom w:val="single" w:sz="8" w:color="auto"/>
              <w:right w:val="single" w:sz="8" w:color="auto"/>
            </w:tcBorders>
            <w:vMerge w:val="continue"/>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580" w:type="dxa"/>
            <w:vAlign w:val="bottom"/>
            <w:tcBorders>
              <w:right w:val="single" w:sz="8" w:color="auto"/>
            </w:tcBorders>
          </w:tcPr>
          <w:p>
            <w:pPr>
              <w:spacing w:after="0"/>
              <w:rPr>
                <w:sz w:val="10"/>
                <w:szCs w:val="10"/>
                <w:color w:val="auto"/>
              </w:rPr>
            </w:pPr>
          </w:p>
        </w:tc>
        <w:tc>
          <w:tcPr>
            <w:tcW w:w="3680" w:type="dxa"/>
            <w:vAlign w:val="bottom"/>
            <w:tcBorders>
              <w:right w:val="single" w:sz="8" w:color="auto"/>
            </w:tcBorders>
          </w:tcPr>
          <w:p>
            <w:pPr>
              <w:spacing w:after="0"/>
              <w:rPr>
                <w:sz w:val="10"/>
                <w:szCs w:val="10"/>
                <w:color w:val="auto"/>
              </w:rPr>
            </w:pPr>
          </w:p>
        </w:tc>
        <w:tc>
          <w:tcPr>
            <w:tcW w:w="2260" w:type="dxa"/>
            <w:vAlign w:val="bottom"/>
            <w:tcBorders>
              <w:right w:val="single" w:sz="8" w:color="auto"/>
            </w:tcBorders>
          </w:tcPr>
          <w:p>
            <w:pPr>
              <w:spacing w:after="0"/>
              <w:rPr>
                <w:sz w:val="10"/>
                <w:szCs w:val="10"/>
                <w:color w:val="auto"/>
              </w:rPr>
            </w:pPr>
          </w:p>
        </w:tc>
        <w:tc>
          <w:tcPr>
            <w:tcW w:w="2440" w:type="dxa"/>
            <w:vAlign w:val="bottom"/>
            <w:tcBorders>
              <w:right w:val="single" w:sz="8" w:color="auto"/>
            </w:tcBorders>
          </w:tcPr>
          <w:p>
            <w:pPr>
              <w:ind w:left="60"/>
              <w:spacing w:after="0" w:line="117" w:lineRule="exact"/>
              <w:rPr>
                <w:sz w:val="20"/>
                <w:szCs w:val="20"/>
                <w:color w:val="auto"/>
              </w:rPr>
            </w:pPr>
            <w:r>
              <w:rPr>
                <w:rFonts w:ascii="Arial" w:cs="Arial" w:eastAsia="Arial" w:hAnsi="Arial"/>
                <w:sz w:val="13"/>
                <w:szCs w:val="13"/>
                <w:color w:val="auto"/>
              </w:rPr>
              <w:t>Limited Liability</w:t>
            </w:r>
          </w:p>
        </w:tc>
        <w:tc>
          <w:tcPr>
            <w:tcW w:w="1960" w:type="dxa"/>
            <w:vAlign w:val="bottom"/>
            <w:tcBorders>
              <w:righ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580" w:type="dxa"/>
            <w:vAlign w:val="bottom"/>
            <w:tcBorders>
              <w:right w:val="single" w:sz="8" w:color="auto"/>
            </w:tcBorders>
          </w:tcPr>
          <w:p>
            <w:pPr>
              <w:spacing w:after="0"/>
              <w:rPr>
                <w:sz w:val="14"/>
                <w:szCs w:val="14"/>
                <w:color w:val="auto"/>
              </w:rPr>
            </w:pPr>
          </w:p>
        </w:tc>
        <w:tc>
          <w:tcPr>
            <w:tcW w:w="3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Think Big Products LLC</w:t>
            </w: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Delaware</w:t>
            </w:r>
          </w:p>
        </w:tc>
        <w:tc>
          <w:tcPr>
            <w:tcW w:w="2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Company</w:t>
            </w:r>
          </w:p>
        </w:tc>
        <w:tc>
          <w:tcPr>
            <w:tcW w:w="1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 ]</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80" w:type="dxa"/>
            <w:vAlign w:val="bottom"/>
            <w:tcBorders>
              <w:right w:val="single" w:sz="8" w:color="auto"/>
            </w:tcBorders>
          </w:tcPr>
          <w:p>
            <w:pPr>
              <w:spacing w:after="0"/>
              <w:rPr>
                <w:sz w:val="13"/>
                <w:szCs w:val="13"/>
                <w:color w:val="auto"/>
              </w:rPr>
            </w:pPr>
          </w:p>
        </w:tc>
        <w:tc>
          <w:tcPr>
            <w:tcW w:w="3680" w:type="dxa"/>
            <w:vAlign w:val="bottom"/>
            <w:tcBorders>
              <w:right w:val="single" w:sz="8" w:color="auto"/>
            </w:tcBorders>
            <w:vMerge w:val="restart"/>
          </w:tcPr>
          <w:p>
            <w:pPr>
              <w:ind w:left="60"/>
              <w:spacing w:after="0"/>
              <w:rPr>
                <w:sz w:val="20"/>
                <w:szCs w:val="20"/>
                <w:color w:val="auto"/>
              </w:rPr>
            </w:pPr>
            <w:r>
              <w:rPr>
                <w:rFonts w:ascii="Arial" w:cs="Arial" w:eastAsia="Arial" w:hAnsi="Arial"/>
                <w:sz w:val="13"/>
                <w:szCs w:val="13"/>
                <w:color w:val="auto"/>
              </w:rPr>
              <w:t>Casual Male RBT, LLC</w:t>
            </w:r>
          </w:p>
        </w:tc>
        <w:tc>
          <w:tcPr>
            <w:tcW w:w="2260" w:type="dxa"/>
            <w:vAlign w:val="bottom"/>
            <w:tcBorders>
              <w:right w:val="single" w:sz="8" w:color="auto"/>
            </w:tcBorders>
            <w:vMerge w:val="restart"/>
          </w:tcPr>
          <w:p>
            <w:pPr>
              <w:ind w:left="60"/>
              <w:spacing w:after="0"/>
              <w:rPr>
                <w:sz w:val="20"/>
                <w:szCs w:val="20"/>
                <w:color w:val="auto"/>
              </w:rPr>
            </w:pPr>
            <w:r>
              <w:rPr>
                <w:rFonts w:ascii="Arial" w:cs="Arial" w:eastAsia="Arial" w:hAnsi="Arial"/>
                <w:sz w:val="13"/>
                <w:szCs w:val="13"/>
                <w:color w:val="auto"/>
              </w:rPr>
              <w:t>Delaware</w:t>
            </w:r>
          </w:p>
        </w:tc>
        <w:tc>
          <w:tcPr>
            <w:tcW w:w="244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Limited Liability Company</w:t>
            </w:r>
          </w:p>
        </w:tc>
        <w:tc>
          <w:tcPr>
            <w:tcW w:w="1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color w:val="auto"/>
              </w:rPr>
              <w:t>[ ]</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580" w:type="dxa"/>
            <w:vAlign w:val="bottom"/>
            <w:tcBorders>
              <w:right w:val="single" w:sz="8" w:color="auto"/>
            </w:tcBorders>
          </w:tcPr>
          <w:p>
            <w:pPr>
              <w:spacing w:after="0"/>
              <w:rPr>
                <w:sz w:val="11"/>
                <w:szCs w:val="11"/>
                <w:color w:val="auto"/>
              </w:rPr>
            </w:pPr>
          </w:p>
        </w:tc>
        <w:tc>
          <w:tcPr>
            <w:tcW w:w="3680" w:type="dxa"/>
            <w:vAlign w:val="bottom"/>
            <w:tcBorders>
              <w:bottom w:val="single" w:sz="8" w:color="auto"/>
              <w:right w:val="single" w:sz="8" w:color="auto"/>
            </w:tcBorders>
            <w:vMerge w:val="continue"/>
          </w:tcPr>
          <w:p>
            <w:pPr>
              <w:spacing w:after="0"/>
              <w:rPr>
                <w:sz w:val="11"/>
                <w:szCs w:val="11"/>
                <w:color w:val="auto"/>
              </w:rPr>
            </w:pPr>
          </w:p>
        </w:tc>
        <w:tc>
          <w:tcPr>
            <w:tcW w:w="2260" w:type="dxa"/>
            <w:vAlign w:val="bottom"/>
            <w:tcBorders>
              <w:bottom w:val="single" w:sz="8" w:color="auto"/>
              <w:right w:val="single" w:sz="8" w:color="auto"/>
            </w:tcBorders>
            <w:vMerge w:val="continue"/>
          </w:tcPr>
          <w:p>
            <w:pPr>
              <w:spacing w:after="0"/>
              <w:rPr>
                <w:sz w:val="11"/>
                <w:szCs w:val="11"/>
                <w:color w:val="auto"/>
              </w:rPr>
            </w:pPr>
          </w:p>
        </w:tc>
        <w:tc>
          <w:tcPr>
            <w:tcW w:w="2440" w:type="dxa"/>
            <w:vAlign w:val="bottom"/>
            <w:tcBorders>
              <w:bottom w:val="single" w:sz="8" w:color="auto"/>
              <w:right w:val="single" w:sz="8" w:color="auto"/>
            </w:tcBorders>
          </w:tcPr>
          <w:p>
            <w:pPr>
              <w:spacing w:after="0"/>
              <w:rPr>
                <w:sz w:val="11"/>
                <w:szCs w:val="11"/>
                <w:color w:val="auto"/>
              </w:rPr>
            </w:pPr>
          </w:p>
        </w:tc>
        <w:tc>
          <w:tcPr>
            <w:tcW w:w="1960" w:type="dxa"/>
            <w:vAlign w:val="bottom"/>
            <w:tcBorders>
              <w:bottom w:val="single" w:sz="8" w:color="auto"/>
              <w:right w:val="single" w:sz="8" w:color="auto"/>
            </w:tcBorders>
            <w:vMerge w:val="continue"/>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580" w:type="dxa"/>
            <w:vAlign w:val="bottom"/>
            <w:tcBorders>
              <w:right w:val="single" w:sz="8" w:color="auto"/>
            </w:tcBorders>
          </w:tcPr>
          <w:p>
            <w:pPr>
              <w:spacing w:after="0"/>
              <w:rPr>
                <w:sz w:val="10"/>
                <w:szCs w:val="10"/>
                <w:color w:val="auto"/>
              </w:rPr>
            </w:pPr>
          </w:p>
        </w:tc>
        <w:tc>
          <w:tcPr>
            <w:tcW w:w="3680" w:type="dxa"/>
            <w:vAlign w:val="bottom"/>
            <w:tcBorders>
              <w:right w:val="single" w:sz="8" w:color="auto"/>
            </w:tcBorders>
          </w:tcPr>
          <w:p>
            <w:pPr>
              <w:spacing w:after="0"/>
              <w:rPr>
                <w:sz w:val="10"/>
                <w:szCs w:val="10"/>
                <w:color w:val="auto"/>
              </w:rPr>
            </w:pPr>
          </w:p>
        </w:tc>
        <w:tc>
          <w:tcPr>
            <w:tcW w:w="2260" w:type="dxa"/>
            <w:vAlign w:val="bottom"/>
            <w:tcBorders>
              <w:right w:val="single" w:sz="8" w:color="auto"/>
            </w:tcBorders>
          </w:tcPr>
          <w:p>
            <w:pPr>
              <w:spacing w:after="0"/>
              <w:rPr>
                <w:sz w:val="10"/>
                <w:szCs w:val="10"/>
                <w:color w:val="auto"/>
              </w:rPr>
            </w:pPr>
          </w:p>
        </w:tc>
        <w:tc>
          <w:tcPr>
            <w:tcW w:w="2440" w:type="dxa"/>
            <w:vAlign w:val="bottom"/>
            <w:tcBorders>
              <w:right w:val="single" w:sz="8" w:color="auto"/>
            </w:tcBorders>
          </w:tcPr>
          <w:p>
            <w:pPr>
              <w:ind w:left="60"/>
              <w:spacing w:after="0" w:line="117" w:lineRule="exact"/>
              <w:rPr>
                <w:sz w:val="20"/>
                <w:szCs w:val="20"/>
                <w:color w:val="auto"/>
              </w:rPr>
            </w:pPr>
            <w:r>
              <w:rPr>
                <w:rFonts w:ascii="Arial" w:cs="Arial" w:eastAsia="Arial" w:hAnsi="Arial"/>
                <w:sz w:val="13"/>
                <w:szCs w:val="13"/>
                <w:color w:val="auto"/>
              </w:rPr>
              <w:t>Limited Liability</w:t>
            </w:r>
          </w:p>
        </w:tc>
        <w:tc>
          <w:tcPr>
            <w:tcW w:w="1960" w:type="dxa"/>
            <w:vAlign w:val="bottom"/>
            <w:tcBorders>
              <w:righ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580" w:type="dxa"/>
            <w:vAlign w:val="bottom"/>
            <w:tcBorders>
              <w:right w:val="single" w:sz="8" w:color="auto"/>
            </w:tcBorders>
          </w:tcPr>
          <w:p>
            <w:pPr>
              <w:spacing w:after="0"/>
              <w:rPr>
                <w:sz w:val="14"/>
                <w:szCs w:val="14"/>
                <w:color w:val="auto"/>
              </w:rPr>
            </w:pPr>
          </w:p>
        </w:tc>
        <w:tc>
          <w:tcPr>
            <w:tcW w:w="3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Delaware</w:t>
            </w:r>
          </w:p>
        </w:tc>
        <w:tc>
          <w:tcPr>
            <w:tcW w:w="2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Company</w:t>
            </w:r>
          </w:p>
        </w:tc>
        <w:tc>
          <w:tcPr>
            <w:tcW w:w="1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 ]</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80" w:type="dxa"/>
            <w:vAlign w:val="bottom"/>
            <w:tcBorders>
              <w:right w:val="single" w:sz="8" w:color="auto"/>
            </w:tcBorders>
          </w:tcPr>
          <w:p>
            <w:pPr>
              <w:spacing w:after="0"/>
              <w:rPr>
                <w:sz w:val="13"/>
                <w:szCs w:val="13"/>
                <w:color w:val="auto"/>
              </w:rPr>
            </w:pPr>
          </w:p>
        </w:tc>
        <w:tc>
          <w:tcPr>
            <w:tcW w:w="3680" w:type="dxa"/>
            <w:vAlign w:val="bottom"/>
            <w:tcBorders>
              <w:right w:val="single" w:sz="8" w:color="auto"/>
            </w:tcBorders>
            <w:vMerge w:val="restart"/>
          </w:tcPr>
          <w:p>
            <w:pPr>
              <w:ind w:left="60"/>
              <w:spacing w:after="0"/>
              <w:rPr>
                <w:sz w:val="20"/>
                <w:szCs w:val="20"/>
                <w:color w:val="auto"/>
              </w:rPr>
            </w:pPr>
            <w:r>
              <w:rPr>
                <w:rFonts w:ascii="Arial" w:cs="Arial" w:eastAsia="Arial" w:hAnsi="Arial"/>
                <w:sz w:val="13"/>
                <w:szCs w:val="13"/>
                <w:color w:val="auto"/>
              </w:rPr>
              <w:t>Casual Male (EUROPE) LLC</w:t>
            </w:r>
          </w:p>
        </w:tc>
        <w:tc>
          <w:tcPr>
            <w:tcW w:w="2260" w:type="dxa"/>
            <w:vAlign w:val="bottom"/>
            <w:tcBorders>
              <w:right w:val="single" w:sz="8" w:color="auto"/>
            </w:tcBorders>
            <w:vMerge w:val="restart"/>
          </w:tcPr>
          <w:p>
            <w:pPr>
              <w:ind w:left="60"/>
              <w:spacing w:after="0"/>
              <w:rPr>
                <w:sz w:val="20"/>
                <w:szCs w:val="20"/>
                <w:color w:val="auto"/>
              </w:rPr>
            </w:pPr>
            <w:r>
              <w:rPr>
                <w:rFonts w:ascii="Arial" w:cs="Arial" w:eastAsia="Arial" w:hAnsi="Arial"/>
                <w:sz w:val="13"/>
                <w:szCs w:val="13"/>
                <w:color w:val="auto"/>
              </w:rPr>
              <w:t>Delaware</w:t>
            </w:r>
          </w:p>
        </w:tc>
        <w:tc>
          <w:tcPr>
            <w:tcW w:w="244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Limited Liability Company</w:t>
            </w:r>
          </w:p>
        </w:tc>
        <w:tc>
          <w:tcPr>
            <w:tcW w:w="1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color w:val="auto"/>
              </w:rPr>
              <w:t>[ ]</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580" w:type="dxa"/>
            <w:vAlign w:val="bottom"/>
            <w:tcBorders>
              <w:right w:val="single" w:sz="8" w:color="auto"/>
            </w:tcBorders>
          </w:tcPr>
          <w:p>
            <w:pPr>
              <w:spacing w:after="0"/>
              <w:rPr>
                <w:sz w:val="11"/>
                <w:szCs w:val="11"/>
                <w:color w:val="auto"/>
              </w:rPr>
            </w:pPr>
          </w:p>
        </w:tc>
        <w:tc>
          <w:tcPr>
            <w:tcW w:w="3680" w:type="dxa"/>
            <w:vAlign w:val="bottom"/>
            <w:tcBorders>
              <w:bottom w:val="single" w:sz="8" w:color="auto"/>
              <w:right w:val="single" w:sz="8" w:color="auto"/>
            </w:tcBorders>
            <w:vMerge w:val="continue"/>
          </w:tcPr>
          <w:p>
            <w:pPr>
              <w:spacing w:after="0"/>
              <w:rPr>
                <w:sz w:val="11"/>
                <w:szCs w:val="11"/>
                <w:color w:val="auto"/>
              </w:rPr>
            </w:pPr>
          </w:p>
        </w:tc>
        <w:tc>
          <w:tcPr>
            <w:tcW w:w="2260" w:type="dxa"/>
            <w:vAlign w:val="bottom"/>
            <w:tcBorders>
              <w:bottom w:val="single" w:sz="8" w:color="auto"/>
              <w:right w:val="single" w:sz="8" w:color="auto"/>
            </w:tcBorders>
            <w:vMerge w:val="continue"/>
          </w:tcPr>
          <w:p>
            <w:pPr>
              <w:spacing w:after="0"/>
              <w:rPr>
                <w:sz w:val="11"/>
                <w:szCs w:val="11"/>
                <w:color w:val="auto"/>
              </w:rPr>
            </w:pPr>
          </w:p>
        </w:tc>
        <w:tc>
          <w:tcPr>
            <w:tcW w:w="2440" w:type="dxa"/>
            <w:vAlign w:val="bottom"/>
            <w:tcBorders>
              <w:bottom w:val="single" w:sz="8" w:color="auto"/>
              <w:right w:val="single" w:sz="8" w:color="auto"/>
            </w:tcBorders>
          </w:tcPr>
          <w:p>
            <w:pPr>
              <w:spacing w:after="0"/>
              <w:rPr>
                <w:sz w:val="11"/>
                <w:szCs w:val="11"/>
                <w:color w:val="auto"/>
              </w:rPr>
            </w:pPr>
          </w:p>
        </w:tc>
        <w:tc>
          <w:tcPr>
            <w:tcW w:w="1960" w:type="dxa"/>
            <w:vAlign w:val="bottom"/>
            <w:tcBorders>
              <w:bottom w:val="single" w:sz="8" w:color="auto"/>
              <w:right w:val="single" w:sz="8" w:color="auto"/>
            </w:tcBorders>
            <w:vMerge w:val="continue"/>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580" w:type="dxa"/>
            <w:vAlign w:val="bottom"/>
            <w:tcBorders>
              <w:right w:val="single" w:sz="8" w:color="auto"/>
            </w:tcBorders>
          </w:tcPr>
          <w:p>
            <w:pPr>
              <w:spacing w:after="0"/>
              <w:rPr>
                <w:sz w:val="10"/>
                <w:szCs w:val="10"/>
                <w:color w:val="auto"/>
              </w:rPr>
            </w:pPr>
          </w:p>
        </w:tc>
        <w:tc>
          <w:tcPr>
            <w:tcW w:w="3680" w:type="dxa"/>
            <w:vAlign w:val="bottom"/>
            <w:tcBorders>
              <w:right w:val="single" w:sz="8" w:color="auto"/>
            </w:tcBorders>
          </w:tcPr>
          <w:p>
            <w:pPr>
              <w:spacing w:after="0"/>
              <w:rPr>
                <w:sz w:val="10"/>
                <w:szCs w:val="10"/>
                <w:color w:val="auto"/>
              </w:rPr>
            </w:pPr>
          </w:p>
        </w:tc>
        <w:tc>
          <w:tcPr>
            <w:tcW w:w="2260" w:type="dxa"/>
            <w:vAlign w:val="bottom"/>
            <w:tcBorders>
              <w:right w:val="single" w:sz="8" w:color="auto"/>
            </w:tcBorders>
          </w:tcPr>
          <w:p>
            <w:pPr>
              <w:spacing w:after="0"/>
              <w:rPr>
                <w:sz w:val="10"/>
                <w:szCs w:val="10"/>
                <w:color w:val="auto"/>
              </w:rPr>
            </w:pPr>
          </w:p>
        </w:tc>
        <w:tc>
          <w:tcPr>
            <w:tcW w:w="2440" w:type="dxa"/>
            <w:vAlign w:val="bottom"/>
            <w:tcBorders>
              <w:right w:val="single" w:sz="8" w:color="auto"/>
            </w:tcBorders>
          </w:tcPr>
          <w:p>
            <w:pPr>
              <w:ind w:left="60"/>
              <w:spacing w:after="0" w:line="117" w:lineRule="exact"/>
              <w:rPr>
                <w:sz w:val="20"/>
                <w:szCs w:val="20"/>
                <w:color w:val="auto"/>
              </w:rPr>
            </w:pPr>
            <w:r>
              <w:rPr>
                <w:rFonts w:ascii="Arial" w:cs="Arial" w:eastAsia="Arial" w:hAnsi="Arial"/>
                <w:sz w:val="13"/>
                <w:szCs w:val="13"/>
                <w:color w:val="auto"/>
              </w:rPr>
              <w:t>Limited Liability</w:t>
            </w:r>
          </w:p>
        </w:tc>
        <w:tc>
          <w:tcPr>
            <w:tcW w:w="1960" w:type="dxa"/>
            <w:vAlign w:val="bottom"/>
            <w:tcBorders>
              <w:righ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580" w:type="dxa"/>
            <w:vAlign w:val="bottom"/>
            <w:tcBorders>
              <w:right w:val="single" w:sz="8" w:color="auto"/>
            </w:tcBorders>
          </w:tcPr>
          <w:p>
            <w:pPr>
              <w:spacing w:after="0"/>
              <w:rPr>
                <w:sz w:val="14"/>
                <w:szCs w:val="14"/>
                <w:color w:val="auto"/>
              </w:rPr>
            </w:pPr>
          </w:p>
        </w:tc>
        <w:tc>
          <w:tcPr>
            <w:tcW w:w="3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Holdco, LLC</w:t>
            </w: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Delaware</w:t>
            </w:r>
          </w:p>
        </w:tc>
        <w:tc>
          <w:tcPr>
            <w:tcW w:w="2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Company</w:t>
            </w:r>
          </w:p>
        </w:tc>
        <w:tc>
          <w:tcPr>
            <w:tcW w:w="1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 ]</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580" w:type="dxa"/>
            <w:vAlign w:val="bottom"/>
            <w:tcBorders>
              <w:right w:val="single" w:sz="8" w:color="auto"/>
            </w:tcBorders>
          </w:tcPr>
          <w:p>
            <w:pPr>
              <w:spacing w:after="0"/>
              <w:rPr>
                <w:sz w:val="24"/>
                <w:szCs w:val="24"/>
                <w:color w:val="auto"/>
              </w:rPr>
            </w:pPr>
          </w:p>
        </w:tc>
        <w:tc>
          <w:tcPr>
            <w:tcW w:w="36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CMRG Apparel Management, Inc.</w:t>
            </w:r>
          </w:p>
        </w:tc>
        <w:tc>
          <w:tcPr>
            <w:tcW w:w="226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Delaware</w:t>
            </w:r>
          </w:p>
        </w:tc>
        <w:tc>
          <w:tcPr>
            <w:tcW w:w="244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Corporation</w:t>
            </w:r>
          </w:p>
        </w:tc>
        <w:tc>
          <w:tcPr>
            <w:tcW w:w="196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 ]</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580" w:type="dxa"/>
            <w:vAlign w:val="bottom"/>
            <w:tcBorders>
              <w:right w:val="single" w:sz="8" w:color="auto"/>
            </w:tcBorders>
          </w:tcPr>
          <w:p>
            <w:pPr>
              <w:spacing w:after="0"/>
              <w:rPr>
                <w:sz w:val="10"/>
                <w:szCs w:val="10"/>
                <w:color w:val="auto"/>
              </w:rPr>
            </w:pPr>
          </w:p>
        </w:tc>
        <w:tc>
          <w:tcPr>
            <w:tcW w:w="3680" w:type="dxa"/>
            <w:vAlign w:val="bottom"/>
            <w:tcBorders>
              <w:bottom w:val="single" w:sz="8" w:color="auto"/>
              <w:right w:val="single" w:sz="8" w:color="auto"/>
            </w:tcBorders>
          </w:tcPr>
          <w:p>
            <w:pPr>
              <w:spacing w:after="0"/>
              <w:rPr>
                <w:sz w:val="10"/>
                <w:szCs w:val="10"/>
                <w:color w:val="auto"/>
              </w:rPr>
            </w:pPr>
          </w:p>
        </w:tc>
        <w:tc>
          <w:tcPr>
            <w:tcW w:w="2260" w:type="dxa"/>
            <w:vAlign w:val="bottom"/>
            <w:tcBorders>
              <w:bottom w:val="single" w:sz="8" w:color="auto"/>
              <w:right w:val="single" w:sz="8" w:color="auto"/>
            </w:tcBorders>
          </w:tcPr>
          <w:p>
            <w:pPr>
              <w:spacing w:after="0"/>
              <w:rPr>
                <w:sz w:val="10"/>
                <w:szCs w:val="10"/>
                <w:color w:val="auto"/>
              </w:rPr>
            </w:pPr>
          </w:p>
        </w:tc>
        <w:tc>
          <w:tcPr>
            <w:tcW w:w="244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580" w:type="dxa"/>
            <w:vAlign w:val="bottom"/>
            <w:tcBorders>
              <w:right w:val="single" w:sz="8" w:color="auto"/>
            </w:tcBorders>
          </w:tcPr>
          <w:p>
            <w:pPr>
              <w:spacing w:after="0"/>
              <w:rPr>
                <w:sz w:val="13"/>
                <w:szCs w:val="13"/>
                <w:color w:val="auto"/>
              </w:rPr>
            </w:pPr>
          </w:p>
        </w:tc>
        <w:tc>
          <w:tcPr>
            <w:tcW w:w="3680" w:type="dxa"/>
            <w:vAlign w:val="bottom"/>
            <w:tcBorders>
              <w:right w:val="single" w:sz="8" w:color="auto"/>
            </w:tcBorders>
            <w:vMerge w:val="restart"/>
          </w:tcPr>
          <w:p>
            <w:pPr>
              <w:ind w:left="60"/>
              <w:spacing w:after="0"/>
              <w:rPr>
                <w:sz w:val="20"/>
                <w:szCs w:val="20"/>
                <w:color w:val="auto"/>
              </w:rPr>
            </w:pPr>
            <w:r>
              <w:rPr>
                <w:rFonts w:ascii="Arial" w:cs="Arial" w:eastAsia="Arial" w:hAnsi="Arial"/>
                <w:sz w:val="13"/>
                <w:szCs w:val="13"/>
                <w:color w:val="auto"/>
              </w:rPr>
              <w:t>CMXL Apparel, LP</w:t>
            </w:r>
          </w:p>
        </w:tc>
        <w:tc>
          <w:tcPr>
            <w:tcW w:w="2260" w:type="dxa"/>
            <w:vAlign w:val="bottom"/>
            <w:tcBorders>
              <w:right w:val="single" w:sz="8" w:color="auto"/>
            </w:tcBorders>
            <w:vMerge w:val="restart"/>
          </w:tcPr>
          <w:p>
            <w:pPr>
              <w:ind w:left="60"/>
              <w:spacing w:after="0"/>
              <w:rPr>
                <w:sz w:val="20"/>
                <w:szCs w:val="20"/>
                <w:color w:val="auto"/>
              </w:rPr>
            </w:pPr>
            <w:r>
              <w:rPr>
                <w:rFonts w:ascii="Arial" w:cs="Arial" w:eastAsia="Arial" w:hAnsi="Arial"/>
                <w:sz w:val="13"/>
                <w:szCs w:val="13"/>
                <w:color w:val="auto"/>
              </w:rPr>
              <w:t>Delaware</w:t>
            </w:r>
          </w:p>
        </w:tc>
        <w:tc>
          <w:tcPr>
            <w:tcW w:w="244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Limited Liability Company</w:t>
            </w:r>
          </w:p>
        </w:tc>
        <w:tc>
          <w:tcPr>
            <w:tcW w:w="1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color w:val="auto"/>
              </w:rPr>
              <w:t>[ ]</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580" w:type="dxa"/>
            <w:vAlign w:val="bottom"/>
            <w:tcBorders>
              <w:right w:val="single" w:sz="8" w:color="auto"/>
            </w:tcBorders>
          </w:tcPr>
          <w:p>
            <w:pPr>
              <w:spacing w:after="0"/>
              <w:rPr>
                <w:sz w:val="11"/>
                <w:szCs w:val="11"/>
                <w:color w:val="auto"/>
              </w:rPr>
            </w:pPr>
          </w:p>
        </w:tc>
        <w:tc>
          <w:tcPr>
            <w:tcW w:w="3680" w:type="dxa"/>
            <w:vAlign w:val="bottom"/>
            <w:tcBorders>
              <w:bottom w:val="single" w:sz="8" w:color="auto"/>
              <w:right w:val="single" w:sz="8" w:color="auto"/>
            </w:tcBorders>
            <w:vMerge w:val="continue"/>
          </w:tcPr>
          <w:p>
            <w:pPr>
              <w:spacing w:after="0"/>
              <w:rPr>
                <w:sz w:val="11"/>
                <w:szCs w:val="11"/>
                <w:color w:val="auto"/>
              </w:rPr>
            </w:pPr>
          </w:p>
        </w:tc>
        <w:tc>
          <w:tcPr>
            <w:tcW w:w="2260" w:type="dxa"/>
            <w:vAlign w:val="bottom"/>
            <w:tcBorders>
              <w:bottom w:val="single" w:sz="8" w:color="auto"/>
              <w:right w:val="single" w:sz="8" w:color="auto"/>
            </w:tcBorders>
            <w:vMerge w:val="continue"/>
          </w:tcPr>
          <w:p>
            <w:pPr>
              <w:spacing w:after="0"/>
              <w:rPr>
                <w:sz w:val="11"/>
                <w:szCs w:val="11"/>
                <w:color w:val="auto"/>
              </w:rPr>
            </w:pPr>
          </w:p>
        </w:tc>
        <w:tc>
          <w:tcPr>
            <w:tcW w:w="2440" w:type="dxa"/>
            <w:vAlign w:val="bottom"/>
            <w:tcBorders>
              <w:bottom w:val="single" w:sz="8" w:color="auto"/>
              <w:right w:val="single" w:sz="8" w:color="auto"/>
            </w:tcBorders>
          </w:tcPr>
          <w:p>
            <w:pPr>
              <w:spacing w:after="0"/>
              <w:rPr>
                <w:sz w:val="11"/>
                <w:szCs w:val="11"/>
                <w:color w:val="auto"/>
              </w:rPr>
            </w:pPr>
          </w:p>
        </w:tc>
        <w:tc>
          <w:tcPr>
            <w:tcW w:w="1960" w:type="dxa"/>
            <w:vAlign w:val="bottom"/>
            <w:tcBorders>
              <w:bottom w:val="single" w:sz="8" w:color="auto"/>
              <w:right w:val="single" w:sz="8" w:color="auto"/>
            </w:tcBorders>
            <w:vMerge w:val="continue"/>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580" w:type="dxa"/>
            <w:vAlign w:val="bottom"/>
            <w:tcBorders>
              <w:right w:val="single" w:sz="8" w:color="auto"/>
            </w:tcBorders>
          </w:tcPr>
          <w:p>
            <w:pPr>
              <w:spacing w:after="0"/>
              <w:rPr>
                <w:sz w:val="13"/>
                <w:szCs w:val="13"/>
                <w:color w:val="auto"/>
              </w:rPr>
            </w:pPr>
          </w:p>
        </w:tc>
        <w:tc>
          <w:tcPr>
            <w:tcW w:w="3680" w:type="dxa"/>
            <w:vAlign w:val="bottom"/>
            <w:tcBorders>
              <w:right w:val="single" w:sz="8" w:color="auto"/>
            </w:tcBorders>
            <w:vMerge w:val="restart"/>
          </w:tcPr>
          <w:p>
            <w:pPr>
              <w:ind w:left="60"/>
              <w:spacing w:after="0"/>
              <w:rPr>
                <w:sz w:val="20"/>
                <w:szCs w:val="20"/>
                <w:color w:val="auto"/>
              </w:rPr>
            </w:pPr>
            <w:r>
              <w:rPr>
                <w:rFonts w:ascii="Arial" w:cs="Arial" w:eastAsia="Arial" w:hAnsi="Arial"/>
                <w:sz w:val="13"/>
                <w:szCs w:val="13"/>
                <w:color w:val="auto"/>
              </w:rPr>
              <w:t>DXLG Wholesale, LLC</w:t>
            </w:r>
          </w:p>
        </w:tc>
        <w:tc>
          <w:tcPr>
            <w:tcW w:w="2260" w:type="dxa"/>
            <w:vAlign w:val="bottom"/>
            <w:tcBorders>
              <w:right w:val="single" w:sz="8" w:color="auto"/>
            </w:tcBorders>
            <w:vMerge w:val="restart"/>
          </w:tcPr>
          <w:p>
            <w:pPr>
              <w:ind w:left="60"/>
              <w:spacing w:after="0"/>
              <w:rPr>
                <w:sz w:val="20"/>
                <w:szCs w:val="20"/>
                <w:color w:val="auto"/>
              </w:rPr>
            </w:pPr>
            <w:r>
              <w:rPr>
                <w:rFonts w:ascii="Arial" w:cs="Arial" w:eastAsia="Arial" w:hAnsi="Arial"/>
                <w:sz w:val="13"/>
                <w:szCs w:val="13"/>
                <w:color w:val="auto"/>
              </w:rPr>
              <w:t>Delaware</w:t>
            </w:r>
          </w:p>
        </w:tc>
        <w:tc>
          <w:tcPr>
            <w:tcW w:w="244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Limited Liability Company</w:t>
            </w:r>
          </w:p>
        </w:tc>
        <w:tc>
          <w:tcPr>
            <w:tcW w:w="1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color w:val="auto"/>
              </w:rPr>
              <w:t>[ ]</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580" w:type="dxa"/>
            <w:vAlign w:val="bottom"/>
            <w:tcBorders>
              <w:right w:val="single" w:sz="8" w:color="auto"/>
            </w:tcBorders>
          </w:tcPr>
          <w:p>
            <w:pPr>
              <w:spacing w:after="0"/>
              <w:rPr>
                <w:sz w:val="11"/>
                <w:szCs w:val="11"/>
                <w:color w:val="auto"/>
              </w:rPr>
            </w:pPr>
          </w:p>
        </w:tc>
        <w:tc>
          <w:tcPr>
            <w:tcW w:w="3680" w:type="dxa"/>
            <w:vAlign w:val="bottom"/>
            <w:tcBorders>
              <w:bottom w:val="single" w:sz="8" w:color="auto"/>
              <w:right w:val="single" w:sz="8" w:color="auto"/>
            </w:tcBorders>
            <w:vMerge w:val="continue"/>
          </w:tcPr>
          <w:p>
            <w:pPr>
              <w:spacing w:after="0"/>
              <w:rPr>
                <w:sz w:val="11"/>
                <w:szCs w:val="11"/>
                <w:color w:val="auto"/>
              </w:rPr>
            </w:pPr>
          </w:p>
        </w:tc>
        <w:tc>
          <w:tcPr>
            <w:tcW w:w="2260" w:type="dxa"/>
            <w:vAlign w:val="bottom"/>
            <w:tcBorders>
              <w:bottom w:val="single" w:sz="8" w:color="auto"/>
              <w:right w:val="single" w:sz="8" w:color="auto"/>
            </w:tcBorders>
            <w:vMerge w:val="continue"/>
          </w:tcPr>
          <w:p>
            <w:pPr>
              <w:spacing w:after="0"/>
              <w:rPr>
                <w:sz w:val="11"/>
                <w:szCs w:val="11"/>
                <w:color w:val="auto"/>
              </w:rPr>
            </w:pPr>
          </w:p>
        </w:tc>
        <w:tc>
          <w:tcPr>
            <w:tcW w:w="2440" w:type="dxa"/>
            <w:vAlign w:val="bottom"/>
            <w:tcBorders>
              <w:bottom w:val="single" w:sz="8" w:color="auto"/>
              <w:right w:val="single" w:sz="8" w:color="auto"/>
            </w:tcBorders>
          </w:tcPr>
          <w:p>
            <w:pPr>
              <w:spacing w:after="0"/>
              <w:rPr>
                <w:sz w:val="11"/>
                <w:szCs w:val="11"/>
                <w:color w:val="auto"/>
              </w:rPr>
            </w:pPr>
          </w:p>
        </w:tc>
        <w:tc>
          <w:tcPr>
            <w:tcW w:w="1960" w:type="dxa"/>
            <w:vAlign w:val="bottom"/>
            <w:tcBorders>
              <w:bottom w:val="single" w:sz="8" w:color="auto"/>
              <w:right w:val="single" w:sz="8" w:color="auto"/>
            </w:tcBorders>
            <w:vMerge w:val="continue"/>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4"/>
        </w:trPr>
        <w:tc>
          <w:tcPr>
            <w:tcW w:w="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28" w:right="179" w:bottom="1440" w:gutter="0" w:footer="0" w:header="0"/>
        </w:sectPr>
      </w:pPr>
    </w:p>
    <w:bookmarkStart w:id="154" w:name="page155"/>
    <w:bookmarkEnd w:id="154"/>
    <w:p>
      <w:pPr>
        <w:jc w:val="center"/>
        <w:ind w:right="-960"/>
        <w:spacing w:after="0"/>
        <w:rPr>
          <w:sz w:val="20"/>
          <w:szCs w:val="20"/>
          <w:color w:val="auto"/>
        </w:rPr>
      </w:pPr>
      <w:r>
        <w:rPr>
          <w:rFonts w:ascii="Arial" w:cs="Arial" w:eastAsia="Arial" w:hAnsi="Arial"/>
          <w:sz w:val="11"/>
          <w:szCs w:val="11"/>
          <w:color w:val="auto"/>
        </w:rPr>
        <w:t>Schedule 5.06</w:t>
      </w:r>
    </w:p>
    <w:p>
      <w:pPr>
        <w:spacing w:after="0" w:line="38" w:lineRule="exact"/>
        <w:rPr>
          <w:sz w:val="20"/>
          <w:szCs w:val="20"/>
          <w:color w:val="auto"/>
        </w:rPr>
      </w:pPr>
    </w:p>
    <w:p>
      <w:pPr>
        <w:jc w:val="center"/>
        <w:ind w:right="-960"/>
        <w:spacing w:after="0"/>
        <w:rPr>
          <w:sz w:val="20"/>
          <w:szCs w:val="20"/>
          <w:color w:val="auto"/>
        </w:rPr>
      </w:pPr>
      <w:r>
        <w:rPr>
          <w:rFonts w:ascii="Arial" w:cs="Arial" w:eastAsia="Arial" w:hAnsi="Arial"/>
          <w:sz w:val="13"/>
          <w:szCs w:val="13"/>
          <w:color w:val="auto"/>
        </w:rPr>
        <w:t>Litigation</w:t>
      </w:r>
    </w:p>
    <w:p>
      <w:pPr>
        <w:spacing w:after="0" w:line="291"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236220</wp:posOffset>
            </wp:positionV>
            <wp:extent cx="7329170" cy="368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9979"/>
          </w:cols>
          <w:pgMar w:left="480" w:top="128" w:right="1440" w:bottom="1440" w:gutter="0" w:footer="0" w:header="0"/>
        </w:sectPr>
      </w:pPr>
    </w:p>
    <w:bookmarkStart w:id="155" w:name="page156"/>
    <w:bookmarkEnd w:id="155"/>
    <w:p>
      <w:pPr>
        <w:jc w:val="right"/>
        <w:ind w:right="3979"/>
        <w:spacing w:after="0"/>
        <w:rPr>
          <w:sz w:val="20"/>
          <w:szCs w:val="20"/>
          <w:color w:val="auto"/>
        </w:rPr>
      </w:pPr>
      <w:r>
        <w:rPr>
          <w:rFonts w:ascii="Arial" w:cs="Arial" w:eastAsia="Arial" w:hAnsi="Arial"/>
          <w:sz w:val="13"/>
          <w:szCs w:val="13"/>
          <w:color w:val="auto"/>
        </w:rPr>
        <w:t>Schedule 5.08(b)(1)</w:t>
      </w:r>
    </w:p>
    <w:p>
      <w:pPr>
        <w:spacing w:after="0" w:line="15" w:lineRule="exact"/>
        <w:rPr>
          <w:sz w:val="20"/>
          <w:szCs w:val="20"/>
          <w:color w:val="auto"/>
        </w:rPr>
      </w:pPr>
    </w:p>
    <w:p>
      <w:pPr>
        <w:ind w:left="4960"/>
        <w:spacing w:after="0"/>
        <w:rPr>
          <w:sz w:val="20"/>
          <w:szCs w:val="20"/>
          <w:color w:val="auto"/>
        </w:rPr>
      </w:pPr>
      <w:r>
        <w:rPr>
          <w:rFonts w:ascii="Arial" w:cs="Arial" w:eastAsia="Arial" w:hAnsi="Arial"/>
          <w:sz w:val="12"/>
          <w:szCs w:val="12"/>
          <w:color w:val="auto"/>
        </w:rPr>
        <w:t>Owned Real Estate</w:t>
      </w:r>
    </w:p>
    <w:p>
      <w:pPr>
        <w:spacing w:after="0" w:line="302"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236220</wp:posOffset>
            </wp:positionV>
            <wp:extent cx="7329170" cy="368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9979"/>
          </w:cols>
          <w:pgMar w:left="480" w:top="128" w:right="1440" w:bottom="1440" w:gutter="0" w:footer="0" w:header="0"/>
        </w:sectPr>
      </w:pPr>
    </w:p>
    <w:bookmarkStart w:id="156" w:name="page157"/>
    <w:bookmarkEnd w:id="156"/>
    <w:p>
      <w:pPr>
        <w:ind w:left="3980"/>
        <w:spacing w:after="0"/>
        <w:rPr>
          <w:sz w:val="20"/>
          <w:szCs w:val="20"/>
          <w:color w:val="auto"/>
        </w:rPr>
      </w:pPr>
      <w:r>
        <w:rPr>
          <w:rFonts w:ascii="Arial" w:cs="Arial" w:eastAsia="Arial" w:hAnsi="Arial"/>
          <w:sz w:val="12"/>
          <w:szCs w:val="12"/>
          <w:color w:val="auto"/>
        </w:rPr>
        <w:t>Schedule 5.08(b)(2)</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2"/>
          <w:szCs w:val="12"/>
          <w:color w:val="auto"/>
        </w:rPr>
        <w:t>Leased Real Estate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(Please 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250825</wp:posOffset>
            </wp:positionV>
            <wp:extent cx="7329170" cy="368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57" w:name="page158"/>
    <w:bookmarkEnd w:id="157"/>
    <w:p>
      <w:pPr>
        <w:ind w:left="2180"/>
        <w:spacing w:after="0"/>
        <w:rPr>
          <w:sz w:val="20"/>
          <w:szCs w:val="20"/>
          <w:color w:val="auto"/>
        </w:rPr>
      </w:pPr>
      <w:r>
        <w:rPr>
          <w:rFonts w:ascii="Arial" w:cs="Arial" w:eastAsia="Arial" w:hAnsi="Arial"/>
          <w:sz w:val="10"/>
          <w:szCs w:val="10"/>
          <w:b w:val="1"/>
          <w:bCs w:val="1"/>
          <w:color w:val="auto"/>
        </w:rPr>
        <w:t>Schedule 5.08(b)(2)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92340" cy="46037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2340" cy="46037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22"/>
        </w:trPr>
        <w:tc>
          <w:tcPr>
            <w:tcW w:w="360" w:type="dxa"/>
            <w:vAlign w:val="bottom"/>
            <w:tcBorders>
              <w:top w:val="single" w:sz="8" w:color="auto"/>
              <w:bottom w:val="single" w:sz="8" w:color="auto"/>
              <w:right w:val="single" w:sz="8" w:color="auto"/>
            </w:tcBorders>
          </w:tcPr>
          <w:p>
            <w:pPr>
              <w:spacing w:after="0"/>
              <w:rPr>
                <w:sz w:val="24"/>
                <w:szCs w:val="24"/>
                <w:color w:val="auto"/>
              </w:rPr>
            </w:pPr>
          </w:p>
        </w:tc>
        <w:tc>
          <w:tcPr>
            <w:tcW w:w="780" w:type="dxa"/>
            <w:vAlign w:val="bottom"/>
            <w:tcBorders>
              <w:top w:val="single" w:sz="8" w:color="auto"/>
              <w:bottom w:val="single" w:sz="8" w:color="auto"/>
              <w:right w:val="single" w:sz="8" w:color="auto"/>
            </w:tcBorders>
          </w:tcPr>
          <w:p>
            <w:pPr>
              <w:spacing w:after="0"/>
              <w:rPr>
                <w:sz w:val="24"/>
                <w:szCs w:val="24"/>
                <w:color w:val="auto"/>
              </w:rPr>
            </w:pPr>
          </w:p>
        </w:tc>
        <w:tc>
          <w:tcPr>
            <w:tcW w:w="780" w:type="dxa"/>
            <w:vAlign w:val="bottom"/>
            <w:tcBorders>
              <w:top w:val="single" w:sz="8" w:color="auto"/>
              <w:bottom w:val="single" w:sz="8" w:color="auto"/>
              <w:right w:val="single" w:sz="8" w:color="auto"/>
            </w:tcBorders>
          </w:tcPr>
          <w:p>
            <w:pPr>
              <w:spacing w:after="0"/>
              <w:rPr>
                <w:sz w:val="24"/>
                <w:szCs w:val="24"/>
                <w:color w:val="auto"/>
              </w:rPr>
            </w:pPr>
          </w:p>
        </w:tc>
        <w:tc>
          <w:tcPr>
            <w:tcW w:w="780" w:type="dxa"/>
            <w:vAlign w:val="bottom"/>
            <w:tcBorders>
              <w:top w:val="single" w:sz="8" w:color="auto"/>
              <w:bottom w:val="single" w:sz="8" w:color="auto"/>
              <w:right w:val="single" w:sz="8" w:color="auto"/>
            </w:tcBorders>
          </w:tcPr>
          <w:p>
            <w:pPr>
              <w:spacing w:after="0"/>
              <w:rPr>
                <w:sz w:val="24"/>
                <w:szCs w:val="24"/>
                <w:color w:val="auto"/>
              </w:rPr>
            </w:pPr>
          </w:p>
        </w:tc>
        <w:tc>
          <w:tcPr>
            <w:tcW w:w="780" w:type="dxa"/>
            <w:vAlign w:val="bottom"/>
            <w:tcBorders>
              <w:top w:val="single" w:sz="8" w:color="auto"/>
              <w:bottom w:val="single" w:sz="8" w:color="auto"/>
              <w:right w:val="single" w:sz="8" w:color="auto"/>
            </w:tcBorders>
          </w:tcPr>
          <w:p>
            <w:pPr>
              <w:spacing w:after="0"/>
              <w:rPr>
                <w:sz w:val="24"/>
                <w:szCs w:val="24"/>
                <w:color w:val="auto"/>
              </w:rPr>
            </w:pPr>
          </w:p>
        </w:tc>
        <w:tc>
          <w:tcPr>
            <w:tcW w:w="300" w:type="dxa"/>
            <w:vAlign w:val="bottom"/>
            <w:tcBorders>
              <w:top w:val="single" w:sz="8" w:color="auto"/>
              <w:bottom w:val="single" w:sz="8" w:color="auto"/>
              <w:right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44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3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300" w:type="dxa"/>
            <w:vAlign w:val="bottom"/>
            <w:tcBorders>
              <w:right w:val="single" w:sz="8" w:color="auto"/>
            </w:tcBorders>
          </w:tcPr>
          <w:p>
            <w:pPr>
              <w:spacing w:after="0"/>
              <w:rPr>
                <w:sz w:val="6"/>
                <w:szCs w:val="6"/>
                <w:color w:val="auto"/>
              </w:rPr>
            </w:pPr>
          </w:p>
        </w:tc>
        <w:tc>
          <w:tcPr>
            <w:tcW w:w="360" w:type="dxa"/>
            <w:vAlign w:val="bottom"/>
            <w:tcBorders>
              <w:right w:val="single" w:sz="8" w:color="auto"/>
            </w:tcBorders>
          </w:tcPr>
          <w:p>
            <w:pPr>
              <w:ind w:left="80"/>
              <w:spacing w:after="0" w:line="70" w:lineRule="exact"/>
              <w:rPr>
                <w:sz w:val="20"/>
                <w:szCs w:val="20"/>
                <w:color w:val="auto"/>
              </w:rPr>
            </w:pPr>
            <w:r>
              <w:rPr>
                <w:rFonts w:ascii="Arial" w:cs="Arial" w:eastAsia="Arial" w:hAnsi="Arial"/>
                <w:sz w:val="7"/>
                <w:szCs w:val="7"/>
                <w:b w:val="1"/>
                <w:bCs w:val="1"/>
                <w:color w:val="auto"/>
              </w:rPr>
              <w:t>Store</w:t>
            </w:r>
          </w:p>
        </w:tc>
        <w:tc>
          <w:tcPr>
            <w:tcW w:w="144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left w:val="single" w:sz="8" w:color="auto"/>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780" w:type="dxa"/>
            <w:vAlign w:val="bottom"/>
            <w:tcBorders>
              <w:left w:val="single" w:sz="8" w:color="auto"/>
              <w:right w:val="single" w:sz="8" w:color="auto"/>
            </w:tcBorders>
          </w:tcPr>
          <w:p>
            <w:pPr>
              <w:spacing w:after="0"/>
              <w:rPr>
                <w:sz w:val="6"/>
                <w:szCs w:val="6"/>
                <w:color w:val="auto"/>
              </w:rPr>
            </w:pP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w:t>
            </w:r>
          </w:p>
        </w:tc>
        <w:tc>
          <w:tcPr>
            <w:tcW w:w="50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Phone Number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36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b w:val="1"/>
                <w:bCs w:val="1"/>
                <w:color w:val="auto"/>
              </w:rPr>
              <w:t>Store</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b w:val="1"/>
                <w:bCs w:val="1"/>
                <w:color w:val="auto"/>
              </w:rPr>
              <w:t>Store Legal Entity</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b w:val="1"/>
                <w:bCs w:val="1"/>
                <w:color w:val="auto"/>
                <w:w w:val="94"/>
              </w:rPr>
              <w:t>Store Street Address</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w w:val="97"/>
              </w:rPr>
              <w:t>Store Street Address</w:t>
            </w:r>
          </w:p>
        </w:tc>
        <w:tc>
          <w:tcPr>
            <w:tcW w:w="78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rPr>
              <w:t>Store</w:t>
            </w:r>
          </w:p>
        </w:tc>
        <w:tc>
          <w:tcPr>
            <w:tcW w:w="360" w:type="dxa"/>
            <w:vAlign w:val="bottom"/>
            <w:tcBorders>
              <w:right w:val="single" w:sz="8" w:color="auto"/>
            </w:tcBorders>
          </w:tcPr>
          <w:p>
            <w:pPr>
              <w:ind w:left="80"/>
              <w:spacing w:after="0"/>
              <w:rPr>
                <w:sz w:val="20"/>
                <w:szCs w:val="20"/>
                <w:color w:val="auto"/>
              </w:rPr>
            </w:pPr>
            <w:r>
              <w:rPr>
                <w:rFonts w:ascii="Arial" w:cs="Arial" w:eastAsia="Arial" w:hAnsi="Arial"/>
                <w:sz w:val="7"/>
                <w:szCs w:val="7"/>
                <w:b w:val="1"/>
                <w:bCs w:val="1"/>
                <w:color w:val="auto"/>
              </w:rPr>
              <w:t>Postal</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Name</w:t>
            </w: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Attention To</w:t>
            </w: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In Care Of</w:t>
            </w:r>
          </w:p>
        </w:tc>
        <w:tc>
          <w:tcPr>
            <w:tcW w:w="780" w:type="dxa"/>
            <w:vAlign w:val="bottom"/>
            <w:tcBorders>
              <w:left w:val="single" w:sz="8" w:color="auto"/>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Street 1</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Street 2</w:t>
            </w:r>
          </w:p>
        </w:tc>
        <w:tc>
          <w:tcPr>
            <w:tcW w:w="780" w:type="dxa"/>
            <w:vAlign w:val="bottom"/>
            <w:tcBorders>
              <w:left w:val="single" w:sz="8" w:color="auto"/>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City</w:t>
            </w:r>
          </w:p>
        </w:tc>
        <w:tc>
          <w:tcPr>
            <w:tcW w:w="240" w:type="dxa"/>
            <w:vAlign w:val="bottom"/>
            <w:tcBorders>
              <w:right w:val="single" w:sz="8" w:color="auto"/>
            </w:tcBorders>
            <w:vMerge w:val="continue"/>
          </w:tcPr>
          <w:p>
            <w:pPr>
              <w:spacing w:after="0"/>
              <w:rPr>
                <w:sz w:val="7"/>
                <w:szCs w:val="7"/>
                <w:color w:val="auto"/>
              </w:rPr>
            </w:pP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Zip</w:t>
            </w:r>
          </w:p>
        </w:tc>
        <w:tc>
          <w:tcPr>
            <w:tcW w:w="7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36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00" w:type="dxa"/>
            <w:vAlign w:val="bottom"/>
            <w:tcBorders>
              <w:right w:val="single" w:sz="8" w:color="auto"/>
            </w:tcBorders>
            <w:vMerge w:val="continue"/>
          </w:tcPr>
          <w:p>
            <w:pPr>
              <w:spacing w:after="0"/>
              <w:rPr>
                <w:sz w:val="3"/>
                <w:szCs w:val="3"/>
                <w:color w:val="auto"/>
              </w:rPr>
            </w:pPr>
          </w:p>
        </w:tc>
        <w:tc>
          <w:tcPr>
            <w:tcW w:w="36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b w:val="1"/>
                <w:bCs w:val="1"/>
                <w:color w:val="auto"/>
              </w:rPr>
              <w:t>Code</w:t>
            </w:r>
          </w:p>
        </w:tc>
        <w:tc>
          <w:tcPr>
            <w:tcW w:w="144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vMerge w:val="continue"/>
          </w:tcPr>
          <w:p>
            <w:pPr>
              <w:spacing w:after="0"/>
              <w:rPr>
                <w:sz w:val="3"/>
                <w:szCs w:val="3"/>
                <w:color w:val="auto"/>
              </w:rPr>
            </w:pPr>
          </w:p>
        </w:tc>
        <w:tc>
          <w:tcPr>
            <w:tcW w:w="780" w:type="dxa"/>
            <w:vAlign w:val="bottom"/>
            <w:tcBorders>
              <w:left w:val="single" w:sz="8" w:color="auto"/>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780" w:type="dxa"/>
            <w:vAlign w:val="bottom"/>
            <w:tcBorders>
              <w:left w:val="single" w:sz="8" w:color="auto"/>
              <w:right w:val="single" w:sz="8" w:color="auto"/>
            </w:tcBorders>
            <w:vMerge w:val="continue"/>
          </w:tcPr>
          <w:p>
            <w:pPr>
              <w:spacing w:after="0"/>
              <w:rPr>
                <w:sz w:val="3"/>
                <w:szCs w:val="3"/>
                <w:color w:val="auto"/>
              </w:rPr>
            </w:pP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State</w:t>
            </w:r>
          </w:p>
        </w:tc>
        <w:tc>
          <w:tcPr>
            <w:tcW w:w="5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7"/>
        </w:trPr>
        <w:tc>
          <w:tcPr>
            <w:tcW w:w="36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b w:val="1"/>
                <w:bCs w:val="1"/>
                <w:color w:val="auto"/>
              </w:rPr>
              <w:t>#</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b w:val="1"/>
                <w:bCs w:val="1"/>
                <w:color w:val="auto"/>
              </w:rPr>
              <w:t>Name</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b w:val="1"/>
                <w:bCs w:val="1"/>
                <w:color w:val="auto"/>
              </w:rPr>
              <w:t>#1</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rPr>
              <w:t>#2</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rPr>
              <w:t>Store City</w:t>
            </w:r>
          </w:p>
        </w:tc>
        <w:tc>
          <w:tcPr>
            <w:tcW w:w="30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rPr>
              <w:t>State</w:t>
            </w:r>
          </w:p>
        </w:tc>
        <w:tc>
          <w:tcPr>
            <w:tcW w:w="360" w:type="dxa"/>
            <w:vAlign w:val="bottom"/>
            <w:tcBorders>
              <w:right w:val="single" w:sz="8" w:color="auto"/>
            </w:tcBorders>
            <w:vMerge w:val="continue"/>
          </w:tcPr>
          <w:p>
            <w:pPr>
              <w:spacing w:after="0"/>
              <w:rPr>
                <w:sz w:val="4"/>
                <w:szCs w:val="4"/>
                <w:color w:val="auto"/>
              </w:rPr>
            </w:pPr>
          </w:p>
        </w:tc>
        <w:tc>
          <w:tcPr>
            <w:tcW w:w="144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80" w:type="dxa"/>
            <w:vAlign w:val="bottom"/>
            <w:tcBorders>
              <w:left w:val="single" w:sz="8" w:color="auto"/>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780" w:type="dxa"/>
            <w:vAlign w:val="bottom"/>
            <w:tcBorders>
              <w:left w:val="single" w:sz="8" w:color="auto"/>
              <w:right w:val="single" w:sz="8" w:color="auto"/>
            </w:tcBorders>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360" w:type="dxa"/>
            <w:vAlign w:val="bottom"/>
            <w:tcBorders>
              <w:bottom w:val="single" w:sz="8" w:color="auto"/>
              <w:right w:val="single" w:sz="8" w:color="auto"/>
            </w:tcBorders>
            <w:vMerge w:val="continue"/>
          </w:tcPr>
          <w:p>
            <w:pPr>
              <w:spacing w:after="0"/>
              <w:rPr>
                <w:sz w:val="5"/>
                <w:szCs w:val="5"/>
                <w:color w:val="auto"/>
              </w:rPr>
            </w:pPr>
          </w:p>
        </w:tc>
        <w:tc>
          <w:tcPr>
            <w:tcW w:w="780" w:type="dxa"/>
            <w:vAlign w:val="bottom"/>
            <w:tcBorders>
              <w:bottom w:val="single" w:sz="8" w:color="auto"/>
              <w:right w:val="single" w:sz="8" w:color="auto"/>
            </w:tcBorders>
            <w:vMerge w:val="continue"/>
          </w:tcPr>
          <w:p>
            <w:pPr>
              <w:spacing w:after="0"/>
              <w:rPr>
                <w:sz w:val="5"/>
                <w:szCs w:val="5"/>
                <w:color w:val="auto"/>
              </w:rPr>
            </w:pPr>
          </w:p>
        </w:tc>
        <w:tc>
          <w:tcPr>
            <w:tcW w:w="780" w:type="dxa"/>
            <w:vAlign w:val="bottom"/>
            <w:tcBorders>
              <w:bottom w:val="single" w:sz="8" w:color="auto"/>
              <w:right w:val="single" w:sz="8" w:color="auto"/>
            </w:tcBorders>
            <w:vMerge w:val="continue"/>
          </w:tcPr>
          <w:p>
            <w:pPr>
              <w:spacing w:after="0"/>
              <w:rPr>
                <w:sz w:val="5"/>
                <w:szCs w:val="5"/>
                <w:color w:val="auto"/>
              </w:rPr>
            </w:pPr>
          </w:p>
        </w:tc>
        <w:tc>
          <w:tcPr>
            <w:tcW w:w="780" w:type="dxa"/>
            <w:vAlign w:val="bottom"/>
            <w:tcBorders>
              <w:bottom w:val="single" w:sz="8" w:color="auto"/>
              <w:right w:val="single" w:sz="8" w:color="auto"/>
            </w:tcBorders>
            <w:vMerge w:val="continue"/>
          </w:tcPr>
          <w:p>
            <w:pPr>
              <w:spacing w:after="0"/>
              <w:rPr>
                <w:sz w:val="5"/>
                <w:szCs w:val="5"/>
                <w:color w:val="auto"/>
              </w:rPr>
            </w:pPr>
          </w:p>
        </w:tc>
        <w:tc>
          <w:tcPr>
            <w:tcW w:w="780" w:type="dxa"/>
            <w:vAlign w:val="bottom"/>
            <w:tcBorders>
              <w:bottom w:val="single" w:sz="8" w:color="auto"/>
              <w:right w:val="single" w:sz="8" w:color="auto"/>
            </w:tcBorders>
            <w:vMerge w:val="continue"/>
          </w:tcPr>
          <w:p>
            <w:pPr>
              <w:spacing w:after="0"/>
              <w:rPr>
                <w:sz w:val="5"/>
                <w:szCs w:val="5"/>
                <w:color w:val="auto"/>
              </w:rPr>
            </w:pPr>
          </w:p>
        </w:tc>
        <w:tc>
          <w:tcPr>
            <w:tcW w:w="300" w:type="dxa"/>
            <w:vAlign w:val="bottom"/>
            <w:tcBorders>
              <w:bottom w:val="single" w:sz="8" w:color="auto"/>
              <w:right w:val="single" w:sz="8" w:color="auto"/>
            </w:tcBorders>
            <w:vMerge w:val="continue"/>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780" w:type="dxa"/>
            <w:vAlign w:val="bottom"/>
            <w:tcBorders>
              <w:left w:val="single" w:sz="8" w:color="auto"/>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78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360" w:type="dxa"/>
            <w:vAlign w:val="bottom"/>
            <w:tcBorders>
              <w:right w:val="single" w:sz="8" w:color="auto"/>
            </w:tcBorders>
          </w:tcPr>
          <w:p>
            <w:pPr>
              <w:ind w:left="100"/>
              <w:spacing w:after="0"/>
              <w:rPr>
                <w:sz w:val="20"/>
                <w:szCs w:val="20"/>
                <w:color w:val="auto"/>
              </w:rPr>
            </w:pPr>
            <w:r>
              <w:rPr>
                <w:rFonts w:ascii="Arial" w:cs="Arial" w:eastAsia="Arial" w:hAnsi="Arial"/>
                <w:sz w:val="7"/>
                <w:szCs w:val="7"/>
                <w:color w:val="auto"/>
              </w:rPr>
              <w:t>5008</w:t>
            </w:r>
          </w:p>
        </w:tc>
        <w:tc>
          <w:tcPr>
            <w:tcW w:w="780" w:type="dxa"/>
            <w:vAlign w:val="bottom"/>
            <w:tcBorders>
              <w:right w:val="single" w:sz="8" w:color="auto"/>
            </w:tcBorders>
          </w:tcPr>
          <w:p>
            <w:pPr>
              <w:ind w:left="80"/>
              <w:spacing w:after="0"/>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80"/>
              <w:spacing w:after="0"/>
              <w:rPr>
                <w:sz w:val="20"/>
                <w:szCs w:val="20"/>
                <w:color w:val="auto"/>
              </w:rPr>
            </w:pPr>
            <w:r>
              <w:rPr>
                <w:rFonts w:ascii="Arial" w:cs="Arial" w:eastAsia="Arial" w:hAnsi="Arial"/>
                <w:sz w:val="7"/>
                <w:szCs w:val="7"/>
                <w:color w:val="auto"/>
              </w:rPr>
              <w:t>9737 WILSHIRE</w:t>
            </w:r>
          </w:p>
        </w:tc>
        <w:tc>
          <w:tcPr>
            <w:tcW w:w="7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ind w:left="60"/>
              <w:spacing w:after="0"/>
              <w:rPr>
                <w:sz w:val="20"/>
                <w:szCs w:val="20"/>
                <w:color w:val="auto"/>
              </w:rPr>
            </w:pPr>
            <w:r>
              <w:rPr>
                <w:rFonts w:ascii="Arial" w:cs="Arial" w:eastAsia="Arial" w:hAnsi="Arial"/>
                <w:sz w:val="7"/>
                <w:szCs w:val="7"/>
                <w:color w:val="auto"/>
              </w:rPr>
              <w:t>BEVERLY HILLS</w:t>
            </w:r>
          </w:p>
        </w:tc>
        <w:tc>
          <w:tcPr>
            <w:tcW w:w="300" w:type="dxa"/>
            <w:vAlign w:val="bottom"/>
            <w:tcBorders>
              <w:right w:val="single" w:sz="8" w:color="auto"/>
            </w:tcBorders>
          </w:tcPr>
          <w:p>
            <w:pPr>
              <w:ind w:left="60"/>
              <w:spacing w:after="0"/>
              <w:rPr>
                <w:sz w:val="20"/>
                <w:szCs w:val="20"/>
                <w:color w:val="auto"/>
              </w:rPr>
            </w:pPr>
            <w:r>
              <w:rPr>
                <w:rFonts w:ascii="Arial" w:cs="Arial" w:eastAsia="Arial" w:hAnsi="Arial"/>
                <w:sz w:val="7"/>
                <w:szCs w:val="7"/>
                <w:color w:val="auto"/>
              </w:rPr>
              <w:t>CA</w:t>
            </w:r>
          </w:p>
        </w:tc>
        <w:tc>
          <w:tcPr>
            <w:tcW w:w="360" w:type="dxa"/>
            <w:vAlign w:val="bottom"/>
            <w:tcBorders>
              <w:right w:val="single" w:sz="8" w:color="auto"/>
            </w:tcBorders>
          </w:tcPr>
          <w:p>
            <w:pPr>
              <w:ind w:left="80"/>
              <w:spacing w:after="0"/>
              <w:rPr>
                <w:sz w:val="20"/>
                <w:szCs w:val="20"/>
                <w:color w:val="auto"/>
              </w:rPr>
            </w:pPr>
            <w:r>
              <w:rPr>
                <w:rFonts w:ascii="Arial" w:cs="Arial" w:eastAsia="Arial" w:hAnsi="Arial"/>
                <w:sz w:val="7"/>
                <w:szCs w:val="7"/>
                <w:color w:val="auto"/>
              </w:rPr>
              <w:t>90212</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BEVERLY HILLS GATEWAY, LP</w:t>
            </w:r>
          </w:p>
        </w:tc>
        <w:tc>
          <w:tcPr>
            <w:tcW w:w="1040" w:type="dxa"/>
            <w:vAlign w:val="bottom"/>
            <w:tcBorders>
              <w:right w:val="single" w:sz="8" w:color="auto"/>
            </w:tcBorders>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7"/>
                <w:szCs w:val="7"/>
                <w:color w:val="auto"/>
              </w:rPr>
              <w:t>OFFICE OF THE</w:t>
            </w:r>
          </w:p>
        </w:tc>
        <w:tc>
          <w:tcPr>
            <w:tcW w:w="780" w:type="dxa"/>
            <w:vAlign w:val="bottom"/>
            <w:tcBorders>
              <w:right w:val="single" w:sz="8" w:color="auto"/>
            </w:tcBorders>
          </w:tcPr>
          <w:p>
            <w:pPr>
              <w:spacing w:after="0"/>
              <w:rPr>
                <w:sz w:val="20"/>
                <w:szCs w:val="20"/>
                <w:color w:val="auto"/>
              </w:rPr>
            </w:pPr>
            <w:r>
              <w:rPr>
                <w:rFonts w:ascii="Arial" w:cs="Arial" w:eastAsia="Arial" w:hAnsi="Arial"/>
                <w:sz w:val="7"/>
                <w:szCs w:val="7"/>
                <w:color w:val="auto"/>
              </w:rPr>
              <w:t>9777 WILSHIRE</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BEVERLY HILLS</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CA</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90212</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(310) 274-9786</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3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RBT, LLC</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BLVD. SUITE 100-</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BUILDING</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BLVD SUITE 815</w:t>
            </w: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5013</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1301 AVENUE OF</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NEW YORK</w:t>
            </w:r>
          </w:p>
        </w:tc>
        <w:tc>
          <w:tcPr>
            <w:tcW w:w="30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NY</w:t>
            </w:r>
          </w:p>
        </w:tc>
        <w:tc>
          <w:tcPr>
            <w:tcW w:w="36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10019</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1301 PROPERTIES OWNER LP</w:t>
            </w:r>
          </w:p>
        </w:tc>
        <w:tc>
          <w:tcPr>
            <w:tcW w:w="104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c/o PARAMOUNT</w:t>
            </w: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1633 BROADWAY,</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NEW YORK</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NY</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10019</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(212) 237-3116</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RBT, LLC</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THE AMERICAS</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GROUP, INC</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1801</w:t>
            </w: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5016</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1020</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WASHINGTON</w:t>
            </w:r>
          </w:p>
        </w:tc>
        <w:tc>
          <w:tcPr>
            <w:tcW w:w="30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DC</w:t>
            </w:r>
          </w:p>
        </w:tc>
        <w:tc>
          <w:tcPr>
            <w:tcW w:w="36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20036</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WASHINGTON SQUARE , LLC</w:t>
            </w:r>
          </w:p>
        </w:tc>
        <w:tc>
          <w:tcPr>
            <w:tcW w:w="104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LERNER CORP,</w:t>
            </w: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2000 TOWER OAKS</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ROCKVILLE</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MD</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20852</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(301) 284-6000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RBT, LLC</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CONNECTICUT</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MANAGING</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BLVD., 8TH FL</w:t>
            </w: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5025</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BISCAYNE (US1)</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AVENTURA</w:t>
            </w:r>
          </w:p>
        </w:tc>
        <w:tc>
          <w:tcPr>
            <w:tcW w:w="30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FL</w:t>
            </w:r>
          </w:p>
        </w:tc>
        <w:tc>
          <w:tcPr>
            <w:tcW w:w="36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33180</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AVENTURA FASHION ISLAND, LP</w:t>
            </w:r>
          </w:p>
        </w:tc>
        <w:tc>
          <w:tcPr>
            <w:tcW w:w="104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LEGAL DEPT/LEASING</w:t>
            </w: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TURNBERRY ASSOCIATES</w:t>
            </w: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19501 BISCAYNE</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400</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AVENTURA</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FL</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33180</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305-933-5562</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RBT, LLC</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&amp; NE 187TH</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ATTY</w:t>
            </w:r>
          </w:p>
        </w:tc>
        <w:tc>
          <w:tcPr>
            <w:tcW w:w="104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BLVD</w:t>
            </w:r>
          </w:p>
        </w:tc>
        <w:tc>
          <w:tcPr>
            <w:tcW w:w="78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vMerge w:val="continue"/>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59316</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35 SO.</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LANCASTER</w:t>
            </w:r>
          </w:p>
        </w:tc>
        <w:tc>
          <w:tcPr>
            <w:tcW w:w="30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PA</w:t>
            </w:r>
          </w:p>
        </w:tc>
        <w:tc>
          <w:tcPr>
            <w:tcW w:w="36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17602-</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ROCKVALE VEHICLES LLC</w:t>
            </w:r>
          </w:p>
        </w:tc>
        <w:tc>
          <w:tcPr>
            <w:tcW w:w="104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8 INDUSTRIAL WAY</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EATONTOWN</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NJ</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07724</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732-935-0111</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WILLOWDALE DR.</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EAST 2ND FLOOR</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59414</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6605 Menaul NE</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Albuquerque</w:t>
            </w:r>
          </w:p>
        </w:tc>
        <w:tc>
          <w:tcPr>
            <w:tcW w:w="30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NM</w:t>
            </w:r>
          </w:p>
        </w:tc>
        <w:tc>
          <w:tcPr>
            <w:tcW w:w="36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87110</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BUTSCHER INVESTMENTS, LLC</w:t>
            </w:r>
          </w:p>
        </w:tc>
        <w:tc>
          <w:tcPr>
            <w:tcW w:w="104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4333 PAN</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ALBUQUERQUE</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NM</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87107-6833</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505-247-0444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STORE, LLC</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AMERICAN FWY NE</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9011</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113 E. CHICAGO</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CHICAGO</w:t>
            </w:r>
          </w:p>
        </w:tc>
        <w:tc>
          <w:tcPr>
            <w:tcW w:w="30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IL</w:t>
            </w:r>
          </w:p>
        </w:tc>
        <w:tc>
          <w:tcPr>
            <w:tcW w:w="36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60611</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PONTE GADEA CHICAGO, LLC</w:t>
            </w:r>
          </w:p>
        </w:tc>
        <w:tc>
          <w:tcPr>
            <w:tcW w:w="104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PONTE GADEA GROUP</w:t>
            </w: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270 BISCAYNE</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201</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FL</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33131</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305-373-9559</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STORE, LLC</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AVENUE</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BOULEVARD WAY</w:t>
            </w:r>
          </w:p>
        </w:tc>
        <w:tc>
          <w:tcPr>
            <w:tcW w:w="78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9012</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443 ROUTE 17</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PARAMUS</w:t>
            </w:r>
          </w:p>
        </w:tc>
        <w:tc>
          <w:tcPr>
            <w:tcW w:w="30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NJ</w:t>
            </w:r>
          </w:p>
        </w:tc>
        <w:tc>
          <w:tcPr>
            <w:tcW w:w="36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07652-</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EVELYN WELLS</w:t>
            </w:r>
          </w:p>
        </w:tc>
        <w:tc>
          <w:tcPr>
            <w:tcW w:w="104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w:t>
            </w: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19 SCARSDALE</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SCARSDALE</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NY</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10583</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(914) 725-3130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SOUTH</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FARM ROAD</w:t>
            </w: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9015</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3157 PEACHTREE</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ATLANTA</w:t>
            </w:r>
          </w:p>
        </w:tc>
        <w:tc>
          <w:tcPr>
            <w:tcW w:w="30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GA</w:t>
            </w:r>
          </w:p>
        </w:tc>
        <w:tc>
          <w:tcPr>
            <w:tcW w:w="36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30305</w:t>
            </w:r>
          </w:p>
        </w:tc>
        <w:tc>
          <w:tcPr>
            <w:tcW w:w="144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GEORGE E. MAYER &amp; OSBOURNE</w:t>
            </w:r>
          </w:p>
        </w:tc>
        <w:tc>
          <w:tcPr>
            <w:tcW w:w="104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PO BOX 2006</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HIGHLANDS</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NC</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28741</w:t>
            </w:r>
          </w:p>
        </w:tc>
        <w:tc>
          <w:tcPr>
            <w:tcW w:w="7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ROAD</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FAMILY ENTERPIRSES LLLP</w:t>
            </w:r>
          </w:p>
        </w:tc>
        <w:tc>
          <w:tcPr>
            <w:tcW w:w="104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vMerge w:val="continue"/>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9053</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BROADWAY PLAZA</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9702 QUIVIRA</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OVERLAND PARK</w:t>
            </w:r>
          </w:p>
        </w:tc>
        <w:tc>
          <w:tcPr>
            <w:tcW w:w="30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KS</w:t>
            </w:r>
          </w:p>
        </w:tc>
        <w:tc>
          <w:tcPr>
            <w:tcW w:w="36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66215</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BROADWAY PLAZA PARTNERS, LLC</w:t>
            </w: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PROPERTY MANAGER</w:t>
            </w: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BLOCK &amp; COMPANY, INC</w:t>
            </w: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605 WEST 47TH</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200</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KANSAS CITY</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MO</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94112</w:t>
            </w:r>
          </w:p>
        </w:tc>
        <w:tc>
          <w:tcPr>
            <w:tcW w:w="7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STORE, LLC</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ROAD</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(LENEXA)</w:t>
            </w:r>
          </w:p>
        </w:tc>
        <w:tc>
          <w:tcPr>
            <w:tcW w:w="30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STREET</w:t>
            </w:r>
          </w:p>
        </w:tc>
        <w:tc>
          <w:tcPr>
            <w:tcW w:w="78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9054</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RIVERTREE</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701 NORTH</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VERNON HILLS</w:t>
            </w:r>
          </w:p>
        </w:tc>
        <w:tc>
          <w:tcPr>
            <w:tcW w:w="30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IL</w:t>
            </w:r>
          </w:p>
        </w:tc>
        <w:tc>
          <w:tcPr>
            <w:tcW w:w="36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60061</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RIVERTREE AT VERNON HILLS, LLC</w:t>
            </w:r>
          </w:p>
        </w:tc>
        <w:tc>
          <w:tcPr>
            <w:tcW w:w="104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P.O.BOX:232</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HIGHLAND PARK</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IL</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60035</w:t>
            </w:r>
          </w:p>
        </w:tc>
        <w:tc>
          <w:tcPr>
            <w:tcW w:w="7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STORE, LLC</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COURT</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MILWAUKEE AVE</w:t>
            </w:r>
          </w:p>
        </w:tc>
        <w:tc>
          <w:tcPr>
            <w:tcW w:w="780" w:type="dxa"/>
            <w:vAlign w:val="bottom"/>
            <w:tcBorders>
              <w:right w:val="single" w:sz="8" w:color="auto"/>
            </w:tcBorders>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9055</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1113 KENNY</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COLUMBUS</w:t>
            </w:r>
          </w:p>
        </w:tc>
        <w:tc>
          <w:tcPr>
            <w:tcW w:w="30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OH</w:t>
            </w:r>
          </w:p>
        </w:tc>
        <w:tc>
          <w:tcPr>
            <w:tcW w:w="36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43220</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KENNY CENTER LLC</w:t>
            </w:r>
          </w:p>
        </w:tc>
        <w:tc>
          <w:tcPr>
            <w:tcW w:w="104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KENNY RUB LLC</w:t>
            </w: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3016 MARYLAND</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COLUMBUS</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OH</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43209</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614-338-4212</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STORE, LLC</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CENTRE</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AVENUE:POB 9601</w:t>
            </w: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9056</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847 S. WHITE</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MEMPHIS</w:t>
            </w:r>
          </w:p>
        </w:tc>
        <w:tc>
          <w:tcPr>
            <w:tcW w:w="30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TN</w:t>
            </w:r>
          </w:p>
        </w:tc>
        <w:tc>
          <w:tcPr>
            <w:tcW w:w="36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38117</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EASTGATE CENTER PROPCO, LLC</w:t>
            </w:r>
          </w:p>
        </w:tc>
        <w:tc>
          <w:tcPr>
            <w:tcW w:w="104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EASTGATE ASSET</w:t>
            </w: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8333 DOUGLAS</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DALLAS</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TX</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75225</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901-260-7267</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STATION ROAD</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MANAGER</w:t>
            </w: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AVENUE, SUITE 975</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vMerge w:val="continue"/>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9059</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26300</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LATHRUP VILLAGE</w:t>
            </w:r>
          </w:p>
        </w:tc>
        <w:tc>
          <w:tcPr>
            <w:tcW w:w="30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MI</w:t>
            </w:r>
          </w:p>
        </w:tc>
        <w:tc>
          <w:tcPr>
            <w:tcW w:w="36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48076</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26300 INVESTMENTS LP</w:t>
            </w:r>
          </w:p>
        </w:tc>
        <w:tc>
          <w:tcPr>
            <w:tcW w:w="104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TERESA KARLAVAGE</w:t>
            </w: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41000 WOODWARD</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120 EAST</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BLOOMFIELD HILLS</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MI</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48304-5133</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(248) 540-7377</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RBT, LLC</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SOUTHFIELD</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AVE</w:t>
            </w:r>
          </w:p>
        </w:tc>
        <w:tc>
          <w:tcPr>
            <w:tcW w:w="78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9060</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3480 FAIRLANE</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ALLEN PARK</w:t>
            </w:r>
          </w:p>
        </w:tc>
        <w:tc>
          <w:tcPr>
            <w:tcW w:w="30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MI</w:t>
            </w:r>
          </w:p>
        </w:tc>
        <w:tc>
          <w:tcPr>
            <w:tcW w:w="36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48101</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FAIRLANE GREEN OWNER LLC</w:t>
            </w:r>
          </w:p>
        </w:tc>
        <w:tc>
          <w:tcPr>
            <w:tcW w:w="104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C/O ACADIA REALTY</w:t>
            </w: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411 THEODORE</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RYE</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NY</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10580</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914-288-8100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DRIVE</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TRUST</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FREMD AVE., SUITE</w:t>
            </w: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9063</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43263 CRESCENT</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NOVI</w:t>
            </w:r>
          </w:p>
        </w:tc>
        <w:tc>
          <w:tcPr>
            <w:tcW w:w="30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MI</w:t>
            </w:r>
          </w:p>
        </w:tc>
        <w:tc>
          <w:tcPr>
            <w:tcW w:w="36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48375</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NOVI TOWN CENTER INVESTORS LLC</w:t>
            </w: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GENERAL COUNSEL</w:t>
            </w: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10 STATE HOUSE</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HARTFORD</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CT</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06103-3604</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(248) 3473830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BOULEVARD</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SQUARE, 15TH</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9064</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DSG Center</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13090 Hall Road</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Sterling Heights</w:t>
            </w:r>
          </w:p>
        </w:tc>
        <w:tc>
          <w:tcPr>
            <w:tcW w:w="30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MI</w:t>
            </w:r>
          </w:p>
        </w:tc>
        <w:tc>
          <w:tcPr>
            <w:tcW w:w="36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48313</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STERLING HEIGHTS TC, LLC</w:t>
            </w:r>
          </w:p>
        </w:tc>
        <w:tc>
          <w:tcPr>
            <w:tcW w:w="104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34120 WOODWARD</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BIRMINGHAM</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MI</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48009</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248-540-9999</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AVENUE</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9067</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236 LAFAYETTE</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MENLO PARK</w:t>
            </w:r>
          </w:p>
        </w:tc>
        <w:tc>
          <w:tcPr>
            <w:tcW w:w="30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NJ</w:t>
            </w:r>
          </w:p>
        </w:tc>
        <w:tc>
          <w:tcPr>
            <w:tcW w:w="36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8837</w:t>
            </w:r>
          </w:p>
        </w:tc>
        <w:tc>
          <w:tcPr>
            <w:tcW w:w="144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MILLED FAMILY LIMITED</w:t>
            </w:r>
          </w:p>
        </w:tc>
        <w:tc>
          <w:tcPr>
            <w:tcW w:w="104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GLENKAT REALTY CO.,</w:t>
            </w: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499 ERNSTON</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PO BOX 741</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PARLIN</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NJ</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8859</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(732) 727-1010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ROAD</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PARTNERSHIP</w:t>
            </w:r>
          </w:p>
        </w:tc>
        <w:tc>
          <w:tcPr>
            <w:tcW w:w="104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LTD.</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ROAD, SUITE B1</w:t>
            </w:r>
          </w:p>
        </w:tc>
        <w:tc>
          <w:tcPr>
            <w:tcW w:w="78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vMerge w:val="continue"/>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9072</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1725 NORTH</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MESQUITE</w:t>
            </w:r>
          </w:p>
        </w:tc>
        <w:tc>
          <w:tcPr>
            <w:tcW w:w="30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TX</w:t>
            </w:r>
          </w:p>
        </w:tc>
        <w:tc>
          <w:tcPr>
            <w:tcW w:w="36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75150</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MESQUITE EMPORIUM, LP</w:t>
            </w:r>
          </w:p>
        </w:tc>
        <w:tc>
          <w:tcPr>
            <w:tcW w:w="104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C/O QUINE &amp;</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PO BOX 833009</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RICHARDSON</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TX</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75083-3009</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(972) 669-8440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TOWN EAST</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ASSOCIATES, INC</w:t>
            </w:r>
          </w:p>
        </w:tc>
        <w:tc>
          <w:tcPr>
            <w:tcW w:w="78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9074</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5393-A</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HOUSTON</w:t>
            </w:r>
          </w:p>
        </w:tc>
        <w:tc>
          <w:tcPr>
            <w:tcW w:w="30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TX</w:t>
            </w:r>
          </w:p>
        </w:tc>
        <w:tc>
          <w:tcPr>
            <w:tcW w:w="36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77056</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UPTOWN JOINT VENTURE</w:t>
            </w:r>
          </w:p>
        </w:tc>
        <w:tc>
          <w:tcPr>
            <w:tcW w:w="104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FIDELIS REALTY, LTD</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4500 BISSONNET</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300</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BELLAIRE,</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TX</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77401</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713-693-1400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WESTHEIMER</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9076</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4245 SOUTH</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SUITE 101</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ARLINGTON</w:t>
            </w:r>
          </w:p>
        </w:tc>
        <w:tc>
          <w:tcPr>
            <w:tcW w:w="30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TX</w:t>
            </w:r>
          </w:p>
        </w:tc>
        <w:tc>
          <w:tcPr>
            <w:tcW w:w="36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76018</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MODY CAPITAL, LLC</w:t>
            </w:r>
          </w:p>
        </w:tc>
        <w:tc>
          <w:tcPr>
            <w:tcW w:w="104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6808 HORNWOOD</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HOUSTON</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TX</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77074</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713-772-6500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COOPER STREET</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DRIVE</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9080</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Plaza Las Palmas</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1004 West Valley</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Escondido</w:t>
            </w:r>
          </w:p>
        </w:tc>
        <w:tc>
          <w:tcPr>
            <w:tcW w:w="30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CA</w:t>
            </w:r>
          </w:p>
        </w:tc>
        <w:tc>
          <w:tcPr>
            <w:tcW w:w="36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92025</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PLAZA LAS PALMAS LLC</w:t>
            </w:r>
          </w:p>
        </w:tc>
        <w:tc>
          <w:tcPr>
            <w:tcW w:w="104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JAMES CRONE &amp;</w:t>
            </w: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555 ENTERPRISE</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ESCONDIDO</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CA</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92029</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760-480-8888</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STORE, LLC</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Shopping Center</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Parkway, Unit 23</w:t>
            </w:r>
          </w:p>
        </w:tc>
        <w:tc>
          <w:tcPr>
            <w:tcW w:w="780" w:type="dxa"/>
            <w:vAlign w:val="bottom"/>
            <w:tcBorders>
              <w:right w:val="single" w:sz="8" w:color="auto"/>
            </w:tcBorders>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ASSOCIATES, INC</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STREET</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9082</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19422 NORDHOFF</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NORTHRIDGE</w:t>
            </w:r>
          </w:p>
        </w:tc>
        <w:tc>
          <w:tcPr>
            <w:tcW w:w="30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CA</w:t>
            </w:r>
          </w:p>
        </w:tc>
        <w:tc>
          <w:tcPr>
            <w:tcW w:w="36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91324</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19420 NORDOFF LLC</w:t>
            </w:r>
          </w:p>
        </w:tc>
        <w:tc>
          <w:tcPr>
            <w:tcW w:w="104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1251 22ND STREET</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SANTA MONICA</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CA</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90404</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818-907-6500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STORE, LLC</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STREET</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9084</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6435 DOBBIN</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COLUMBIA</w:t>
            </w:r>
          </w:p>
        </w:tc>
        <w:tc>
          <w:tcPr>
            <w:tcW w:w="30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MD</w:t>
            </w:r>
          </w:p>
        </w:tc>
        <w:tc>
          <w:tcPr>
            <w:tcW w:w="36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21045</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DOBBIN ROAD VENTURE, LLC</w:t>
            </w:r>
          </w:p>
        </w:tc>
        <w:tc>
          <w:tcPr>
            <w:tcW w:w="104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C/O ROSENTHAL</w:t>
            </w: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1945 OLD</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VIENNA</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VA</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22182</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(703) 893-5141</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ROAD UNIT 26</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PROPERTIES, LLC</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GALLOWS ROAD,</w:t>
            </w: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9105</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800 BALD HILL</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WARWICK</w:t>
            </w:r>
          </w:p>
        </w:tc>
        <w:tc>
          <w:tcPr>
            <w:tcW w:w="30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RI</w:t>
            </w:r>
          </w:p>
        </w:tc>
        <w:tc>
          <w:tcPr>
            <w:tcW w:w="36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2893</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AIRPOST ASSOCIATES, LLC</w:t>
            </w:r>
          </w:p>
        </w:tc>
        <w:tc>
          <w:tcPr>
            <w:tcW w:w="104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JAN COMPANIES</w:t>
            </w: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35 SOCKANOSSET</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CRANSTON</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RI</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2920</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(401) 946-4000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ROAD</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CROSS RD</w:t>
            </w: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9112</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21 FAUNCE</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NORTH</w:t>
            </w:r>
          </w:p>
        </w:tc>
        <w:tc>
          <w:tcPr>
            <w:tcW w:w="30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MA</w:t>
            </w:r>
          </w:p>
        </w:tc>
        <w:tc>
          <w:tcPr>
            <w:tcW w:w="36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02747-</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R&amp;D MANAGEMENT CORPORATION</w:t>
            </w:r>
          </w:p>
        </w:tc>
        <w:tc>
          <w:tcPr>
            <w:tcW w:w="104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w:t>
            </w: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810 SEVENTH AVE</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NEW YORK</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NY</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10019</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(212) 265-6600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CORNER ROAD</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DARTMOUTH</w:t>
            </w:r>
          </w:p>
        </w:tc>
        <w:tc>
          <w:tcPr>
            <w:tcW w:w="30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10TH FLOOR</w:t>
            </w: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9120</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17 W 180 22ND</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OAKBROOK</w:t>
            </w:r>
          </w:p>
        </w:tc>
        <w:tc>
          <w:tcPr>
            <w:tcW w:w="30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IL</w:t>
            </w:r>
          </w:p>
        </w:tc>
        <w:tc>
          <w:tcPr>
            <w:tcW w:w="36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60181</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ROSSI REAL ESTATE CORP</w:t>
            </w:r>
          </w:p>
        </w:tc>
        <w:tc>
          <w:tcPr>
            <w:tcW w:w="104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1015 BUTTERFIELD</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DOWNERS GROVE</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IL</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60515</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(630) 652-2934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RBT, LLC</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STREET</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TERRACE</w:t>
            </w:r>
          </w:p>
        </w:tc>
        <w:tc>
          <w:tcPr>
            <w:tcW w:w="30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ROAD</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9123</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Jefferson Green</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12233 Jefferson</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NEWPORT NEWS</w:t>
            </w:r>
          </w:p>
        </w:tc>
        <w:tc>
          <w:tcPr>
            <w:tcW w:w="30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VA</w:t>
            </w:r>
          </w:p>
        </w:tc>
        <w:tc>
          <w:tcPr>
            <w:tcW w:w="36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23602</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JEFFERSON GREEN, LLC</w:t>
            </w:r>
          </w:p>
        </w:tc>
        <w:tc>
          <w:tcPr>
            <w:tcW w:w="104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C/O ROBERT</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PO BOX 120410</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NEWPORT NEWS</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VA</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23612</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757-461-0000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Avenue</w:t>
            </w:r>
          </w:p>
        </w:tc>
        <w:tc>
          <w:tcPr>
            <w:tcW w:w="780" w:type="dxa"/>
            <w:vAlign w:val="bottom"/>
            <w:tcBorders>
              <w:right w:val="single" w:sz="8" w:color="auto"/>
            </w:tcBorders>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BROWN &amp;</w:t>
            </w:r>
          </w:p>
        </w:tc>
        <w:tc>
          <w:tcPr>
            <w:tcW w:w="78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9127</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723 US Highway</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Greenwood</w:t>
            </w:r>
          </w:p>
        </w:tc>
        <w:tc>
          <w:tcPr>
            <w:tcW w:w="30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IN</w:t>
            </w:r>
          </w:p>
        </w:tc>
        <w:tc>
          <w:tcPr>
            <w:tcW w:w="36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46142</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GREENDALE, LLC</w:t>
            </w:r>
          </w:p>
        </w:tc>
        <w:tc>
          <w:tcPr>
            <w:tcW w:w="104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9333 N. MARIDIAN</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275</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INDIANAPOLIS</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IN</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46260</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317-816-4646</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31 N</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STREET</w:t>
            </w:r>
          </w:p>
        </w:tc>
        <w:tc>
          <w:tcPr>
            <w:tcW w:w="78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9131</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1228-1230</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TONAWANDA</w:t>
            </w:r>
          </w:p>
        </w:tc>
        <w:tc>
          <w:tcPr>
            <w:tcW w:w="30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NY</w:t>
            </w:r>
          </w:p>
        </w:tc>
        <w:tc>
          <w:tcPr>
            <w:tcW w:w="36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14150-</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MARVIN GARDENS PLAZA</w:t>
            </w:r>
          </w:p>
        </w:tc>
        <w:tc>
          <w:tcPr>
            <w:tcW w:w="104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MJ PETERSON REAL</w:t>
            </w: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501 JOHN JAMES</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AMHERST</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NY</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14228</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(716) 688-1234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NIAGARA FALLS</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ESTATE</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AUDUBON</w:t>
            </w: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9137</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1005 Bower</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SUITE B</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Columbia</w:t>
            </w:r>
          </w:p>
        </w:tc>
        <w:tc>
          <w:tcPr>
            <w:tcW w:w="30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SC</w:t>
            </w:r>
          </w:p>
        </w:tc>
        <w:tc>
          <w:tcPr>
            <w:tcW w:w="36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29212</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DDRTC COLUMBIANA STATION I LLC</w:t>
            </w:r>
          </w:p>
        </w:tc>
        <w:tc>
          <w:tcPr>
            <w:tcW w:w="104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3300 ENTERPRISE</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BEACHWOOD</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OH</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44122</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(216) 755-5500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Parkway</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PARKWAY</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9139</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Northwoods</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7620 Rivers</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North Charleston</w:t>
            </w:r>
          </w:p>
        </w:tc>
        <w:tc>
          <w:tcPr>
            <w:tcW w:w="30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SC</w:t>
            </w:r>
          </w:p>
        </w:tc>
        <w:tc>
          <w:tcPr>
            <w:tcW w:w="36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29406</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ARC NWNCHS001,LLC</w:t>
            </w:r>
          </w:p>
        </w:tc>
        <w:tc>
          <w:tcPr>
            <w:tcW w:w="104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LINCOLN HARRIS LLC</w:t>
            </w: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5601 SEVENTY-</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100</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CHARLOTTE</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NC</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28217</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704-716-8606</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Marketplace</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Avenue, Unit 120</w:t>
            </w:r>
          </w:p>
        </w:tc>
        <w:tc>
          <w:tcPr>
            <w:tcW w:w="780" w:type="dxa"/>
            <w:vAlign w:val="bottom"/>
            <w:tcBorders>
              <w:right w:val="single" w:sz="8" w:color="auto"/>
            </w:tcBorders>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SEVEN CENTER DR</w:t>
            </w:r>
          </w:p>
        </w:tc>
        <w:tc>
          <w:tcPr>
            <w:tcW w:w="78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9142</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1410</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HANOVER</w:t>
            </w:r>
          </w:p>
        </w:tc>
        <w:tc>
          <w:tcPr>
            <w:tcW w:w="30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MA</w:t>
            </w:r>
          </w:p>
        </w:tc>
        <w:tc>
          <w:tcPr>
            <w:tcW w:w="36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02339-</w:t>
            </w:r>
          </w:p>
        </w:tc>
        <w:tc>
          <w:tcPr>
            <w:tcW w:w="144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DOUGLAS T. &amp; STEVEN J. SHER LLC</w:t>
            </w:r>
          </w:p>
        </w:tc>
        <w:tc>
          <w:tcPr>
            <w:tcW w:w="104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MARTIN E. SHER</w:t>
            </w: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3589 LAKEVIEW</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DELRAY BEACH</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FL</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33445</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(561) 496-6574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WASHINGTON</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AND ZFT LLC</w:t>
            </w:r>
          </w:p>
        </w:tc>
        <w:tc>
          <w:tcPr>
            <w:tcW w:w="104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AND ANDREW ZALL</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DRIVE</w:t>
            </w: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vMerge w:val="continue"/>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9147</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4000</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MEBANE</w:t>
            </w:r>
          </w:p>
        </w:tc>
        <w:tc>
          <w:tcPr>
            <w:tcW w:w="30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NC</w:t>
            </w:r>
          </w:p>
        </w:tc>
        <w:tc>
          <w:tcPr>
            <w:tcW w:w="36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27302</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TANGER PROPERTIES LP</w:t>
            </w: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LEGAL DEPT</w:t>
            </w: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dba TANGER</w:t>
            </w: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3200 NORTHLINE</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GREENSBORO</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NC</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27408</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(336) 292-3010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ARROWHEAD</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PIEDMONT, LLC</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AVE, SUITE 360</w:t>
            </w: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9"/>
        </w:trPr>
        <w:tc>
          <w:tcPr>
            <w:tcW w:w="3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38" w:right="179" w:bottom="1440" w:gutter="0" w:footer="0" w:header="0"/>
        </w:sectPr>
      </w:pPr>
    </w:p>
    <w:bookmarkStart w:id="158" w:name="page159"/>
    <w:bookmarkEnd w:id="158"/>
    <w:tbl>
      <w:tblPr>
        <w:tblLayout w:type="fixed"/>
        <w:tblInd w:w="10" w:type="dxa"/>
        <w:tblCellMar>
          <w:top w:w="0" w:type="dxa"/>
          <w:left w:w="0" w:type="dxa"/>
          <w:bottom w:w="0" w:type="dxa"/>
          <w:right w:w="0" w:type="dxa"/>
        </w:tblCellMar>
      </w:tblPr>
      <w:tr>
        <w:trPr>
          <w:trHeight w:val="90"/>
        </w:trPr>
        <w:tc>
          <w:tcPr>
            <w:tcW w:w="360" w:type="dxa"/>
            <w:vAlign w:val="bottom"/>
            <w:tcBorders>
              <w:top w:val="single" w:sz="8" w:color="auto"/>
              <w:left w:val="single" w:sz="8" w:color="auto"/>
              <w:right w:val="single" w:sz="8" w:color="auto"/>
            </w:tcBorders>
          </w:tcPr>
          <w:p>
            <w:pPr>
              <w:spacing w:after="0"/>
              <w:rPr>
                <w:sz w:val="7"/>
                <w:szCs w:val="7"/>
                <w:color w:val="auto"/>
              </w:rPr>
            </w:pPr>
          </w:p>
        </w:tc>
        <w:tc>
          <w:tcPr>
            <w:tcW w:w="800" w:type="dxa"/>
            <w:vAlign w:val="bottom"/>
            <w:tcBorders>
              <w:top w:val="single" w:sz="8" w:color="auto"/>
              <w:right w:val="single" w:sz="8" w:color="auto"/>
            </w:tcBorders>
          </w:tcPr>
          <w:p>
            <w:pPr>
              <w:spacing w:after="0"/>
              <w:rPr>
                <w:sz w:val="7"/>
                <w:szCs w:val="7"/>
                <w:color w:val="auto"/>
              </w:rPr>
            </w:pPr>
          </w:p>
        </w:tc>
        <w:tc>
          <w:tcPr>
            <w:tcW w:w="800" w:type="dxa"/>
            <w:vAlign w:val="bottom"/>
            <w:tcBorders>
              <w:top w:val="single" w:sz="8" w:color="auto"/>
              <w:right w:val="single" w:sz="8" w:color="auto"/>
            </w:tcBorders>
          </w:tcPr>
          <w:p>
            <w:pPr>
              <w:spacing w:after="0"/>
              <w:rPr>
                <w:sz w:val="7"/>
                <w:szCs w:val="7"/>
                <w:color w:val="auto"/>
              </w:rPr>
            </w:pPr>
          </w:p>
        </w:tc>
        <w:tc>
          <w:tcPr>
            <w:tcW w:w="780" w:type="dxa"/>
            <w:vAlign w:val="bottom"/>
            <w:tcBorders>
              <w:top w:val="single" w:sz="8" w:color="auto"/>
              <w:right w:val="single" w:sz="8" w:color="auto"/>
            </w:tcBorders>
          </w:tcPr>
          <w:p>
            <w:pPr>
              <w:spacing w:after="0"/>
              <w:rPr>
                <w:sz w:val="7"/>
                <w:szCs w:val="7"/>
                <w:color w:val="auto"/>
              </w:rPr>
            </w:pPr>
          </w:p>
        </w:tc>
        <w:tc>
          <w:tcPr>
            <w:tcW w:w="780" w:type="dxa"/>
            <w:vAlign w:val="bottom"/>
            <w:tcBorders>
              <w:top w:val="single" w:sz="8" w:color="auto"/>
              <w:right w:val="single" w:sz="8" w:color="auto"/>
            </w:tcBorders>
          </w:tcPr>
          <w:p>
            <w:pPr>
              <w:spacing w:after="0"/>
              <w:rPr>
                <w:sz w:val="7"/>
                <w:szCs w:val="7"/>
                <w:color w:val="auto"/>
              </w:rPr>
            </w:pPr>
          </w:p>
        </w:tc>
        <w:tc>
          <w:tcPr>
            <w:tcW w:w="320" w:type="dxa"/>
            <w:vAlign w:val="bottom"/>
            <w:tcBorders>
              <w:top w:val="single" w:sz="8" w:color="auto"/>
              <w:right w:val="single" w:sz="8" w:color="auto"/>
            </w:tcBorders>
          </w:tcPr>
          <w:p>
            <w:pPr>
              <w:spacing w:after="0"/>
              <w:rPr>
                <w:sz w:val="7"/>
                <w:szCs w:val="7"/>
                <w:color w:val="auto"/>
              </w:rPr>
            </w:pPr>
          </w:p>
        </w:tc>
        <w:tc>
          <w:tcPr>
            <w:tcW w:w="3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7"/>
                <w:szCs w:val="7"/>
                <w:b w:val="1"/>
                <w:bCs w:val="1"/>
                <w:color w:val="auto"/>
              </w:rPr>
              <w:t>Store</w:t>
            </w:r>
          </w:p>
        </w:tc>
        <w:tc>
          <w:tcPr>
            <w:tcW w:w="1440" w:type="dxa"/>
            <w:vAlign w:val="bottom"/>
            <w:tcBorders>
              <w:top w:val="single" w:sz="8" w:color="auto"/>
              <w:right w:val="single" w:sz="8" w:color="auto"/>
            </w:tcBorders>
          </w:tcPr>
          <w:p>
            <w:pPr>
              <w:spacing w:after="0"/>
              <w:rPr>
                <w:sz w:val="7"/>
                <w:szCs w:val="7"/>
                <w:color w:val="auto"/>
              </w:rPr>
            </w:pPr>
          </w:p>
        </w:tc>
        <w:tc>
          <w:tcPr>
            <w:tcW w:w="1020" w:type="dxa"/>
            <w:vAlign w:val="bottom"/>
            <w:tcBorders>
              <w:top w:val="single" w:sz="8" w:color="auto"/>
              <w:right w:val="single" w:sz="8" w:color="auto"/>
            </w:tcBorders>
          </w:tcPr>
          <w:p>
            <w:pPr>
              <w:spacing w:after="0"/>
              <w:rPr>
                <w:sz w:val="7"/>
                <w:szCs w:val="7"/>
                <w:color w:val="auto"/>
              </w:rPr>
            </w:pPr>
          </w:p>
        </w:tc>
        <w:tc>
          <w:tcPr>
            <w:tcW w:w="1060" w:type="dxa"/>
            <w:vAlign w:val="bottom"/>
            <w:tcBorders>
              <w:top w:val="single" w:sz="8" w:color="auto"/>
              <w:right w:val="single" w:sz="8" w:color="auto"/>
            </w:tcBorders>
          </w:tcPr>
          <w:p>
            <w:pPr>
              <w:spacing w:after="0"/>
              <w:rPr>
                <w:sz w:val="7"/>
                <w:szCs w:val="7"/>
                <w:color w:val="auto"/>
              </w:rPr>
            </w:pPr>
          </w:p>
        </w:tc>
        <w:tc>
          <w:tcPr>
            <w:tcW w:w="760" w:type="dxa"/>
            <w:vAlign w:val="bottom"/>
            <w:tcBorders>
              <w:top w:val="single" w:sz="8" w:color="auto"/>
              <w:right w:val="single" w:sz="8" w:color="auto"/>
            </w:tcBorders>
          </w:tcPr>
          <w:p>
            <w:pPr>
              <w:spacing w:after="0"/>
              <w:rPr>
                <w:sz w:val="7"/>
                <w:szCs w:val="7"/>
                <w:color w:val="auto"/>
              </w:rPr>
            </w:pPr>
          </w:p>
        </w:tc>
        <w:tc>
          <w:tcPr>
            <w:tcW w:w="760" w:type="dxa"/>
            <w:vAlign w:val="bottom"/>
            <w:tcBorders>
              <w:top w:val="single" w:sz="8" w:color="auto"/>
              <w:right w:val="single" w:sz="8" w:color="auto"/>
            </w:tcBorders>
          </w:tcPr>
          <w:p>
            <w:pPr>
              <w:spacing w:after="0"/>
              <w:rPr>
                <w:sz w:val="7"/>
                <w:szCs w:val="7"/>
                <w:color w:val="auto"/>
              </w:rPr>
            </w:pPr>
          </w:p>
        </w:tc>
        <w:tc>
          <w:tcPr>
            <w:tcW w:w="780" w:type="dxa"/>
            <w:vAlign w:val="bottom"/>
            <w:tcBorders>
              <w:top w:val="single" w:sz="8" w:color="auto"/>
              <w:right w:val="single" w:sz="8" w:color="auto"/>
            </w:tcBorders>
          </w:tcPr>
          <w:p>
            <w:pPr>
              <w:spacing w:after="0"/>
              <w:rPr>
                <w:sz w:val="7"/>
                <w:szCs w:val="7"/>
                <w:color w:val="auto"/>
              </w:rPr>
            </w:pPr>
          </w:p>
        </w:tc>
        <w:tc>
          <w:tcPr>
            <w:tcW w:w="24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w:t>
            </w:r>
          </w:p>
        </w:tc>
        <w:tc>
          <w:tcPr>
            <w:tcW w:w="500" w:type="dxa"/>
            <w:vAlign w:val="bottom"/>
            <w:tcBorders>
              <w:top w:val="single" w:sz="8" w:color="auto"/>
              <w:right w:val="single" w:sz="8" w:color="auto"/>
            </w:tcBorders>
          </w:tcPr>
          <w:p>
            <w:pPr>
              <w:spacing w:after="0"/>
              <w:rPr>
                <w:sz w:val="7"/>
                <w:szCs w:val="7"/>
                <w:color w:val="auto"/>
              </w:rPr>
            </w:pPr>
          </w:p>
        </w:tc>
        <w:tc>
          <w:tcPr>
            <w:tcW w:w="72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Phone Number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7"/>
                <w:szCs w:val="7"/>
                <w:b w:val="1"/>
                <w:bCs w:val="1"/>
                <w:color w:val="auto"/>
              </w:rPr>
              <w:t>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b w:val="1"/>
                <w:bCs w:val="1"/>
                <w:color w:val="auto"/>
              </w:rPr>
              <w:t>Store Legal Entity</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b w:val="1"/>
                <w:bCs w:val="1"/>
                <w:color w:val="auto"/>
                <w:w w:val="97"/>
              </w:rPr>
              <w:t>Store Street Address</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w w:val="97"/>
              </w:rPr>
              <w:t>Store Street Address</w:t>
            </w:r>
          </w:p>
        </w:tc>
        <w:tc>
          <w:tcPr>
            <w:tcW w:w="780" w:type="dxa"/>
            <w:vAlign w:val="bottom"/>
            <w:tcBorders>
              <w:right w:val="single" w:sz="8" w:color="auto"/>
            </w:tcBorders>
          </w:tcPr>
          <w:p>
            <w:pPr>
              <w:spacing w:after="0"/>
              <w:rPr>
                <w:sz w:val="7"/>
                <w:szCs w:val="7"/>
                <w:color w:val="auto"/>
              </w:rPr>
            </w:pPr>
          </w:p>
        </w:tc>
        <w:tc>
          <w:tcPr>
            <w:tcW w:w="32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rPr>
              <w:t>Store</w:t>
            </w:r>
          </w:p>
        </w:tc>
        <w:tc>
          <w:tcPr>
            <w:tcW w:w="360" w:type="dxa"/>
            <w:vAlign w:val="bottom"/>
            <w:tcBorders>
              <w:right w:val="single" w:sz="8" w:color="auto"/>
            </w:tcBorders>
          </w:tcPr>
          <w:p>
            <w:pPr>
              <w:ind w:left="60"/>
              <w:spacing w:after="0"/>
              <w:rPr>
                <w:sz w:val="20"/>
                <w:szCs w:val="20"/>
                <w:color w:val="auto"/>
              </w:rPr>
            </w:pPr>
            <w:r>
              <w:rPr>
                <w:rFonts w:ascii="Arial" w:cs="Arial" w:eastAsia="Arial" w:hAnsi="Arial"/>
                <w:sz w:val="7"/>
                <w:szCs w:val="7"/>
                <w:b w:val="1"/>
                <w:bCs w:val="1"/>
                <w:color w:val="auto"/>
              </w:rPr>
              <w:t>Postal</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Name</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Attention To</w:t>
            </w:r>
          </w:p>
        </w:tc>
        <w:tc>
          <w:tcPr>
            <w:tcW w:w="10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In Care Of</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Street 1</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Street 2</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City</w:t>
            </w:r>
          </w:p>
        </w:tc>
        <w:tc>
          <w:tcPr>
            <w:tcW w:w="240" w:type="dxa"/>
            <w:vAlign w:val="bottom"/>
            <w:tcBorders>
              <w:right w:val="single" w:sz="8" w:color="auto"/>
            </w:tcBorders>
            <w:vMerge w:val="continue"/>
          </w:tcPr>
          <w:p>
            <w:pPr>
              <w:spacing w:after="0"/>
              <w:rPr>
                <w:sz w:val="7"/>
                <w:szCs w:val="7"/>
                <w:color w:val="auto"/>
              </w:rPr>
            </w:pP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Zip</w:t>
            </w:r>
          </w:p>
        </w:tc>
        <w:tc>
          <w:tcPr>
            <w:tcW w:w="72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vMerge w:val="continue"/>
          </w:tcPr>
          <w:p>
            <w:pPr>
              <w:spacing w:after="0"/>
              <w:rPr>
                <w:sz w:val="3"/>
                <w:szCs w:val="3"/>
                <w:color w:val="auto"/>
              </w:rPr>
            </w:pPr>
          </w:p>
        </w:tc>
        <w:tc>
          <w:tcPr>
            <w:tcW w:w="800" w:type="dxa"/>
            <w:vAlign w:val="bottom"/>
            <w:tcBorders>
              <w:right w:val="single" w:sz="8" w:color="auto"/>
            </w:tcBorders>
            <w:vMerge w:val="continue"/>
          </w:tcPr>
          <w:p>
            <w:pPr>
              <w:spacing w:after="0"/>
              <w:rPr>
                <w:sz w:val="3"/>
                <w:szCs w:val="3"/>
                <w:color w:val="auto"/>
              </w:rPr>
            </w:pPr>
          </w:p>
        </w:tc>
        <w:tc>
          <w:tcPr>
            <w:tcW w:w="80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vMerge w:val="continue"/>
          </w:tcPr>
          <w:p>
            <w:pPr>
              <w:spacing w:after="0"/>
              <w:rPr>
                <w:sz w:val="3"/>
                <w:szCs w:val="3"/>
                <w:color w:val="auto"/>
              </w:rPr>
            </w:pPr>
          </w:p>
        </w:tc>
        <w:tc>
          <w:tcPr>
            <w:tcW w:w="36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rPr>
              <w:t>Code</w:t>
            </w: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vMerge w:val="continue"/>
          </w:tcPr>
          <w:p>
            <w:pPr>
              <w:spacing w:after="0"/>
              <w:rPr>
                <w:sz w:val="3"/>
                <w:szCs w:val="3"/>
                <w:color w:val="auto"/>
              </w:rPr>
            </w:pPr>
          </w:p>
        </w:tc>
        <w:tc>
          <w:tcPr>
            <w:tcW w:w="1060" w:type="dxa"/>
            <w:vAlign w:val="bottom"/>
            <w:tcBorders>
              <w:right w:val="single" w:sz="8" w:color="auto"/>
            </w:tcBorders>
            <w:vMerge w:val="continue"/>
          </w:tcPr>
          <w:p>
            <w:pPr>
              <w:spacing w:after="0"/>
              <w:rPr>
                <w:sz w:val="3"/>
                <w:szCs w:val="3"/>
                <w:color w:val="auto"/>
              </w:rPr>
            </w:pPr>
          </w:p>
        </w:tc>
        <w:tc>
          <w:tcPr>
            <w:tcW w:w="760" w:type="dxa"/>
            <w:vAlign w:val="bottom"/>
            <w:tcBorders>
              <w:right w:val="single" w:sz="8" w:color="auto"/>
            </w:tcBorders>
            <w:vMerge w:val="continue"/>
          </w:tcPr>
          <w:p>
            <w:pPr>
              <w:spacing w:after="0"/>
              <w:rPr>
                <w:sz w:val="3"/>
                <w:szCs w:val="3"/>
                <w:color w:val="auto"/>
              </w:rPr>
            </w:pPr>
          </w:p>
        </w:tc>
        <w:tc>
          <w:tcPr>
            <w:tcW w:w="76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State</w:t>
            </w: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7"/>
        </w:trPr>
        <w:tc>
          <w:tcPr>
            <w:tcW w:w="3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7"/>
                <w:szCs w:val="7"/>
                <w:b w:val="1"/>
                <w:bCs w:val="1"/>
                <w:color w:val="auto"/>
              </w:rPr>
              <w:t>#</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b w:val="1"/>
                <w:bCs w:val="1"/>
                <w:color w:val="auto"/>
              </w:rPr>
              <w:t>Name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b w:val="1"/>
                <w:bCs w:val="1"/>
                <w:color w:val="auto"/>
              </w:rPr>
              <w:t>#1</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rPr>
              <w:t>#2</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rPr>
              <w:t>Store City</w:t>
            </w:r>
          </w:p>
        </w:tc>
        <w:tc>
          <w:tcPr>
            <w:tcW w:w="32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rPr>
              <w:t>State</w:t>
            </w:r>
          </w:p>
        </w:tc>
        <w:tc>
          <w:tcPr>
            <w:tcW w:w="360" w:type="dxa"/>
            <w:vAlign w:val="bottom"/>
            <w:tcBorders>
              <w:right w:val="single" w:sz="8" w:color="auto"/>
            </w:tcBorders>
            <w:vMerge w:val="continue"/>
          </w:tcPr>
          <w:p>
            <w:pPr>
              <w:spacing w:after="0"/>
              <w:rPr>
                <w:sz w:val="4"/>
                <w:szCs w:val="4"/>
                <w:color w:val="auto"/>
              </w:rPr>
            </w:pPr>
          </w:p>
        </w:tc>
        <w:tc>
          <w:tcPr>
            <w:tcW w:w="1440" w:type="dxa"/>
            <w:vAlign w:val="bottom"/>
            <w:tcBorders>
              <w:right w:val="single" w:sz="8" w:color="auto"/>
            </w:tcBorders>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060" w:type="dxa"/>
            <w:vAlign w:val="bottom"/>
            <w:tcBorders>
              <w:right w:val="single" w:sz="8" w:color="auto"/>
            </w:tcBorders>
          </w:tcPr>
          <w:p>
            <w:pPr>
              <w:spacing w:after="0"/>
              <w:rPr>
                <w:sz w:val="4"/>
                <w:szCs w:val="4"/>
                <w:color w:val="auto"/>
              </w:rPr>
            </w:pPr>
          </w:p>
        </w:tc>
        <w:tc>
          <w:tcPr>
            <w:tcW w:w="760" w:type="dxa"/>
            <w:vAlign w:val="bottom"/>
            <w:tcBorders>
              <w:right w:val="single" w:sz="8" w:color="auto"/>
            </w:tcBorders>
          </w:tcPr>
          <w:p>
            <w:pPr>
              <w:spacing w:after="0"/>
              <w:rPr>
                <w:sz w:val="4"/>
                <w:szCs w:val="4"/>
                <w:color w:val="auto"/>
              </w:rPr>
            </w:pPr>
          </w:p>
        </w:tc>
        <w:tc>
          <w:tcPr>
            <w:tcW w:w="76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72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800" w:type="dxa"/>
            <w:vAlign w:val="bottom"/>
            <w:tcBorders>
              <w:bottom w:val="single" w:sz="8" w:color="auto"/>
              <w:right w:val="single" w:sz="8" w:color="auto"/>
            </w:tcBorders>
            <w:vMerge w:val="continue"/>
          </w:tcPr>
          <w:p>
            <w:pPr>
              <w:spacing w:after="0"/>
              <w:rPr>
                <w:sz w:val="5"/>
                <w:szCs w:val="5"/>
                <w:color w:val="auto"/>
              </w:rPr>
            </w:pPr>
          </w:p>
        </w:tc>
        <w:tc>
          <w:tcPr>
            <w:tcW w:w="800" w:type="dxa"/>
            <w:vAlign w:val="bottom"/>
            <w:tcBorders>
              <w:bottom w:val="single" w:sz="8" w:color="auto"/>
              <w:right w:val="single" w:sz="8" w:color="auto"/>
            </w:tcBorders>
            <w:vMerge w:val="continue"/>
          </w:tcPr>
          <w:p>
            <w:pPr>
              <w:spacing w:after="0"/>
              <w:rPr>
                <w:sz w:val="5"/>
                <w:szCs w:val="5"/>
                <w:color w:val="auto"/>
              </w:rPr>
            </w:pPr>
          </w:p>
        </w:tc>
        <w:tc>
          <w:tcPr>
            <w:tcW w:w="780" w:type="dxa"/>
            <w:vAlign w:val="bottom"/>
            <w:tcBorders>
              <w:bottom w:val="single" w:sz="8" w:color="auto"/>
              <w:right w:val="single" w:sz="8" w:color="auto"/>
            </w:tcBorders>
            <w:vMerge w:val="continue"/>
          </w:tcPr>
          <w:p>
            <w:pPr>
              <w:spacing w:after="0"/>
              <w:rPr>
                <w:sz w:val="5"/>
                <w:szCs w:val="5"/>
                <w:color w:val="auto"/>
              </w:rPr>
            </w:pPr>
          </w:p>
        </w:tc>
        <w:tc>
          <w:tcPr>
            <w:tcW w:w="780" w:type="dxa"/>
            <w:vAlign w:val="bottom"/>
            <w:tcBorders>
              <w:bottom w:val="single" w:sz="8" w:color="auto"/>
              <w:right w:val="single" w:sz="8" w:color="auto"/>
            </w:tcBorders>
            <w:vMerge w:val="continue"/>
          </w:tcPr>
          <w:p>
            <w:pPr>
              <w:spacing w:after="0"/>
              <w:rPr>
                <w:sz w:val="5"/>
                <w:szCs w:val="5"/>
                <w:color w:val="auto"/>
              </w:rPr>
            </w:pPr>
          </w:p>
        </w:tc>
        <w:tc>
          <w:tcPr>
            <w:tcW w:w="320" w:type="dxa"/>
            <w:vAlign w:val="bottom"/>
            <w:tcBorders>
              <w:bottom w:val="single" w:sz="8" w:color="auto"/>
              <w:right w:val="single" w:sz="8" w:color="auto"/>
            </w:tcBorders>
            <w:vMerge w:val="continue"/>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360" w:type="dxa"/>
            <w:vAlign w:val="bottom"/>
            <w:tcBorders>
              <w:left w:val="single" w:sz="8" w:color="auto"/>
              <w:right w:val="single" w:sz="8" w:color="auto"/>
            </w:tcBorders>
          </w:tcPr>
          <w:p>
            <w:pPr>
              <w:jc w:val="right"/>
              <w:ind w:right="44"/>
              <w:spacing w:after="0"/>
              <w:rPr>
                <w:sz w:val="20"/>
                <w:szCs w:val="20"/>
                <w:color w:val="auto"/>
              </w:rPr>
            </w:pPr>
            <w:r>
              <w:rPr>
                <w:rFonts w:ascii="Arial" w:cs="Arial" w:eastAsia="Arial" w:hAnsi="Arial"/>
                <w:sz w:val="7"/>
                <w:szCs w:val="7"/>
                <w:color w:val="auto"/>
              </w:rPr>
              <w:t>9152</w:t>
            </w:r>
          </w:p>
        </w:tc>
        <w:tc>
          <w:tcPr>
            <w:tcW w:w="800" w:type="dxa"/>
            <w:vAlign w:val="bottom"/>
            <w:tcBorders>
              <w:right w:val="single" w:sz="8" w:color="auto"/>
            </w:tcBorders>
          </w:tcPr>
          <w:p>
            <w:pPr>
              <w:ind w:left="100"/>
              <w:spacing w:after="0"/>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rPr>
                <w:sz w:val="20"/>
                <w:szCs w:val="20"/>
                <w:color w:val="auto"/>
              </w:rPr>
            </w:pPr>
            <w:r>
              <w:rPr>
                <w:rFonts w:ascii="Arial" w:cs="Arial" w:eastAsia="Arial" w:hAnsi="Arial"/>
                <w:sz w:val="7"/>
                <w:szCs w:val="7"/>
                <w:color w:val="auto"/>
              </w:rPr>
              <w:t>TANGER OUTLETS</w:t>
            </w:r>
          </w:p>
        </w:tc>
        <w:tc>
          <w:tcPr>
            <w:tcW w:w="780" w:type="dxa"/>
            <w:vAlign w:val="bottom"/>
            <w:tcBorders>
              <w:right w:val="single" w:sz="8" w:color="auto"/>
            </w:tcBorders>
          </w:tcPr>
          <w:p>
            <w:pPr>
              <w:ind w:left="60"/>
              <w:spacing w:after="0"/>
              <w:rPr>
                <w:sz w:val="20"/>
                <w:szCs w:val="20"/>
                <w:color w:val="auto"/>
              </w:rPr>
            </w:pPr>
            <w:r>
              <w:rPr>
                <w:rFonts w:ascii="Arial" w:cs="Arial" w:eastAsia="Arial" w:hAnsi="Arial"/>
                <w:sz w:val="7"/>
                <w:szCs w:val="7"/>
                <w:color w:val="auto"/>
              </w:rPr>
              <w:t>4628 FACTORY</w:t>
            </w:r>
          </w:p>
        </w:tc>
        <w:tc>
          <w:tcPr>
            <w:tcW w:w="780" w:type="dxa"/>
            <w:vAlign w:val="bottom"/>
            <w:tcBorders>
              <w:right w:val="single" w:sz="8" w:color="auto"/>
            </w:tcBorders>
          </w:tcPr>
          <w:p>
            <w:pPr>
              <w:ind w:left="60"/>
              <w:spacing w:after="0"/>
              <w:rPr>
                <w:sz w:val="20"/>
                <w:szCs w:val="20"/>
                <w:color w:val="auto"/>
              </w:rPr>
            </w:pPr>
            <w:r>
              <w:rPr>
                <w:rFonts w:ascii="Arial" w:cs="Arial" w:eastAsia="Arial" w:hAnsi="Arial"/>
                <w:sz w:val="7"/>
                <w:szCs w:val="7"/>
                <w:color w:val="auto"/>
              </w:rPr>
              <w:t>MYRTLE BEACH</w:t>
            </w:r>
          </w:p>
        </w:tc>
        <w:tc>
          <w:tcPr>
            <w:tcW w:w="320" w:type="dxa"/>
            <w:vAlign w:val="bottom"/>
            <w:tcBorders>
              <w:right w:val="single" w:sz="8" w:color="auto"/>
            </w:tcBorders>
          </w:tcPr>
          <w:p>
            <w:pPr>
              <w:ind w:left="60"/>
              <w:spacing w:after="0"/>
              <w:rPr>
                <w:sz w:val="20"/>
                <w:szCs w:val="20"/>
                <w:color w:val="auto"/>
              </w:rPr>
            </w:pPr>
            <w:r>
              <w:rPr>
                <w:rFonts w:ascii="Arial" w:cs="Arial" w:eastAsia="Arial" w:hAnsi="Arial"/>
                <w:sz w:val="7"/>
                <w:szCs w:val="7"/>
                <w:color w:val="auto"/>
              </w:rPr>
              <w:t>SC</w:t>
            </w:r>
          </w:p>
        </w:tc>
        <w:tc>
          <w:tcPr>
            <w:tcW w:w="360" w:type="dxa"/>
            <w:vAlign w:val="bottom"/>
            <w:tcBorders>
              <w:right w:val="single" w:sz="8" w:color="auto"/>
            </w:tcBorders>
          </w:tcPr>
          <w:p>
            <w:pPr>
              <w:ind w:left="60"/>
              <w:spacing w:after="0"/>
              <w:rPr>
                <w:sz w:val="20"/>
                <w:szCs w:val="20"/>
                <w:color w:val="auto"/>
              </w:rPr>
            </w:pPr>
            <w:r>
              <w:rPr>
                <w:rFonts w:ascii="Arial" w:cs="Arial" w:eastAsia="Arial" w:hAnsi="Arial"/>
                <w:sz w:val="7"/>
                <w:szCs w:val="7"/>
                <w:color w:val="auto"/>
              </w:rPr>
              <w:t>29579-</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COROC/MYRTLE BEACH LLC</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LEGAL DEPT</w:t>
            </w:r>
          </w:p>
        </w:tc>
        <w:tc>
          <w:tcPr>
            <w:tcW w:w="1060" w:type="dxa"/>
            <w:vAlign w:val="bottom"/>
            <w:tcBorders>
              <w:right w:val="single" w:sz="8" w:color="auto"/>
            </w:tcBorders>
          </w:tcPr>
          <w:p>
            <w:pPr>
              <w:spacing w:after="0"/>
              <w:rPr>
                <w:sz w:val="7"/>
                <w:szCs w:val="7"/>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LEASE ID#002685</w:t>
            </w:r>
          </w:p>
        </w:tc>
        <w:tc>
          <w:tcPr>
            <w:tcW w:w="760" w:type="dxa"/>
            <w:vAlign w:val="bottom"/>
            <w:tcBorders>
              <w:right w:val="single" w:sz="8" w:color="auto"/>
            </w:tcBorders>
          </w:tcPr>
          <w:p>
            <w:pPr>
              <w:spacing w:after="0"/>
              <w:rPr>
                <w:sz w:val="20"/>
                <w:szCs w:val="20"/>
                <w:color w:val="auto"/>
              </w:rPr>
            </w:pPr>
            <w:r>
              <w:rPr>
                <w:rFonts w:ascii="Arial" w:cs="Arial" w:eastAsia="Arial" w:hAnsi="Arial"/>
                <w:sz w:val="7"/>
                <w:szCs w:val="7"/>
                <w:color w:val="auto"/>
              </w:rPr>
              <w:t>3200 NORTHLINE</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GREENSBORO</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NC</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27408</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336-292-3010</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STORES BLVD,</w:t>
            </w: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6309</w:t>
            </w: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vMerge w:val="continue"/>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vMerge w:val="continue"/>
          </w:tcPr>
          <w:p>
            <w:pPr>
              <w:spacing w:after="0"/>
              <w:rPr>
                <w:sz w:val="3"/>
                <w:szCs w:val="3"/>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AVE, SUITE 360</w:t>
            </w: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vMerge w:val="continue"/>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360" w:type="dxa"/>
            <w:vAlign w:val="bottom"/>
            <w:tcBorders>
              <w:left w:val="single" w:sz="8" w:color="auto"/>
              <w:right w:val="single" w:sz="8" w:color="auto"/>
            </w:tcBorders>
          </w:tcPr>
          <w:p>
            <w:pPr>
              <w:jc w:val="right"/>
              <w:ind w:right="44"/>
              <w:spacing w:after="0"/>
              <w:rPr>
                <w:sz w:val="20"/>
                <w:szCs w:val="20"/>
                <w:color w:val="auto"/>
              </w:rPr>
            </w:pPr>
            <w:r>
              <w:rPr>
                <w:rFonts w:ascii="Arial" w:cs="Arial" w:eastAsia="Arial" w:hAnsi="Arial"/>
                <w:sz w:val="7"/>
                <w:szCs w:val="7"/>
                <w:color w:val="auto"/>
              </w:rPr>
              <w:t>9155</w:t>
            </w:r>
          </w:p>
        </w:tc>
        <w:tc>
          <w:tcPr>
            <w:tcW w:w="800" w:type="dxa"/>
            <w:vAlign w:val="bottom"/>
            <w:tcBorders>
              <w:right w:val="single" w:sz="8" w:color="auto"/>
            </w:tcBorders>
          </w:tcPr>
          <w:p>
            <w:pPr>
              <w:ind w:left="100"/>
              <w:spacing w:after="0"/>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rPr>
                <w:sz w:val="20"/>
                <w:szCs w:val="20"/>
                <w:color w:val="auto"/>
              </w:rPr>
            </w:pPr>
            <w:r>
              <w:rPr>
                <w:rFonts w:ascii="Arial" w:cs="Arial" w:eastAsia="Arial" w:hAnsi="Arial"/>
                <w:sz w:val="7"/>
                <w:szCs w:val="7"/>
                <w:color w:val="auto"/>
              </w:rPr>
              <w:t>5401 N. MAY AVE</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rPr>
                <w:sz w:val="20"/>
                <w:szCs w:val="20"/>
                <w:color w:val="auto"/>
              </w:rPr>
            </w:pPr>
            <w:r>
              <w:rPr>
                <w:rFonts w:ascii="Arial" w:cs="Arial" w:eastAsia="Arial" w:hAnsi="Arial"/>
                <w:sz w:val="7"/>
                <w:szCs w:val="7"/>
                <w:color w:val="auto"/>
              </w:rPr>
              <w:t>OKLAHOMA CITY</w:t>
            </w:r>
          </w:p>
        </w:tc>
        <w:tc>
          <w:tcPr>
            <w:tcW w:w="320" w:type="dxa"/>
            <w:vAlign w:val="bottom"/>
            <w:tcBorders>
              <w:right w:val="single" w:sz="8" w:color="auto"/>
            </w:tcBorders>
          </w:tcPr>
          <w:p>
            <w:pPr>
              <w:ind w:left="60"/>
              <w:spacing w:after="0"/>
              <w:rPr>
                <w:sz w:val="20"/>
                <w:szCs w:val="20"/>
                <w:color w:val="auto"/>
              </w:rPr>
            </w:pPr>
            <w:r>
              <w:rPr>
                <w:rFonts w:ascii="Arial" w:cs="Arial" w:eastAsia="Arial" w:hAnsi="Arial"/>
                <w:sz w:val="7"/>
                <w:szCs w:val="7"/>
                <w:color w:val="auto"/>
              </w:rPr>
              <w:t>OK</w:t>
            </w:r>
          </w:p>
        </w:tc>
        <w:tc>
          <w:tcPr>
            <w:tcW w:w="360" w:type="dxa"/>
            <w:vAlign w:val="bottom"/>
            <w:tcBorders>
              <w:right w:val="single" w:sz="8" w:color="auto"/>
            </w:tcBorders>
          </w:tcPr>
          <w:p>
            <w:pPr>
              <w:ind w:left="60"/>
              <w:spacing w:after="0"/>
              <w:rPr>
                <w:sz w:val="20"/>
                <w:szCs w:val="20"/>
                <w:color w:val="auto"/>
              </w:rPr>
            </w:pPr>
            <w:r>
              <w:rPr>
                <w:rFonts w:ascii="Arial" w:cs="Arial" w:eastAsia="Arial" w:hAnsi="Arial"/>
                <w:sz w:val="7"/>
                <w:szCs w:val="7"/>
                <w:color w:val="auto"/>
              </w:rPr>
              <w:t>73112</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RMAF IIA LLC</w:t>
            </w:r>
          </w:p>
        </w:tc>
        <w:tc>
          <w:tcPr>
            <w:tcW w:w="1020" w:type="dxa"/>
            <w:vAlign w:val="bottom"/>
            <w:tcBorders>
              <w:right w:val="single" w:sz="8" w:color="auto"/>
            </w:tcBorders>
          </w:tcPr>
          <w:p>
            <w:pPr>
              <w:spacing w:after="0"/>
              <w:rPr>
                <w:sz w:val="20"/>
                <w:szCs w:val="20"/>
                <w:color w:val="auto"/>
              </w:rPr>
            </w:pPr>
            <w:r>
              <w:rPr>
                <w:rFonts w:ascii="Arial" w:cs="Arial" w:eastAsia="Arial" w:hAnsi="Arial"/>
                <w:sz w:val="7"/>
                <w:szCs w:val="7"/>
                <w:color w:val="auto"/>
              </w:rPr>
              <w:t>MAY CROSSING, OK CITY,</w:t>
            </w:r>
          </w:p>
        </w:tc>
        <w:tc>
          <w:tcPr>
            <w:tcW w:w="1060" w:type="dxa"/>
            <w:vAlign w:val="bottom"/>
            <w:tcBorders>
              <w:right w:val="single" w:sz="8" w:color="auto"/>
            </w:tcBorders>
          </w:tcPr>
          <w:p>
            <w:pPr>
              <w:spacing w:after="0"/>
              <w:rPr>
                <w:sz w:val="20"/>
                <w:szCs w:val="20"/>
                <w:color w:val="auto"/>
              </w:rPr>
            </w:pPr>
            <w:r>
              <w:rPr>
                <w:rFonts w:ascii="Arial" w:cs="Arial" w:eastAsia="Arial" w:hAnsi="Arial"/>
                <w:sz w:val="7"/>
                <w:szCs w:val="7"/>
                <w:color w:val="auto"/>
              </w:rPr>
              <w:t>PROPERTY MANAGEMENT</w:t>
            </w:r>
          </w:p>
        </w:tc>
        <w:tc>
          <w:tcPr>
            <w:tcW w:w="760" w:type="dxa"/>
            <w:vAlign w:val="bottom"/>
            <w:tcBorders>
              <w:right w:val="single" w:sz="8" w:color="auto"/>
            </w:tcBorders>
          </w:tcPr>
          <w:p>
            <w:pPr>
              <w:spacing w:after="0"/>
              <w:rPr>
                <w:sz w:val="20"/>
                <w:szCs w:val="20"/>
                <w:color w:val="auto"/>
              </w:rPr>
            </w:pPr>
            <w:r>
              <w:rPr>
                <w:rFonts w:ascii="Arial" w:cs="Arial" w:eastAsia="Arial" w:hAnsi="Arial"/>
                <w:sz w:val="7"/>
                <w:szCs w:val="7"/>
                <w:color w:val="auto"/>
              </w:rPr>
              <w:t>1234-B EAST 17TH</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SANTA ANA</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CA</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92701</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657-383-4200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SUITE 700</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OK</w:t>
            </w:r>
          </w:p>
        </w:tc>
        <w:tc>
          <w:tcPr>
            <w:tcW w:w="10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ADVISORS INC</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STREET</w:t>
            </w:r>
          </w:p>
        </w:tc>
        <w:tc>
          <w:tcPr>
            <w:tcW w:w="7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9157</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The Gallery at</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2021 Gallatin Pike</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MADISON</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TN</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37115</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GALLERY LLC</w:t>
            </w:r>
          </w:p>
        </w:tc>
        <w:tc>
          <w:tcPr>
            <w:tcW w:w="102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RASKIN HOLDINGS, LLC</w:t>
            </w: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103 CONTINENTAL</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110</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BRENTWOOD</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TN</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37027</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615-255-1231</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Rivergate</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North</w:t>
            </w: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60" w:type="dxa"/>
            <w:vAlign w:val="bottom"/>
            <w:tcBorders>
              <w:right w:val="single" w:sz="8" w:color="auto"/>
            </w:tcBorders>
            <w:vMerge w:val="continue"/>
          </w:tcPr>
          <w:p>
            <w:pPr>
              <w:spacing w:after="0"/>
              <w:rPr>
                <w:sz w:val="3"/>
                <w:szCs w:val="3"/>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PLACE</w:t>
            </w:r>
          </w:p>
        </w:tc>
        <w:tc>
          <w:tcPr>
            <w:tcW w:w="76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9159</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13289 WORTH</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WOODBRIDGE</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VA</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22192</w:t>
            </w:r>
          </w:p>
        </w:tc>
        <w:tc>
          <w:tcPr>
            <w:tcW w:w="1440" w:type="dxa"/>
            <w:vAlign w:val="bottom"/>
            <w:tcBorders>
              <w:right w:val="single" w:sz="8" w:color="auto"/>
            </w:tcBorders>
          </w:tcPr>
          <w:p>
            <w:pPr>
              <w:ind w:left="20"/>
              <w:spacing w:after="0" w:line="76" w:lineRule="exact"/>
              <w:rPr>
                <w:sz w:val="20"/>
                <w:szCs w:val="20"/>
                <w:color w:val="auto"/>
              </w:rPr>
            </w:pPr>
            <w:r>
              <w:rPr>
                <w:rFonts w:ascii="Arial" w:cs="Arial" w:eastAsia="Arial" w:hAnsi="Arial"/>
                <w:sz w:val="7"/>
                <w:szCs w:val="7"/>
                <w:color w:val="auto"/>
              </w:rPr>
              <w:t>KIR SMOKETOWN STATION L.P. (MID-</w:t>
            </w:r>
          </w:p>
        </w:tc>
        <w:tc>
          <w:tcPr>
            <w:tcW w:w="102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KIMCO REALTY</w:t>
            </w: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1954 GREENSPRING</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TIMONIUM</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MD</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21093</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(703) 583-0071</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AVENUE</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ATLANTIC REGION)</w:t>
            </w:r>
          </w:p>
        </w:tc>
        <w:tc>
          <w:tcPr>
            <w:tcW w:w="1020" w:type="dxa"/>
            <w:vAlign w:val="bottom"/>
            <w:tcBorders>
              <w:right w:val="single" w:sz="8" w:color="auto"/>
            </w:tcBorders>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CORP</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DRIVE, SUITE 330</w:t>
            </w: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vMerge w:val="continue"/>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9160</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735 Providence</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DEDHAM</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MA</w:t>
            </w:r>
          </w:p>
        </w:tc>
        <w:tc>
          <w:tcPr>
            <w:tcW w:w="360" w:type="dxa"/>
            <w:vAlign w:val="bottom"/>
            <w:tcBorders>
              <w:right w:val="single" w:sz="8" w:color="auto"/>
            </w:tcBorders>
          </w:tcPr>
          <w:p>
            <w:pPr>
              <w:spacing w:after="0"/>
              <w:rPr>
                <w:sz w:val="6"/>
                <w:szCs w:val="6"/>
                <w:color w:val="auto"/>
              </w:rPr>
            </w:pP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FEDERAL REALTY INVESTMENT TRUST</w:t>
            </w:r>
          </w:p>
        </w:tc>
        <w:tc>
          <w:tcPr>
            <w:tcW w:w="102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ATTN: LEGAL</w:t>
            </w: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1626 EAST</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ROCKVILLE</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MD</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20852-4041</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(301) 998-8100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Highway</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DEPARTMENT</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JEFFERSON STREET</w:t>
            </w: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9161</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242 ANDOVER</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PEABODY</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MA</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1960</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LIBERTY TREE AUDIO, INC</w:t>
            </w:r>
          </w:p>
        </w:tc>
        <w:tc>
          <w:tcPr>
            <w:tcW w:w="102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PETER REAM</w:t>
            </w: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148 BRIDGE</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MANCHESTER</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MA</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1944</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978-532-7387</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STREET</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60" w:type="dxa"/>
            <w:vAlign w:val="bottom"/>
            <w:tcBorders>
              <w:right w:val="single" w:sz="8" w:color="auto"/>
            </w:tcBorders>
            <w:vMerge w:val="continue"/>
          </w:tcPr>
          <w:p>
            <w:pPr>
              <w:spacing w:after="0"/>
              <w:rPr>
                <w:sz w:val="3"/>
                <w:szCs w:val="3"/>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STREET</w:t>
            </w:r>
          </w:p>
        </w:tc>
        <w:tc>
          <w:tcPr>
            <w:tcW w:w="7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9166</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1630 MILITARY</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NIAGARA FALLS</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NY</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14304</w:t>
            </w:r>
          </w:p>
        </w:tc>
        <w:tc>
          <w:tcPr>
            <w:tcW w:w="1440" w:type="dxa"/>
            <w:vAlign w:val="bottom"/>
            <w:tcBorders>
              <w:right w:val="single" w:sz="8" w:color="auto"/>
            </w:tcBorders>
          </w:tcPr>
          <w:p>
            <w:pPr>
              <w:ind w:left="20"/>
              <w:spacing w:after="0" w:line="76" w:lineRule="exact"/>
              <w:rPr>
                <w:sz w:val="20"/>
                <w:szCs w:val="20"/>
                <w:color w:val="auto"/>
              </w:rPr>
            </w:pPr>
            <w:r>
              <w:rPr>
                <w:rFonts w:ascii="Arial" w:cs="Arial" w:eastAsia="Arial" w:hAnsi="Arial"/>
                <w:sz w:val="7"/>
                <w:szCs w:val="7"/>
                <w:color w:val="auto"/>
              </w:rPr>
              <w:t>MACERICH SCG LIMITED</w:t>
            </w:r>
          </w:p>
        </w:tc>
        <w:tc>
          <w:tcPr>
            <w:tcW w:w="102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401 WILSHIRE</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SANTA MONICA</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CA</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90401</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310-394-6000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ROAD</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PARTNERSHIP</w:t>
            </w:r>
          </w:p>
        </w:tc>
        <w:tc>
          <w:tcPr>
            <w:tcW w:w="1020" w:type="dxa"/>
            <w:vAlign w:val="bottom"/>
            <w:tcBorders>
              <w:right w:val="single" w:sz="8" w:color="auto"/>
            </w:tcBorders>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BLVD, SUITE 700</w:t>
            </w:r>
          </w:p>
        </w:tc>
        <w:tc>
          <w:tcPr>
            <w:tcW w:w="7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vMerge w:val="continue"/>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9174</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951 WEST</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ROCHESTER</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NY</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14623</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REED PROPERTY COMPANY</w:t>
            </w:r>
          </w:p>
        </w:tc>
        <w:tc>
          <w:tcPr>
            <w:tcW w:w="102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GREENSTATE PROPERTIES</w:t>
            </w: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2430 NORTH</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P.O.BOX:3808</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ITHACA</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NY</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14850-3808</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607-273-7715</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JEFFERSON ROAD</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2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vMerge w:val="continue"/>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right w:val="single" w:sz="8" w:color="auto"/>
            </w:tcBorders>
            <w:vMerge w:val="continue"/>
          </w:tcPr>
          <w:p>
            <w:pPr>
              <w:spacing w:after="0"/>
              <w:rPr>
                <w:sz w:val="8"/>
                <w:szCs w:val="8"/>
                <w:color w:val="auto"/>
              </w:rPr>
            </w:pPr>
          </w:p>
        </w:tc>
        <w:tc>
          <w:tcPr>
            <w:tcW w:w="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TRIPHAMMER ROAD</w:t>
            </w:r>
          </w:p>
        </w:tc>
        <w:tc>
          <w:tcPr>
            <w:tcW w:w="760" w:type="dxa"/>
            <w:vAlign w:val="bottom"/>
            <w:tcBorders>
              <w:bottom w:val="single" w:sz="8" w:color="auto"/>
              <w:right w:val="single" w:sz="8" w:color="auto"/>
            </w:tcBorders>
            <w:vMerge w:val="continue"/>
          </w:tcPr>
          <w:p>
            <w:pPr>
              <w:spacing w:after="0"/>
              <w:rPr>
                <w:sz w:val="8"/>
                <w:szCs w:val="8"/>
                <w:color w:val="auto"/>
              </w:rPr>
            </w:pPr>
          </w:p>
        </w:tc>
        <w:tc>
          <w:tcPr>
            <w:tcW w:w="780" w:type="dxa"/>
            <w:vAlign w:val="bottom"/>
            <w:tcBorders>
              <w:bottom w:val="single" w:sz="8" w:color="auto"/>
              <w:right w:val="single" w:sz="8" w:color="auto"/>
            </w:tcBorders>
            <w:vMerge w:val="continue"/>
          </w:tcPr>
          <w:p>
            <w:pPr>
              <w:spacing w:after="0"/>
              <w:rPr>
                <w:sz w:val="8"/>
                <w:szCs w:val="8"/>
                <w:color w:val="auto"/>
              </w:rPr>
            </w:pPr>
          </w:p>
        </w:tc>
        <w:tc>
          <w:tcPr>
            <w:tcW w:w="240" w:type="dxa"/>
            <w:vAlign w:val="bottom"/>
            <w:tcBorders>
              <w:bottom w:val="single" w:sz="8" w:color="auto"/>
              <w:right w:val="single" w:sz="8" w:color="auto"/>
            </w:tcBorders>
            <w:vMerge w:val="continue"/>
          </w:tcPr>
          <w:p>
            <w:pPr>
              <w:spacing w:after="0"/>
              <w:rPr>
                <w:sz w:val="8"/>
                <w:szCs w:val="8"/>
                <w:color w:val="auto"/>
              </w:rPr>
            </w:pPr>
          </w:p>
        </w:tc>
        <w:tc>
          <w:tcPr>
            <w:tcW w:w="500" w:type="dxa"/>
            <w:vAlign w:val="bottom"/>
            <w:tcBorders>
              <w:bottom w:val="single" w:sz="8" w:color="auto"/>
              <w:right w:val="single" w:sz="8" w:color="auto"/>
            </w:tcBorders>
            <w:vMerge w:val="continue"/>
          </w:tcPr>
          <w:p>
            <w:pPr>
              <w:spacing w:after="0"/>
              <w:rPr>
                <w:sz w:val="8"/>
                <w:szCs w:val="8"/>
                <w:color w:val="auto"/>
              </w:rPr>
            </w:pPr>
          </w:p>
        </w:tc>
        <w:tc>
          <w:tcPr>
            <w:tcW w:w="720" w:type="dxa"/>
            <w:vAlign w:val="bottom"/>
            <w:tcBorders>
              <w:bottom w:val="single" w:sz="8" w:color="auto"/>
              <w:right w:val="single" w:sz="8" w:color="auto"/>
            </w:tcBorders>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9176</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3806-A HIGH</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GREENSBORO</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NC</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27407-</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ED KELLEY PLAZA ASSOCIATES</w:t>
            </w:r>
          </w:p>
        </w:tc>
        <w:tc>
          <w:tcPr>
            <w:tcW w:w="102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102 W. THIRD</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470</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WINSTON SALEM</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NC</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27107</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(336) 768-1800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POINT RD. SPACE</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STREET</w:t>
            </w:r>
          </w:p>
        </w:tc>
        <w:tc>
          <w:tcPr>
            <w:tcW w:w="76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9178</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116 S</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VIRGINIA BEACH</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VA</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23462</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OUTLET MALL PROPERTIES, LC</w:t>
            </w:r>
          </w:p>
        </w:tc>
        <w:tc>
          <w:tcPr>
            <w:tcW w:w="102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1080 LASKIN ROAD</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VIRGINIA BEACH</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VA</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23451</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757-422-3601</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INDEPENDENCE</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#103</w:t>
            </w:r>
          </w:p>
        </w:tc>
        <w:tc>
          <w:tcPr>
            <w:tcW w:w="7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9180</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450 NORTH</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PARAMUS</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NJ</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7652</w:t>
            </w:r>
          </w:p>
        </w:tc>
        <w:tc>
          <w:tcPr>
            <w:tcW w:w="1440" w:type="dxa"/>
            <w:vAlign w:val="bottom"/>
            <w:tcBorders>
              <w:right w:val="single" w:sz="8" w:color="auto"/>
            </w:tcBorders>
          </w:tcPr>
          <w:p>
            <w:pPr>
              <w:ind w:left="20"/>
              <w:spacing w:after="0" w:line="76" w:lineRule="exact"/>
              <w:rPr>
                <w:sz w:val="20"/>
                <w:szCs w:val="20"/>
                <w:color w:val="auto"/>
              </w:rPr>
            </w:pPr>
            <w:r>
              <w:rPr>
                <w:rFonts w:ascii="Arial" w:cs="Arial" w:eastAsia="Arial" w:hAnsi="Arial"/>
                <w:sz w:val="7"/>
                <w:szCs w:val="7"/>
                <w:color w:val="auto"/>
              </w:rPr>
              <w:t>PARAMUS ROLLER SKATING ARENA,</w:t>
            </w:r>
          </w:p>
        </w:tc>
        <w:tc>
          <w:tcPr>
            <w:tcW w:w="102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450 RIVER DRIVE</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GARFIELD</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NJ</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7026</w:t>
            </w:r>
          </w:p>
        </w:tc>
        <w:tc>
          <w:tcPr>
            <w:tcW w:w="72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RBT, LLC</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STATE ROUTE 17</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INC</w:t>
            </w:r>
          </w:p>
        </w:tc>
        <w:tc>
          <w:tcPr>
            <w:tcW w:w="1020" w:type="dxa"/>
            <w:vAlign w:val="bottom"/>
            <w:tcBorders>
              <w:right w:val="single" w:sz="8" w:color="auto"/>
            </w:tcBorders>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vMerge w:val="continue"/>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vMerge w:val="continue"/>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9186</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2456 U.S.</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UNION</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NJ</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7083</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ISLAND HOME CENTER, INC</w:t>
            </w:r>
          </w:p>
        </w:tc>
        <w:tc>
          <w:tcPr>
            <w:tcW w:w="102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C/O JAMES NOSTE</w:t>
            </w: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2456-C ROUTE 22</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UNION</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NJ</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7083</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(908) 810-9595</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Highway 22</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vMerge w:val="continue"/>
          </w:tcPr>
          <w:p>
            <w:pPr>
              <w:spacing w:after="0"/>
              <w:rPr>
                <w:sz w:val="3"/>
                <w:szCs w:val="3"/>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2ND FL</w:t>
            </w: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9187</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2480 FAIRVIEW</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ROSEVILLE</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MN</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55113</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ROSEDALE COMMONS, LP</w:t>
            </w:r>
          </w:p>
        </w:tc>
        <w:tc>
          <w:tcPr>
            <w:tcW w:w="102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DBA COLLIERS</w:t>
            </w: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4350 BAKER RD.,</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MINNETONKA</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MN</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55343</w:t>
            </w:r>
          </w:p>
        </w:tc>
        <w:tc>
          <w:tcPr>
            <w:tcW w:w="72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STORE, LLC</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AVENUE N</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INT/MINNEAPOLIS</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400</w:t>
            </w: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9188</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WILLIAMSBURG</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WILLIAMSBURG</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VA</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23188</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WILLIAMSBURG MAZEL, LLC</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PREMIUM OUTLETS</w:t>
            </w:r>
          </w:p>
        </w:tc>
        <w:tc>
          <w:tcPr>
            <w:tcW w:w="10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SIMON PROPERTY GROUP</w:t>
            </w: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225 WEST</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ID#14241161033</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INDIANAPOLIS</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IN</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46204-3438</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317-263-7107</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PREMIUM</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vMerge w:val="continue"/>
          </w:tcPr>
          <w:p>
            <w:pPr>
              <w:spacing w:after="0"/>
              <w:rPr>
                <w:sz w:val="3"/>
                <w:szCs w:val="3"/>
                <w:color w:val="auto"/>
              </w:rPr>
            </w:pPr>
          </w:p>
        </w:tc>
        <w:tc>
          <w:tcPr>
            <w:tcW w:w="1060" w:type="dxa"/>
            <w:vAlign w:val="bottom"/>
            <w:tcBorders>
              <w:right w:val="single" w:sz="8" w:color="auto"/>
            </w:tcBorders>
            <w:vMerge w:val="continue"/>
          </w:tcPr>
          <w:p>
            <w:pPr>
              <w:spacing w:after="0"/>
              <w:rPr>
                <w:sz w:val="3"/>
                <w:szCs w:val="3"/>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WASHINGTON</w:t>
            </w:r>
          </w:p>
        </w:tc>
        <w:tc>
          <w:tcPr>
            <w:tcW w:w="76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9193</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Lake Grove</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137 Alexander</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LAKE GROVE</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NY</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11755</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CONDAN ENTERPRISES LLC</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PAUL A BREGMAN</w:t>
            </w:r>
          </w:p>
        </w:tc>
        <w:tc>
          <w:tcPr>
            <w:tcW w:w="10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255 EXECUTIVE</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302</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PLAINVIEW</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NY</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11803</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516-349-1091</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Shopping Center</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Avenue</w:t>
            </w: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vMerge w:val="continue"/>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DRIVE</w:t>
            </w:r>
          </w:p>
        </w:tc>
        <w:tc>
          <w:tcPr>
            <w:tcW w:w="76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9194</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17445 W.</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BROOKFIELD</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WI</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53045</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JUDGE ENTERPRISES, LLC</w:t>
            </w:r>
          </w:p>
        </w:tc>
        <w:tc>
          <w:tcPr>
            <w:tcW w:w="102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C/O RICHTER</w:t>
            </w: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18650 W.</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BROOKFIELD</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WI</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53045</w:t>
            </w:r>
          </w:p>
        </w:tc>
        <w:tc>
          <w:tcPr>
            <w:tcW w:w="72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BLUEMOUND</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REALTY &amp;</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CORPORATE DRIVE,</w:t>
            </w: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9199</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BEY LEA PLAZA</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1232 HOOPER</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TOM'S RIVER</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NJ</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8753</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BEY LEA JOINT VENTURE</w:t>
            </w:r>
          </w:p>
        </w:tc>
        <w:tc>
          <w:tcPr>
            <w:tcW w:w="102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CLAUDE T. CHANDONNET,</w:t>
            </w:r>
          </w:p>
        </w:tc>
        <w:tc>
          <w:tcPr>
            <w:tcW w:w="10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MARX REALTY &amp;</w:t>
            </w: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708 THIRD AVENUE,</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NEW YORK</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NY</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10017-4146</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(212) 557-1400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AVENUE</w:t>
            </w: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PRESIDENT &amp; CEO</w:t>
            </w:r>
          </w:p>
        </w:tc>
        <w:tc>
          <w:tcPr>
            <w:tcW w:w="106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IMPROVEMENT CO.,</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21ST FLOOR</w:t>
            </w: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9201</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1501 PLYMOUTH</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MINNETONKA</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MN</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55305</w:t>
            </w:r>
          </w:p>
        </w:tc>
        <w:tc>
          <w:tcPr>
            <w:tcW w:w="1440" w:type="dxa"/>
            <w:vAlign w:val="bottom"/>
            <w:tcBorders>
              <w:right w:val="single" w:sz="8" w:color="auto"/>
            </w:tcBorders>
          </w:tcPr>
          <w:p>
            <w:pPr>
              <w:ind w:left="20"/>
              <w:spacing w:after="0" w:line="76" w:lineRule="exact"/>
              <w:rPr>
                <w:sz w:val="20"/>
                <w:szCs w:val="20"/>
                <w:color w:val="auto"/>
              </w:rPr>
            </w:pPr>
            <w:r>
              <w:rPr>
                <w:rFonts w:ascii="Arial" w:cs="Arial" w:eastAsia="Arial" w:hAnsi="Arial"/>
                <w:sz w:val="7"/>
                <w:szCs w:val="7"/>
                <w:color w:val="auto"/>
              </w:rPr>
              <w:t>CSM BONAVENTURE LIMITED</w:t>
            </w:r>
          </w:p>
        </w:tc>
        <w:tc>
          <w:tcPr>
            <w:tcW w:w="102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DBA BONAVENTURE</w:t>
            </w: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500 WASHINGTON</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MINNEAPOLIS</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MN</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55415</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612-395-7000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STORE, LLC</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ROAD</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PARTNERSHIP, LLP</w:t>
            </w:r>
          </w:p>
        </w:tc>
        <w:tc>
          <w:tcPr>
            <w:tcW w:w="1020" w:type="dxa"/>
            <w:vAlign w:val="bottom"/>
            <w:tcBorders>
              <w:right w:val="single" w:sz="8" w:color="auto"/>
            </w:tcBorders>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SC A/K/A</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AVE SO, SUITE</w:t>
            </w: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vMerge w:val="continue"/>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9202</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PLEASANT</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11601 108TH</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PLEASANT</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WI</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53158-</w:t>
            </w:r>
          </w:p>
        </w:tc>
        <w:tc>
          <w:tcPr>
            <w:tcW w:w="1440" w:type="dxa"/>
            <w:vAlign w:val="bottom"/>
            <w:tcBorders>
              <w:right w:val="single" w:sz="8" w:color="auto"/>
            </w:tcBorders>
          </w:tcPr>
          <w:p>
            <w:pPr>
              <w:ind w:left="20"/>
              <w:spacing w:after="0" w:line="76" w:lineRule="exact"/>
              <w:rPr>
                <w:sz w:val="20"/>
                <w:szCs w:val="20"/>
                <w:color w:val="auto"/>
              </w:rPr>
            </w:pPr>
            <w:r>
              <w:rPr>
                <w:rFonts w:ascii="Arial" w:cs="Arial" w:eastAsia="Arial" w:hAnsi="Arial"/>
                <w:sz w:val="7"/>
                <w:szCs w:val="7"/>
                <w:color w:val="auto"/>
              </w:rPr>
              <w:t>PLEASANT PRAIRIE PREMIUM</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PREMIUM OUTLETS</w:t>
            </w:r>
          </w:p>
        </w:tc>
        <w:tc>
          <w:tcPr>
            <w:tcW w:w="10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SIMON PROPERTY GROUP</w:t>
            </w: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225 WEST</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INDIANAPOLIS</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IN</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46204-3438</w:t>
            </w:r>
          </w:p>
        </w:tc>
        <w:tc>
          <w:tcPr>
            <w:tcW w:w="72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PRAIRIE PREMIUM</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STREET STE A003</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PRAIRIE</w:t>
            </w: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1622</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OUTLETS, LLC</w:t>
            </w:r>
          </w:p>
        </w:tc>
        <w:tc>
          <w:tcPr>
            <w:tcW w:w="1020" w:type="dxa"/>
            <w:vAlign w:val="bottom"/>
            <w:tcBorders>
              <w:right w:val="single" w:sz="8" w:color="auto"/>
            </w:tcBorders>
            <w:vMerge w:val="continue"/>
          </w:tcPr>
          <w:p>
            <w:pPr>
              <w:spacing w:after="0"/>
              <w:rPr>
                <w:sz w:val="3"/>
                <w:szCs w:val="3"/>
                <w:color w:val="auto"/>
              </w:rPr>
            </w:pPr>
          </w:p>
        </w:tc>
        <w:tc>
          <w:tcPr>
            <w:tcW w:w="1060" w:type="dxa"/>
            <w:vAlign w:val="bottom"/>
            <w:tcBorders>
              <w:right w:val="single" w:sz="8" w:color="auto"/>
            </w:tcBorders>
            <w:vMerge w:val="continue"/>
          </w:tcPr>
          <w:p>
            <w:pPr>
              <w:spacing w:after="0"/>
              <w:rPr>
                <w:sz w:val="3"/>
                <w:szCs w:val="3"/>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WASHINGTON</w:t>
            </w:r>
          </w:p>
        </w:tc>
        <w:tc>
          <w:tcPr>
            <w:tcW w:w="7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vMerge w:val="continue"/>
          </w:tcPr>
          <w:p>
            <w:pPr>
              <w:spacing w:after="0"/>
              <w:rPr>
                <w:sz w:val="4"/>
                <w:szCs w:val="4"/>
                <w:color w:val="auto"/>
              </w:rPr>
            </w:pPr>
          </w:p>
        </w:tc>
        <w:tc>
          <w:tcPr>
            <w:tcW w:w="1440" w:type="dxa"/>
            <w:vAlign w:val="bottom"/>
            <w:tcBorders>
              <w:bottom w:val="single" w:sz="8" w:color="auto"/>
              <w:right w:val="single" w:sz="8" w:color="auto"/>
            </w:tcBorders>
            <w:vMerge w:val="continue"/>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9204</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38 ROCKLAND</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NANUET</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NY</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10954</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BRIXMOR HOLDINGS 11 SPE, LLC</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GENERAL COUNSEL</w:t>
            </w:r>
          </w:p>
        </w:tc>
        <w:tc>
          <w:tcPr>
            <w:tcW w:w="10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BRIXMOR PROPERTY</w:t>
            </w: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450 LEXINGTON</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NEW YORK</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NY</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10017</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212-869-3000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PLAZA</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vMerge w:val="continue"/>
          </w:tcPr>
          <w:p>
            <w:pPr>
              <w:spacing w:after="0"/>
              <w:rPr>
                <w:sz w:val="3"/>
                <w:szCs w:val="3"/>
                <w:color w:val="auto"/>
              </w:rPr>
            </w:pPr>
          </w:p>
        </w:tc>
        <w:tc>
          <w:tcPr>
            <w:tcW w:w="10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GROUP</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AVENUE 13TH</w:t>
            </w:r>
          </w:p>
        </w:tc>
        <w:tc>
          <w:tcPr>
            <w:tcW w:w="7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9205</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INDIAN RIDGE</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5776 GRAPE</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MISHAWAKA</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IN</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46545-</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ST INDIAN RIDGE, LLC</w:t>
            </w:r>
          </w:p>
        </w:tc>
        <w:tc>
          <w:tcPr>
            <w:tcW w:w="102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CHASE PROPERTIES</w:t>
            </w: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3333 RICHMOND</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BEACHWOOD</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OH</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44122</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216-378-4057</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SHOPPING</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ROAD, SUITE 41</w:t>
            </w: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8460</w:t>
            </w: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LTD</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ROAD, SUITE 320</w:t>
            </w: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vMerge w:val="continue"/>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9207</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2369 CENTRAL</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YONKERS</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NY</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10710-</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B.T.M.I. LTD</w:t>
            </w:r>
          </w:p>
        </w:tc>
        <w:tc>
          <w:tcPr>
            <w:tcW w:w="102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1045 FIFTH AVE</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SIXTH FLOOR</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NEW YORK</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NY</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10028</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(212) 628-2109</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PARK AVENUE</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vMerge w:val="continue"/>
          </w:tcPr>
          <w:p>
            <w:pPr>
              <w:spacing w:after="0"/>
              <w:rPr>
                <w:sz w:val="3"/>
                <w:szCs w:val="3"/>
                <w:color w:val="auto"/>
              </w:rPr>
            </w:pPr>
          </w:p>
        </w:tc>
        <w:tc>
          <w:tcPr>
            <w:tcW w:w="76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9208</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3500 Washtenaw</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Washtenaw</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Ann Arbor</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MI</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48104-</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WASHTENHAW COMMONS, LLC</w:t>
            </w:r>
          </w:p>
        </w:tc>
        <w:tc>
          <w:tcPr>
            <w:tcW w:w="102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AF JONNA</w:t>
            </w: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4036 TELEGRAPH</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BLOOMFIELD HILLS</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MI</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48324</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248-593-6200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Avenue, St. O</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Commons</w:t>
            </w: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5249</w:t>
            </w: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DEVELOPMENT CO.</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ROAD, SUITE 201</w:t>
            </w: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vMerge w:val="continue"/>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9210</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EVERGREEN</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9152 SOUTH</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EVERGREEN PARK</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IL</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60805</w:t>
            </w:r>
          </w:p>
        </w:tc>
        <w:tc>
          <w:tcPr>
            <w:tcW w:w="1440" w:type="dxa"/>
            <w:vAlign w:val="bottom"/>
            <w:tcBorders>
              <w:right w:val="single" w:sz="8" w:color="auto"/>
            </w:tcBorders>
          </w:tcPr>
          <w:p>
            <w:pPr>
              <w:ind w:left="20"/>
              <w:spacing w:after="0" w:line="76" w:lineRule="exact"/>
              <w:rPr>
                <w:sz w:val="20"/>
                <w:szCs w:val="20"/>
                <w:color w:val="auto"/>
              </w:rPr>
            </w:pPr>
            <w:r>
              <w:rPr>
                <w:rFonts w:ascii="Arial" w:cs="Arial" w:eastAsia="Arial" w:hAnsi="Arial"/>
                <w:sz w:val="7"/>
                <w:szCs w:val="7"/>
                <w:color w:val="auto"/>
              </w:rPr>
              <w:t>KAWIPS DELAWARE EVERGREEN</w:t>
            </w:r>
          </w:p>
        </w:tc>
        <w:tc>
          <w:tcPr>
            <w:tcW w:w="102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ALLAN SPIWAK</w:t>
            </w: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1590-D</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MANHATTAN BEACH</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CA</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90266</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310-322-5301</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STORE, LLC</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MARKETPLACE</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WESTERN</w:t>
            </w: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PARK, LLC</w:t>
            </w:r>
          </w:p>
        </w:tc>
        <w:tc>
          <w:tcPr>
            <w:tcW w:w="1020" w:type="dxa"/>
            <w:vAlign w:val="bottom"/>
            <w:tcBorders>
              <w:right w:val="single" w:sz="8" w:color="auto"/>
            </w:tcBorders>
          </w:tcPr>
          <w:p>
            <w:pPr>
              <w:spacing w:after="0"/>
              <w:rPr>
                <w:sz w:val="3"/>
                <w:szCs w:val="3"/>
                <w:color w:val="auto"/>
              </w:rPr>
            </w:pPr>
          </w:p>
        </w:tc>
        <w:tc>
          <w:tcPr>
            <w:tcW w:w="1060" w:type="dxa"/>
            <w:vAlign w:val="bottom"/>
            <w:tcBorders>
              <w:right w:val="single" w:sz="8" w:color="auto"/>
            </w:tcBorders>
            <w:vMerge w:val="continue"/>
          </w:tcPr>
          <w:p>
            <w:pPr>
              <w:spacing w:after="0"/>
              <w:rPr>
                <w:sz w:val="3"/>
                <w:szCs w:val="3"/>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ROSECRANS</w:t>
            </w:r>
          </w:p>
        </w:tc>
        <w:tc>
          <w:tcPr>
            <w:tcW w:w="7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vMerge w:val="continue"/>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9211</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2472 FLATBUSH</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BROOKLYN</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NY</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11234</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AAC FLATBUSH RETAIL OWNER, LLC</w:t>
            </w:r>
          </w:p>
        </w:tc>
        <w:tc>
          <w:tcPr>
            <w:tcW w:w="102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150 EAST 58TH</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NEW YORK</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NY</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10155</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646-214-0248</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AVENUE</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STREET, 39TH</w:t>
            </w:r>
          </w:p>
        </w:tc>
        <w:tc>
          <w:tcPr>
            <w:tcW w:w="7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9213</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625 COMMERCE</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FAIRLESS HILLS</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PA</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19030</w:t>
            </w:r>
          </w:p>
        </w:tc>
        <w:tc>
          <w:tcPr>
            <w:tcW w:w="1440" w:type="dxa"/>
            <w:vAlign w:val="bottom"/>
            <w:tcBorders>
              <w:right w:val="single" w:sz="8" w:color="auto"/>
            </w:tcBorders>
          </w:tcPr>
          <w:p>
            <w:pPr>
              <w:ind w:left="20"/>
              <w:spacing w:after="0" w:line="76" w:lineRule="exact"/>
              <w:rPr>
                <w:sz w:val="20"/>
                <w:szCs w:val="20"/>
                <w:color w:val="auto"/>
              </w:rPr>
            </w:pPr>
            <w:r>
              <w:rPr>
                <w:rFonts w:ascii="Arial" w:cs="Arial" w:eastAsia="Arial" w:hAnsi="Arial"/>
                <w:sz w:val="7"/>
                <w:szCs w:val="7"/>
                <w:color w:val="auto"/>
              </w:rPr>
              <w:t>OXFORD VALLEY ROAD ASSOCIATES,</w:t>
            </w:r>
          </w:p>
        </w:tc>
        <w:tc>
          <w:tcPr>
            <w:tcW w:w="102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C/O THE</w:t>
            </w: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350 SENTRY</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BLUE BELL</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PA</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19422</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(610) 260-9600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BLVD</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LP</w:t>
            </w:r>
          </w:p>
        </w:tc>
        <w:tc>
          <w:tcPr>
            <w:tcW w:w="1020" w:type="dxa"/>
            <w:vAlign w:val="bottom"/>
            <w:tcBorders>
              <w:right w:val="single" w:sz="8" w:color="auto"/>
            </w:tcBorders>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GOLDENBERG</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PARKWAY, BLDG</w:t>
            </w: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vMerge w:val="continue"/>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9220</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4626 GREAT</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NORTH OLMSTED</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OH</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44070</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B&amp;G PROPERTIES LP</w:t>
            </w:r>
          </w:p>
        </w:tc>
        <w:tc>
          <w:tcPr>
            <w:tcW w:w="102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26565 MILES ROAD</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WARRENSVILLE</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OH</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44128</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(216) 763-2210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STORE, LLC</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NORTHERN BLVD</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#200</w:t>
            </w:r>
          </w:p>
        </w:tc>
        <w:tc>
          <w:tcPr>
            <w:tcW w:w="7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HEIGHTS</w:t>
            </w: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9221</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5295 HICKORY</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ANTIOCH</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TN</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37013</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HICKORY HOLLOW PARTNERS, LLC</w:t>
            </w:r>
          </w:p>
        </w:tc>
        <w:tc>
          <w:tcPr>
            <w:tcW w:w="102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ANCHOR INVESTMENTS</w:t>
            </w: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2926 FOSTER</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NASHVILLE</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TN</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37204</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615-891-4100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HOLLOW</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60" w:type="dxa"/>
            <w:vAlign w:val="bottom"/>
            <w:tcBorders>
              <w:right w:val="single" w:sz="8" w:color="auto"/>
            </w:tcBorders>
            <w:vMerge w:val="continue"/>
          </w:tcPr>
          <w:p>
            <w:pPr>
              <w:spacing w:after="0"/>
              <w:rPr>
                <w:sz w:val="3"/>
                <w:szCs w:val="3"/>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CREIGHTON DR.</w:t>
            </w:r>
          </w:p>
        </w:tc>
        <w:tc>
          <w:tcPr>
            <w:tcW w:w="7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9223</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8303 E. KELLOGG</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WICHITA</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KS</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67207</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TMC EASTGATE, LLC</w:t>
            </w:r>
          </w:p>
        </w:tc>
        <w:tc>
          <w:tcPr>
            <w:tcW w:w="102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1707 N.</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WICHITA</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KS</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67206</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(316) 685-5341</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STORE, LLC</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DR.</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WATERFRONT</w:t>
            </w:r>
          </w:p>
        </w:tc>
        <w:tc>
          <w:tcPr>
            <w:tcW w:w="7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9224</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4434 BAY ROAD</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SAGINAW</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MI</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48603</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LYNN KIRK TRUSTEE</w:t>
            </w:r>
          </w:p>
        </w:tc>
        <w:tc>
          <w:tcPr>
            <w:tcW w:w="102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FOR PETER</w:t>
            </w: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1524 1/2 STATE</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SANTA BARBARA</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CA</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93101-2514</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(805) 965-1958</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ANDREW KIRK</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STREET</w:t>
            </w: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9225</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CHESAPEAKE</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6718-E RITCHIE</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GLEN BURNIE</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MD</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21061</w:t>
            </w:r>
          </w:p>
        </w:tc>
        <w:tc>
          <w:tcPr>
            <w:tcW w:w="1440" w:type="dxa"/>
            <w:vAlign w:val="bottom"/>
            <w:tcBorders>
              <w:right w:val="single" w:sz="8" w:color="auto"/>
            </w:tcBorders>
          </w:tcPr>
          <w:p>
            <w:pPr>
              <w:ind w:left="20"/>
              <w:spacing w:after="0" w:line="76" w:lineRule="exact"/>
              <w:rPr>
                <w:sz w:val="20"/>
                <w:szCs w:val="20"/>
                <w:color w:val="auto"/>
              </w:rPr>
            </w:pPr>
            <w:r>
              <w:rPr>
                <w:rFonts w:ascii="Arial" w:cs="Arial" w:eastAsia="Arial" w:hAnsi="Arial"/>
                <w:sz w:val="7"/>
                <w:szCs w:val="7"/>
                <w:color w:val="auto"/>
              </w:rPr>
              <w:t>CHESAPEAKE ASSOCIATES &amp;</w:t>
            </w:r>
          </w:p>
        </w:tc>
        <w:tc>
          <w:tcPr>
            <w:tcW w:w="102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C/O FEDDER</w:t>
            </w: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10096 RED RUN</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OWINGS MILLS</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MD</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21117</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800-966-5266</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SQUARE</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HIGHWAY</w:t>
            </w: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CHESAPEAKE GB, LLC</w:t>
            </w:r>
          </w:p>
        </w:tc>
        <w:tc>
          <w:tcPr>
            <w:tcW w:w="1020" w:type="dxa"/>
            <w:vAlign w:val="bottom"/>
            <w:tcBorders>
              <w:right w:val="single" w:sz="8" w:color="auto"/>
            </w:tcBorders>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w w:val="99"/>
              </w:rPr>
              <w:t>MANAGEMENT CORP</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BLVD.-SUITE 300</w:t>
            </w: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vMerge w:val="continue"/>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9227</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23007 EUREKA</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TAYLOR</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MI</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48180</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SOUTH PLAZA COMPANY, LLC</w:t>
            </w:r>
          </w:p>
        </w:tc>
        <w:tc>
          <w:tcPr>
            <w:tcW w:w="102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19545 PARKE LANE</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19545 PARKE LANE</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GROSSE ILE</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MI</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48138</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734-250-1200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ROAD</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vMerge w:val="continue"/>
          </w:tcPr>
          <w:p>
            <w:pPr>
              <w:spacing w:after="0"/>
              <w:rPr>
                <w:sz w:val="3"/>
                <w:szCs w:val="3"/>
                <w:color w:val="auto"/>
              </w:rPr>
            </w:pPr>
          </w:p>
        </w:tc>
        <w:tc>
          <w:tcPr>
            <w:tcW w:w="76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9229</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101 SOUTH 48TH,</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LINCOLN</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NE</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68510</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BTI, LLC</w:t>
            </w:r>
          </w:p>
        </w:tc>
        <w:tc>
          <w:tcPr>
            <w:tcW w:w="102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C/O PLATINUM</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5027 S BUR OAK PL</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SIOUX FALLS</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SD</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57108</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605-271-7893</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STORE, LLC</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SUITE 4</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PROPERTY</w:t>
            </w:r>
          </w:p>
        </w:tc>
        <w:tc>
          <w:tcPr>
            <w:tcW w:w="76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9232</w:t>
            </w:r>
          </w:p>
        </w:tc>
        <w:tc>
          <w:tcPr>
            <w:tcW w:w="80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BELDEN WHIPPLE</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5106 WHIPPLE</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CANTON</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OH</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44718</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DeVILLE DEVELOPMENTS LLC</w:t>
            </w:r>
          </w:p>
        </w:tc>
        <w:tc>
          <w:tcPr>
            <w:tcW w:w="102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3951 CONVENIENCE</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301</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CANTON</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OH</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44718</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330-493-9131</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CENTER</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AVENUE</w:t>
            </w: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CIRCLE NW</w:t>
            </w:r>
          </w:p>
        </w:tc>
        <w:tc>
          <w:tcPr>
            <w:tcW w:w="76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9235</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4385 MILLER</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FLINT</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MI</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48507</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CSB ENTERPRISES, LLC</w:t>
            </w:r>
          </w:p>
        </w:tc>
        <w:tc>
          <w:tcPr>
            <w:tcW w:w="102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28833 TELEGRAPH</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SOUTHFIELD</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MI</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48034</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(248) 353-8914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ROAD</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ROAD</w:t>
            </w:r>
          </w:p>
        </w:tc>
        <w:tc>
          <w:tcPr>
            <w:tcW w:w="7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9236</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220 BALTIMORE</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SPRINGFIELD</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PA</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19064</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COLLIERS INTERNATIONAL</w:t>
            </w:r>
          </w:p>
        </w:tc>
        <w:tc>
          <w:tcPr>
            <w:tcW w:w="102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TEN PENN CENTER</w:t>
            </w: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1801 MARKET</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PHILADELPHIA</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PA</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19103</w:t>
            </w:r>
          </w:p>
        </w:tc>
        <w:tc>
          <w:tcPr>
            <w:tcW w:w="72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PIKE</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TOWNSHIP</w:t>
            </w: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vMerge w:val="continue"/>
          </w:tcPr>
          <w:p>
            <w:pPr>
              <w:spacing w:after="0"/>
              <w:rPr>
                <w:sz w:val="3"/>
                <w:szCs w:val="3"/>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STREET, SUITE 550</w:t>
            </w: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9"/>
        </w:trPr>
        <w:tc>
          <w:tcPr>
            <w:tcW w:w="3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20" w:right="179" w:bottom="1440" w:gutter="0" w:footer="0" w:header="0"/>
        </w:sectPr>
      </w:pPr>
    </w:p>
    <w:bookmarkStart w:id="159" w:name="page160"/>
    <w:bookmarkEnd w:id="159"/>
    <w:tbl>
      <w:tblPr>
        <w:tblLayout w:type="fixed"/>
        <w:tblInd w:w="10" w:type="dxa"/>
        <w:tblCellMar>
          <w:top w:w="0" w:type="dxa"/>
          <w:left w:w="0" w:type="dxa"/>
          <w:bottom w:w="0" w:type="dxa"/>
          <w:right w:w="0" w:type="dxa"/>
        </w:tblCellMar>
      </w:tblPr>
      <w:tr>
        <w:trPr>
          <w:trHeight w:val="90"/>
        </w:trPr>
        <w:tc>
          <w:tcPr>
            <w:tcW w:w="360" w:type="dxa"/>
            <w:vAlign w:val="bottom"/>
            <w:tcBorders>
              <w:top w:val="single" w:sz="8" w:color="auto"/>
              <w:left w:val="single" w:sz="8" w:color="auto"/>
              <w:right w:val="single" w:sz="8" w:color="auto"/>
            </w:tcBorders>
          </w:tcPr>
          <w:p>
            <w:pPr>
              <w:spacing w:after="0"/>
              <w:rPr>
                <w:sz w:val="7"/>
                <w:szCs w:val="7"/>
                <w:color w:val="auto"/>
              </w:rPr>
            </w:pPr>
          </w:p>
        </w:tc>
        <w:tc>
          <w:tcPr>
            <w:tcW w:w="800" w:type="dxa"/>
            <w:vAlign w:val="bottom"/>
            <w:tcBorders>
              <w:top w:val="single" w:sz="8" w:color="auto"/>
              <w:right w:val="single" w:sz="8" w:color="auto"/>
            </w:tcBorders>
          </w:tcPr>
          <w:p>
            <w:pPr>
              <w:spacing w:after="0"/>
              <w:rPr>
                <w:sz w:val="7"/>
                <w:szCs w:val="7"/>
                <w:color w:val="auto"/>
              </w:rPr>
            </w:pPr>
          </w:p>
        </w:tc>
        <w:tc>
          <w:tcPr>
            <w:tcW w:w="800" w:type="dxa"/>
            <w:vAlign w:val="bottom"/>
            <w:tcBorders>
              <w:top w:val="single" w:sz="8" w:color="auto"/>
              <w:right w:val="single" w:sz="8" w:color="auto"/>
            </w:tcBorders>
          </w:tcPr>
          <w:p>
            <w:pPr>
              <w:spacing w:after="0"/>
              <w:rPr>
                <w:sz w:val="7"/>
                <w:szCs w:val="7"/>
                <w:color w:val="auto"/>
              </w:rPr>
            </w:pPr>
          </w:p>
        </w:tc>
        <w:tc>
          <w:tcPr>
            <w:tcW w:w="780" w:type="dxa"/>
            <w:vAlign w:val="bottom"/>
            <w:tcBorders>
              <w:top w:val="single" w:sz="8" w:color="auto"/>
              <w:right w:val="single" w:sz="8" w:color="auto"/>
            </w:tcBorders>
          </w:tcPr>
          <w:p>
            <w:pPr>
              <w:spacing w:after="0"/>
              <w:rPr>
                <w:sz w:val="7"/>
                <w:szCs w:val="7"/>
                <w:color w:val="auto"/>
              </w:rPr>
            </w:pPr>
          </w:p>
        </w:tc>
        <w:tc>
          <w:tcPr>
            <w:tcW w:w="780" w:type="dxa"/>
            <w:vAlign w:val="bottom"/>
            <w:tcBorders>
              <w:top w:val="single" w:sz="8" w:color="auto"/>
              <w:right w:val="single" w:sz="8" w:color="auto"/>
            </w:tcBorders>
          </w:tcPr>
          <w:p>
            <w:pPr>
              <w:spacing w:after="0"/>
              <w:rPr>
                <w:sz w:val="7"/>
                <w:szCs w:val="7"/>
                <w:color w:val="auto"/>
              </w:rPr>
            </w:pPr>
          </w:p>
        </w:tc>
        <w:tc>
          <w:tcPr>
            <w:tcW w:w="320" w:type="dxa"/>
            <w:vAlign w:val="bottom"/>
            <w:tcBorders>
              <w:top w:val="single" w:sz="8" w:color="auto"/>
              <w:right w:val="single" w:sz="8" w:color="auto"/>
            </w:tcBorders>
          </w:tcPr>
          <w:p>
            <w:pPr>
              <w:spacing w:after="0"/>
              <w:rPr>
                <w:sz w:val="7"/>
                <w:szCs w:val="7"/>
                <w:color w:val="auto"/>
              </w:rPr>
            </w:pPr>
          </w:p>
        </w:tc>
        <w:tc>
          <w:tcPr>
            <w:tcW w:w="3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7"/>
                <w:szCs w:val="7"/>
                <w:b w:val="1"/>
                <w:bCs w:val="1"/>
                <w:color w:val="auto"/>
              </w:rPr>
              <w:t>Store</w:t>
            </w:r>
          </w:p>
        </w:tc>
        <w:tc>
          <w:tcPr>
            <w:tcW w:w="1440" w:type="dxa"/>
            <w:vAlign w:val="bottom"/>
            <w:tcBorders>
              <w:top w:val="single" w:sz="8" w:color="auto"/>
              <w:right w:val="single" w:sz="8" w:color="auto"/>
            </w:tcBorders>
          </w:tcPr>
          <w:p>
            <w:pPr>
              <w:spacing w:after="0"/>
              <w:rPr>
                <w:sz w:val="7"/>
                <w:szCs w:val="7"/>
                <w:color w:val="auto"/>
              </w:rPr>
            </w:pPr>
          </w:p>
        </w:tc>
        <w:tc>
          <w:tcPr>
            <w:tcW w:w="1020" w:type="dxa"/>
            <w:vAlign w:val="bottom"/>
            <w:tcBorders>
              <w:top w:val="single" w:sz="8" w:color="auto"/>
              <w:right w:val="single" w:sz="8" w:color="auto"/>
            </w:tcBorders>
          </w:tcPr>
          <w:p>
            <w:pPr>
              <w:spacing w:after="0"/>
              <w:rPr>
                <w:sz w:val="7"/>
                <w:szCs w:val="7"/>
                <w:color w:val="auto"/>
              </w:rPr>
            </w:pPr>
          </w:p>
        </w:tc>
        <w:tc>
          <w:tcPr>
            <w:tcW w:w="1040" w:type="dxa"/>
            <w:vAlign w:val="bottom"/>
            <w:tcBorders>
              <w:top w:val="single" w:sz="8" w:color="auto"/>
              <w:right w:val="single" w:sz="8" w:color="auto"/>
            </w:tcBorders>
          </w:tcPr>
          <w:p>
            <w:pPr>
              <w:spacing w:after="0"/>
              <w:rPr>
                <w:sz w:val="7"/>
                <w:szCs w:val="7"/>
                <w:color w:val="auto"/>
              </w:rPr>
            </w:pPr>
          </w:p>
        </w:tc>
        <w:tc>
          <w:tcPr>
            <w:tcW w:w="780" w:type="dxa"/>
            <w:vAlign w:val="bottom"/>
            <w:tcBorders>
              <w:top w:val="single" w:sz="8" w:color="auto"/>
              <w:left w:val="single" w:sz="8" w:color="auto"/>
              <w:right w:val="single" w:sz="8" w:color="auto"/>
            </w:tcBorders>
          </w:tcPr>
          <w:p>
            <w:pPr>
              <w:spacing w:after="0"/>
              <w:rPr>
                <w:sz w:val="7"/>
                <w:szCs w:val="7"/>
                <w:color w:val="auto"/>
              </w:rPr>
            </w:pPr>
          </w:p>
        </w:tc>
        <w:tc>
          <w:tcPr>
            <w:tcW w:w="760" w:type="dxa"/>
            <w:vAlign w:val="bottom"/>
            <w:tcBorders>
              <w:top w:val="single" w:sz="8" w:color="auto"/>
              <w:right w:val="single" w:sz="8" w:color="auto"/>
            </w:tcBorders>
          </w:tcPr>
          <w:p>
            <w:pPr>
              <w:spacing w:after="0"/>
              <w:rPr>
                <w:sz w:val="7"/>
                <w:szCs w:val="7"/>
                <w:color w:val="auto"/>
              </w:rPr>
            </w:pPr>
          </w:p>
        </w:tc>
        <w:tc>
          <w:tcPr>
            <w:tcW w:w="780" w:type="dxa"/>
            <w:vAlign w:val="bottom"/>
            <w:tcBorders>
              <w:top w:val="single" w:sz="8" w:color="auto"/>
              <w:right w:val="single" w:sz="8" w:color="auto"/>
            </w:tcBorders>
          </w:tcPr>
          <w:p>
            <w:pPr>
              <w:spacing w:after="0"/>
              <w:rPr>
                <w:sz w:val="7"/>
                <w:szCs w:val="7"/>
                <w:color w:val="auto"/>
              </w:rPr>
            </w:pPr>
          </w:p>
        </w:tc>
        <w:tc>
          <w:tcPr>
            <w:tcW w:w="24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w:t>
            </w:r>
          </w:p>
        </w:tc>
        <w:tc>
          <w:tcPr>
            <w:tcW w:w="500" w:type="dxa"/>
            <w:vAlign w:val="bottom"/>
            <w:tcBorders>
              <w:top w:val="single" w:sz="8" w:color="auto"/>
              <w:right w:val="single" w:sz="8" w:color="auto"/>
            </w:tcBorders>
          </w:tcPr>
          <w:p>
            <w:pPr>
              <w:spacing w:after="0"/>
              <w:rPr>
                <w:sz w:val="7"/>
                <w:szCs w:val="7"/>
                <w:color w:val="auto"/>
              </w:rPr>
            </w:pPr>
          </w:p>
        </w:tc>
        <w:tc>
          <w:tcPr>
            <w:tcW w:w="74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Phone Number</w:t>
            </w:r>
          </w:p>
        </w:tc>
        <w:tc>
          <w:tcPr>
            <w:tcW w:w="0" w:type="dxa"/>
            <w:vAlign w:val="bottom"/>
          </w:tcPr>
          <w:p>
            <w:pPr>
              <w:spacing w:after="0"/>
              <w:rPr>
                <w:sz w:val="1"/>
                <w:szCs w:val="1"/>
                <w:color w:val="auto"/>
              </w:rPr>
            </w:pPr>
          </w:p>
        </w:tc>
      </w:tr>
      <w:tr>
        <w:trPr>
          <w:trHeight w:val="81"/>
        </w:trPr>
        <w:tc>
          <w:tcPr>
            <w:tcW w:w="3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7"/>
                <w:szCs w:val="7"/>
                <w:b w:val="1"/>
                <w:bCs w:val="1"/>
                <w:color w:val="auto"/>
              </w:rPr>
              <w:t>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b w:val="1"/>
                <w:bCs w:val="1"/>
                <w:color w:val="auto"/>
              </w:rPr>
              <w:t>Store Legal Entity</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b w:val="1"/>
                <w:bCs w:val="1"/>
                <w:color w:val="auto"/>
                <w:w w:val="97"/>
              </w:rPr>
              <w:t>Store Street Address</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w w:val="97"/>
              </w:rPr>
              <w:t>Store Street Address</w:t>
            </w:r>
          </w:p>
        </w:tc>
        <w:tc>
          <w:tcPr>
            <w:tcW w:w="780" w:type="dxa"/>
            <w:vAlign w:val="bottom"/>
            <w:tcBorders>
              <w:right w:val="single" w:sz="8" w:color="auto"/>
            </w:tcBorders>
          </w:tcPr>
          <w:p>
            <w:pPr>
              <w:spacing w:after="0"/>
              <w:rPr>
                <w:sz w:val="7"/>
                <w:szCs w:val="7"/>
                <w:color w:val="auto"/>
              </w:rPr>
            </w:pPr>
          </w:p>
        </w:tc>
        <w:tc>
          <w:tcPr>
            <w:tcW w:w="32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rPr>
              <w:t>Store</w:t>
            </w:r>
          </w:p>
        </w:tc>
        <w:tc>
          <w:tcPr>
            <w:tcW w:w="360" w:type="dxa"/>
            <w:vAlign w:val="bottom"/>
            <w:tcBorders>
              <w:right w:val="single" w:sz="8" w:color="auto"/>
            </w:tcBorders>
          </w:tcPr>
          <w:p>
            <w:pPr>
              <w:ind w:left="60"/>
              <w:spacing w:after="0"/>
              <w:rPr>
                <w:sz w:val="20"/>
                <w:szCs w:val="20"/>
                <w:color w:val="auto"/>
              </w:rPr>
            </w:pPr>
            <w:r>
              <w:rPr>
                <w:rFonts w:ascii="Arial" w:cs="Arial" w:eastAsia="Arial" w:hAnsi="Arial"/>
                <w:sz w:val="7"/>
                <w:szCs w:val="7"/>
                <w:b w:val="1"/>
                <w:bCs w:val="1"/>
                <w:color w:val="auto"/>
              </w:rPr>
              <w:t>Postal</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Name</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Attention To</w:t>
            </w: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In Care Of</w:t>
            </w:r>
          </w:p>
        </w:tc>
        <w:tc>
          <w:tcPr>
            <w:tcW w:w="780" w:type="dxa"/>
            <w:vAlign w:val="bottom"/>
            <w:tcBorders>
              <w:left w:val="single" w:sz="8" w:color="auto"/>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Street 1</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Street 2</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City</w:t>
            </w:r>
          </w:p>
        </w:tc>
        <w:tc>
          <w:tcPr>
            <w:tcW w:w="240" w:type="dxa"/>
            <w:vAlign w:val="bottom"/>
            <w:tcBorders>
              <w:right w:val="single" w:sz="8" w:color="auto"/>
            </w:tcBorders>
            <w:vMerge w:val="continue"/>
          </w:tcPr>
          <w:p>
            <w:pPr>
              <w:spacing w:after="0"/>
              <w:rPr>
                <w:sz w:val="7"/>
                <w:szCs w:val="7"/>
                <w:color w:val="auto"/>
              </w:rPr>
            </w:pP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Zip</w:t>
            </w:r>
          </w:p>
        </w:tc>
        <w:tc>
          <w:tcPr>
            <w:tcW w:w="7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vMerge w:val="continue"/>
          </w:tcPr>
          <w:p>
            <w:pPr>
              <w:spacing w:after="0"/>
              <w:rPr>
                <w:sz w:val="3"/>
                <w:szCs w:val="3"/>
                <w:color w:val="auto"/>
              </w:rPr>
            </w:pPr>
          </w:p>
        </w:tc>
        <w:tc>
          <w:tcPr>
            <w:tcW w:w="800" w:type="dxa"/>
            <w:vAlign w:val="bottom"/>
            <w:tcBorders>
              <w:right w:val="single" w:sz="8" w:color="auto"/>
            </w:tcBorders>
            <w:vMerge w:val="continue"/>
          </w:tcPr>
          <w:p>
            <w:pPr>
              <w:spacing w:after="0"/>
              <w:rPr>
                <w:sz w:val="3"/>
                <w:szCs w:val="3"/>
                <w:color w:val="auto"/>
              </w:rPr>
            </w:pPr>
          </w:p>
        </w:tc>
        <w:tc>
          <w:tcPr>
            <w:tcW w:w="80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vMerge w:val="continue"/>
          </w:tcPr>
          <w:p>
            <w:pPr>
              <w:spacing w:after="0"/>
              <w:rPr>
                <w:sz w:val="3"/>
                <w:szCs w:val="3"/>
                <w:color w:val="auto"/>
              </w:rPr>
            </w:pPr>
          </w:p>
        </w:tc>
        <w:tc>
          <w:tcPr>
            <w:tcW w:w="36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rPr>
              <w:t>Code</w:t>
            </w: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vMerge w:val="continue"/>
          </w:tcPr>
          <w:p>
            <w:pPr>
              <w:spacing w:after="0"/>
              <w:rPr>
                <w:sz w:val="3"/>
                <w:szCs w:val="3"/>
                <w:color w:val="auto"/>
              </w:rPr>
            </w:pPr>
          </w:p>
        </w:tc>
        <w:tc>
          <w:tcPr>
            <w:tcW w:w="780" w:type="dxa"/>
            <w:vAlign w:val="bottom"/>
            <w:tcBorders>
              <w:left w:val="single" w:sz="8" w:color="auto"/>
              <w:right w:val="single" w:sz="8" w:color="auto"/>
            </w:tcBorders>
            <w:vMerge w:val="continue"/>
          </w:tcPr>
          <w:p>
            <w:pPr>
              <w:spacing w:after="0"/>
              <w:rPr>
                <w:sz w:val="3"/>
                <w:szCs w:val="3"/>
                <w:color w:val="auto"/>
              </w:rPr>
            </w:pPr>
          </w:p>
        </w:tc>
        <w:tc>
          <w:tcPr>
            <w:tcW w:w="76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State</w:t>
            </w:r>
          </w:p>
        </w:tc>
        <w:tc>
          <w:tcPr>
            <w:tcW w:w="5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7"/>
        </w:trPr>
        <w:tc>
          <w:tcPr>
            <w:tcW w:w="3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7"/>
                <w:szCs w:val="7"/>
                <w:b w:val="1"/>
                <w:bCs w:val="1"/>
                <w:color w:val="auto"/>
              </w:rPr>
              <w:t>#</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b w:val="1"/>
                <w:bCs w:val="1"/>
                <w:color w:val="auto"/>
              </w:rPr>
              <w:t>Name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b w:val="1"/>
                <w:bCs w:val="1"/>
                <w:color w:val="auto"/>
              </w:rPr>
              <w:t>#1</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rPr>
              <w:t>#2</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rPr>
              <w:t>Store City</w:t>
            </w:r>
          </w:p>
        </w:tc>
        <w:tc>
          <w:tcPr>
            <w:tcW w:w="32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rPr>
              <w:t>State</w:t>
            </w:r>
          </w:p>
        </w:tc>
        <w:tc>
          <w:tcPr>
            <w:tcW w:w="360" w:type="dxa"/>
            <w:vAlign w:val="bottom"/>
            <w:tcBorders>
              <w:right w:val="single" w:sz="8" w:color="auto"/>
            </w:tcBorders>
            <w:vMerge w:val="continue"/>
          </w:tcPr>
          <w:p>
            <w:pPr>
              <w:spacing w:after="0"/>
              <w:rPr>
                <w:sz w:val="4"/>
                <w:szCs w:val="4"/>
                <w:color w:val="auto"/>
              </w:rPr>
            </w:pPr>
          </w:p>
        </w:tc>
        <w:tc>
          <w:tcPr>
            <w:tcW w:w="1440" w:type="dxa"/>
            <w:vAlign w:val="bottom"/>
            <w:tcBorders>
              <w:right w:val="single" w:sz="8" w:color="auto"/>
            </w:tcBorders>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80" w:type="dxa"/>
            <w:vAlign w:val="bottom"/>
            <w:tcBorders>
              <w:left w:val="single" w:sz="8" w:color="auto"/>
              <w:right w:val="single" w:sz="8" w:color="auto"/>
            </w:tcBorders>
          </w:tcPr>
          <w:p>
            <w:pPr>
              <w:spacing w:after="0"/>
              <w:rPr>
                <w:sz w:val="4"/>
                <w:szCs w:val="4"/>
                <w:color w:val="auto"/>
              </w:rPr>
            </w:pPr>
          </w:p>
        </w:tc>
        <w:tc>
          <w:tcPr>
            <w:tcW w:w="76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800" w:type="dxa"/>
            <w:vAlign w:val="bottom"/>
            <w:tcBorders>
              <w:bottom w:val="single" w:sz="8" w:color="auto"/>
              <w:right w:val="single" w:sz="8" w:color="auto"/>
            </w:tcBorders>
            <w:vMerge w:val="continue"/>
          </w:tcPr>
          <w:p>
            <w:pPr>
              <w:spacing w:after="0"/>
              <w:rPr>
                <w:sz w:val="5"/>
                <w:szCs w:val="5"/>
                <w:color w:val="auto"/>
              </w:rPr>
            </w:pPr>
          </w:p>
        </w:tc>
        <w:tc>
          <w:tcPr>
            <w:tcW w:w="800" w:type="dxa"/>
            <w:vAlign w:val="bottom"/>
            <w:tcBorders>
              <w:bottom w:val="single" w:sz="8" w:color="auto"/>
              <w:right w:val="single" w:sz="8" w:color="auto"/>
            </w:tcBorders>
            <w:vMerge w:val="continue"/>
          </w:tcPr>
          <w:p>
            <w:pPr>
              <w:spacing w:after="0"/>
              <w:rPr>
                <w:sz w:val="5"/>
                <w:szCs w:val="5"/>
                <w:color w:val="auto"/>
              </w:rPr>
            </w:pPr>
          </w:p>
        </w:tc>
        <w:tc>
          <w:tcPr>
            <w:tcW w:w="780" w:type="dxa"/>
            <w:vAlign w:val="bottom"/>
            <w:tcBorders>
              <w:bottom w:val="single" w:sz="8" w:color="auto"/>
              <w:right w:val="single" w:sz="8" w:color="auto"/>
            </w:tcBorders>
            <w:vMerge w:val="continue"/>
          </w:tcPr>
          <w:p>
            <w:pPr>
              <w:spacing w:after="0"/>
              <w:rPr>
                <w:sz w:val="5"/>
                <w:szCs w:val="5"/>
                <w:color w:val="auto"/>
              </w:rPr>
            </w:pPr>
          </w:p>
        </w:tc>
        <w:tc>
          <w:tcPr>
            <w:tcW w:w="780" w:type="dxa"/>
            <w:vAlign w:val="bottom"/>
            <w:tcBorders>
              <w:bottom w:val="single" w:sz="8" w:color="auto"/>
              <w:right w:val="single" w:sz="8" w:color="auto"/>
            </w:tcBorders>
            <w:vMerge w:val="continue"/>
          </w:tcPr>
          <w:p>
            <w:pPr>
              <w:spacing w:after="0"/>
              <w:rPr>
                <w:sz w:val="5"/>
                <w:szCs w:val="5"/>
                <w:color w:val="auto"/>
              </w:rPr>
            </w:pPr>
          </w:p>
        </w:tc>
        <w:tc>
          <w:tcPr>
            <w:tcW w:w="320" w:type="dxa"/>
            <w:vAlign w:val="bottom"/>
            <w:tcBorders>
              <w:bottom w:val="single" w:sz="8" w:color="auto"/>
              <w:right w:val="single" w:sz="8" w:color="auto"/>
            </w:tcBorders>
            <w:vMerge w:val="continue"/>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780" w:type="dxa"/>
            <w:vAlign w:val="bottom"/>
            <w:tcBorders>
              <w:left w:val="single" w:sz="8" w:color="auto"/>
              <w:bottom w:val="single" w:sz="8" w:color="auto"/>
              <w:right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360" w:type="dxa"/>
            <w:vAlign w:val="bottom"/>
            <w:tcBorders>
              <w:left w:val="single" w:sz="8" w:color="auto"/>
              <w:right w:val="single" w:sz="8" w:color="auto"/>
            </w:tcBorders>
          </w:tcPr>
          <w:p>
            <w:pPr>
              <w:jc w:val="right"/>
              <w:ind w:right="44"/>
              <w:spacing w:after="0" w:line="74" w:lineRule="exact"/>
              <w:rPr>
                <w:sz w:val="20"/>
                <w:szCs w:val="20"/>
                <w:color w:val="auto"/>
              </w:rPr>
            </w:pPr>
            <w:r>
              <w:rPr>
                <w:rFonts w:ascii="Arial" w:cs="Arial" w:eastAsia="Arial" w:hAnsi="Arial"/>
                <w:sz w:val="7"/>
                <w:szCs w:val="7"/>
                <w:color w:val="auto"/>
              </w:rPr>
              <w:t>9241</w:t>
            </w:r>
          </w:p>
        </w:tc>
        <w:tc>
          <w:tcPr>
            <w:tcW w:w="800" w:type="dxa"/>
            <w:vAlign w:val="bottom"/>
            <w:tcBorders>
              <w:right w:val="single" w:sz="8" w:color="auto"/>
            </w:tcBorders>
          </w:tcPr>
          <w:p>
            <w:pPr>
              <w:ind w:left="100"/>
              <w:spacing w:after="0" w:line="74"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4" w:lineRule="exact"/>
              <w:rPr>
                <w:sz w:val="20"/>
                <w:szCs w:val="20"/>
                <w:color w:val="auto"/>
              </w:rPr>
            </w:pPr>
            <w:r>
              <w:rPr>
                <w:rFonts w:ascii="Arial" w:cs="Arial" w:eastAsia="Arial" w:hAnsi="Arial"/>
                <w:sz w:val="7"/>
                <w:szCs w:val="7"/>
                <w:color w:val="auto"/>
              </w:rPr>
              <w:t>7565 GREENBELT</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4" w:lineRule="exact"/>
              <w:rPr>
                <w:sz w:val="20"/>
                <w:szCs w:val="20"/>
                <w:color w:val="auto"/>
              </w:rPr>
            </w:pPr>
            <w:r>
              <w:rPr>
                <w:rFonts w:ascii="Arial" w:cs="Arial" w:eastAsia="Arial" w:hAnsi="Arial"/>
                <w:sz w:val="7"/>
                <w:szCs w:val="7"/>
                <w:color w:val="auto"/>
              </w:rPr>
              <w:t>GREENBELT</w:t>
            </w:r>
          </w:p>
        </w:tc>
        <w:tc>
          <w:tcPr>
            <w:tcW w:w="320" w:type="dxa"/>
            <w:vAlign w:val="bottom"/>
            <w:tcBorders>
              <w:right w:val="single" w:sz="8" w:color="auto"/>
            </w:tcBorders>
          </w:tcPr>
          <w:p>
            <w:pPr>
              <w:ind w:left="60"/>
              <w:spacing w:after="0" w:line="74" w:lineRule="exact"/>
              <w:rPr>
                <w:sz w:val="20"/>
                <w:szCs w:val="20"/>
                <w:color w:val="auto"/>
              </w:rPr>
            </w:pPr>
            <w:r>
              <w:rPr>
                <w:rFonts w:ascii="Arial" w:cs="Arial" w:eastAsia="Arial" w:hAnsi="Arial"/>
                <w:sz w:val="7"/>
                <w:szCs w:val="7"/>
                <w:color w:val="auto"/>
              </w:rPr>
              <w:t>MD</w:t>
            </w:r>
          </w:p>
        </w:tc>
        <w:tc>
          <w:tcPr>
            <w:tcW w:w="360" w:type="dxa"/>
            <w:vAlign w:val="bottom"/>
            <w:tcBorders>
              <w:right w:val="single" w:sz="8" w:color="auto"/>
            </w:tcBorders>
          </w:tcPr>
          <w:p>
            <w:pPr>
              <w:ind w:left="60"/>
              <w:spacing w:after="0" w:line="74" w:lineRule="exact"/>
              <w:rPr>
                <w:sz w:val="20"/>
                <w:szCs w:val="20"/>
                <w:color w:val="auto"/>
              </w:rPr>
            </w:pPr>
            <w:r>
              <w:rPr>
                <w:rFonts w:ascii="Arial" w:cs="Arial" w:eastAsia="Arial" w:hAnsi="Arial"/>
                <w:sz w:val="7"/>
                <w:szCs w:val="7"/>
                <w:color w:val="auto"/>
              </w:rPr>
              <w:t>20770</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COMBINED PROPERTIES, INC</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Legal Department</w:t>
            </w: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4" w:lineRule="exact"/>
              <w:rPr>
                <w:sz w:val="20"/>
                <w:szCs w:val="20"/>
                <w:color w:val="auto"/>
              </w:rPr>
            </w:pPr>
            <w:r>
              <w:rPr>
                <w:rFonts w:ascii="Arial" w:cs="Arial" w:eastAsia="Arial" w:hAnsi="Arial"/>
                <w:sz w:val="7"/>
                <w:szCs w:val="7"/>
                <w:color w:val="auto"/>
              </w:rPr>
              <w:t>1025 THOMAS</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700 EAST</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WASHINGTON</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DC</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20007-5201</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(202) 293-4500</w:t>
            </w: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RD.</w:t>
            </w:r>
          </w:p>
        </w:tc>
        <w:tc>
          <w:tcPr>
            <w:tcW w:w="7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vMerge w:val="continue"/>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JEFFERSON STREET</w:t>
            </w:r>
          </w:p>
        </w:tc>
        <w:tc>
          <w:tcPr>
            <w:tcW w:w="76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6"/>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continue"/>
          </w:tcPr>
          <w:p>
            <w:pPr>
              <w:spacing w:after="0"/>
              <w:rPr>
                <w:sz w:val="3"/>
                <w:szCs w:val="3"/>
                <w:color w:val="auto"/>
              </w:rPr>
            </w:pPr>
          </w:p>
        </w:tc>
        <w:tc>
          <w:tcPr>
            <w:tcW w:w="80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500" w:type="dxa"/>
            <w:vAlign w:val="bottom"/>
            <w:tcBorders>
              <w:right w:val="single" w:sz="8" w:color="auto"/>
            </w:tcBorders>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
        </w:trPr>
        <w:tc>
          <w:tcPr>
            <w:tcW w:w="36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360" w:type="dxa"/>
            <w:vAlign w:val="bottom"/>
            <w:tcBorders>
              <w:left w:val="single" w:sz="8" w:color="auto"/>
              <w:right w:val="single" w:sz="8" w:color="auto"/>
            </w:tcBorders>
          </w:tcPr>
          <w:p>
            <w:pPr>
              <w:jc w:val="right"/>
              <w:ind w:right="44"/>
              <w:spacing w:after="0" w:line="63" w:lineRule="exact"/>
              <w:rPr>
                <w:sz w:val="20"/>
                <w:szCs w:val="20"/>
                <w:color w:val="auto"/>
              </w:rPr>
            </w:pPr>
            <w:r>
              <w:rPr>
                <w:rFonts w:ascii="Arial" w:cs="Arial" w:eastAsia="Arial" w:hAnsi="Arial"/>
                <w:sz w:val="7"/>
                <w:szCs w:val="7"/>
                <w:color w:val="auto"/>
              </w:rPr>
              <w:t>9242</w:t>
            </w:r>
          </w:p>
        </w:tc>
        <w:tc>
          <w:tcPr>
            <w:tcW w:w="800" w:type="dxa"/>
            <w:vAlign w:val="bottom"/>
            <w:tcBorders>
              <w:right w:val="single" w:sz="8" w:color="auto"/>
            </w:tcBorders>
          </w:tcPr>
          <w:p>
            <w:pPr>
              <w:ind w:left="100"/>
              <w:spacing w:after="0" w:line="63"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63" w:lineRule="exact"/>
              <w:rPr>
                <w:sz w:val="20"/>
                <w:szCs w:val="20"/>
                <w:color w:val="auto"/>
              </w:rPr>
            </w:pPr>
            <w:r>
              <w:rPr>
                <w:rFonts w:ascii="Arial" w:cs="Arial" w:eastAsia="Arial" w:hAnsi="Arial"/>
                <w:sz w:val="7"/>
                <w:szCs w:val="7"/>
                <w:color w:val="auto"/>
              </w:rPr>
              <w:t>1492 STATE</w:t>
            </w:r>
          </w:p>
        </w:tc>
        <w:tc>
          <w:tcPr>
            <w:tcW w:w="78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ind w:left="60"/>
              <w:spacing w:after="0" w:line="63" w:lineRule="exact"/>
              <w:rPr>
                <w:sz w:val="20"/>
                <w:szCs w:val="20"/>
                <w:color w:val="auto"/>
              </w:rPr>
            </w:pPr>
            <w:r>
              <w:rPr>
                <w:rFonts w:ascii="Arial" w:cs="Arial" w:eastAsia="Arial" w:hAnsi="Arial"/>
                <w:sz w:val="7"/>
                <w:szCs w:val="7"/>
                <w:color w:val="auto"/>
              </w:rPr>
              <w:t>LAKE GEORGE</w:t>
            </w:r>
          </w:p>
        </w:tc>
        <w:tc>
          <w:tcPr>
            <w:tcW w:w="320" w:type="dxa"/>
            <w:vAlign w:val="bottom"/>
            <w:tcBorders>
              <w:right w:val="single" w:sz="8" w:color="auto"/>
            </w:tcBorders>
          </w:tcPr>
          <w:p>
            <w:pPr>
              <w:ind w:left="60"/>
              <w:spacing w:after="0" w:line="63" w:lineRule="exact"/>
              <w:rPr>
                <w:sz w:val="20"/>
                <w:szCs w:val="20"/>
                <w:color w:val="auto"/>
              </w:rPr>
            </w:pPr>
            <w:r>
              <w:rPr>
                <w:rFonts w:ascii="Arial" w:cs="Arial" w:eastAsia="Arial" w:hAnsi="Arial"/>
                <w:sz w:val="7"/>
                <w:szCs w:val="7"/>
                <w:color w:val="auto"/>
              </w:rPr>
              <w:t>NY</w:t>
            </w:r>
          </w:p>
        </w:tc>
        <w:tc>
          <w:tcPr>
            <w:tcW w:w="360" w:type="dxa"/>
            <w:vAlign w:val="bottom"/>
            <w:tcBorders>
              <w:right w:val="single" w:sz="8" w:color="auto"/>
            </w:tcBorders>
          </w:tcPr>
          <w:p>
            <w:pPr>
              <w:ind w:left="60"/>
              <w:spacing w:after="0" w:line="63" w:lineRule="exact"/>
              <w:rPr>
                <w:sz w:val="20"/>
                <w:szCs w:val="20"/>
                <w:color w:val="auto"/>
              </w:rPr>
            </w:pPr>
            <w:r>
              <w:rPr>
                <w:rFonts w:ascii="Arial" w:cs="Arial" w:eastAsia="Arial" w:hAnsi="Arial"/>
                <w:sz w:val="7"/>
                <w:szCs w:val="7"/>
                <w:color w:val="auto"/>
              </w:rPr>
              <w:t>12845-</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LAKE GEORGE OUTLETS, LLC</w:t>
            </w:r>
          </w:p>
        </w:tc>
        <w:tc>
          <w:tcPr>
            <w:tcW w:w="1020" w:type="dxa"/>
            <w:vAlign w:val="bottom"/>
            <w:tcBorders>
              <w:right w:val="single" w:sz="8" w:color="auto"/>
            </w:tcBorders>
          </w:tcPr>
          <w:p>
            <w:pPr>
              <w:spacing w:after="0"/>
              <w:rPr>
                <w:sz w:val="5"/>
                <w:szCs w:val="5"/>
                <w:color w:val="auto"/>
              </w:rPr>
            </w:pPr>
          </w:p>
        </w:tc>
        <w:tc>
          <w:tcPr>
            <w:tcW w:w="104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line="63" w:lineRule="exact"/>
              <w:rPr>
                <w:sz w:val="20"/>
                <w:szCs w:val="20"/>
                <w:color w:val="auto"/>
              </w:rPr>
            </w:pPr>
            <w:r>
              <w:rPr>
                <w:rFonts w:ascii="Arial" w:cs="Arial" w:eastAsia="Arial" w:hAnsi="Arial"/>
                <w:sz w:val="7"/>
                <w:szCs w:val="7"/>
                <w:color w:val="auto"/>
              </w:rPr>
              <w:t>GORDON</w:t>
            </w:r>
          </w:p>
        </w:tc>
        <w:tc>
          <w:tcPr>
            <w:tcW w:w="760" w:type="dxa"/>
            <w:vAlign w:val="bottom"/>
            <w:tcBorders>
              <w:right w:val="single" w:sz="8" w:color="auto"/>
            </w:tcBorders>
          </w:tcPr>
          <w:p>
            <w:pPr>
              <w:spacing w:after="0" w:line="63" w:lineRule="exact"/>
              <w:rPr>
                <w:sz w:val="20"/>
                <w:szCs w:val="20"/>
                <w:color w:val="auto"/>
              </w:rPr>
            </w:pPr>
            <w:r>
              <w:rPr>
                <w:rFonts w:ascii="Arial" w:cs="Arial" w:eastAsia="Arial" w:hAnsi="Arial"/>
                <w:sz w:val="7"/>
                <w:szCs w:val="7"/>
                <w:color w:val="auto"/>
              </w:rPr>
              <w:t>50 STATE</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ALBANY</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NY</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12207</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(518) 462-7411</w:t>
            </w: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ROUTE 9</w:t>
            </w:r>
          </w:p>
        </w:tc>
        <w:tc>
          <w:tcPr>
            <w:tcW w:w="7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3435</w:t>
            </w: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DEVELOPMENT CO,</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STREET,6TH FL</w:t>
            </w: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vMerge w:val="continue"/>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9250</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ST. CLAIR</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315 ST. CLAIR</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FAIRVIEW</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IL</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62208</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ST. CLAIR SQUARE SPE, LLC</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#LDXLMEN0</w:t>
            </w: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2030 HAMILTON</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500</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CHATTANOOGA</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TN</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37421-6000</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618-632-7567</w:t>
            </w: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SQUARE</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SQUARE, UNIT</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HEIGHTS</w:t>
            </w: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vMerge w:val="continue"/>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PLACE BLVD</w:t>
            </w:r>
          </w:p>
        </w:tc>
        <w:tc>
          <w:tcPr>
            <w:tcW w:w="76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9251</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PIGEON RIVER</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2713 TEASTER</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PIGEON FORGE</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TN</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37863</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PIGEON RIVER CROSSINGS,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3928 MALONEY RD</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KNOXVILLE</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TN</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37920</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865-804-4131</w:t>
            </w: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CROSSING -</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LANE</w:t>
            </w: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76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9252</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611 N. 98TH</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OMAHA</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NE</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68114</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CLOCKTOWER SHOPPING CENTER LP</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THE LUND COMPANY</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450 REGENCY</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OMAHA</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NE</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68114</w:t>
            </w:r>
          </w:p>
        </w:tc>
        <w:tc>
          <w:tcPr>
            <w:tcW w:w="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STORE, LLC</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STREET</w:t>
            </w:r>
          </w:p>
        </w:tc>
        <w:tc>
          <w:tcPr>
            <w:tcW w:w="7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PARKWAY, SUITE</w:t>
            </w:r>
          </w:p>
        </w:tc>
        <w:tc>
          <w:tcPr>
            <w:tcW w:w="76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9254</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1359 N. LARKIN</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JOLIET</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IL</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60435</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CREATIVITY CIRCLE, INC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MATANKY REALTY</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200 N. LaSALLE ST.,</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CHICAGO</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IL</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60601-1014</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(312) 337-1001</w:t>
            </w: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STORE, LLC</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ST.</w:t>
            </w:r>
          </w:p>
        </w:tc>
        <w:tc>
          <w:tcPr>
            <w:tcW w:w="7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GROUP C/O</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2350</w:t>
            </w: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9260</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6815 PEACH</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ERIE</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PA</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16509</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BALDWIN/RUBINO ASSOCIATES</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BALDWIN</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2540 VILLAGE</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ERIE</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PA</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16506-7202</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(814) 454-4541</w:t>
            </w: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STREET SPACE A-</w:t>
            </w:r>
          </w:p>
        </w:tc>
        <w:tc>
          <w:tcPr>
            <w:tcW w:w="7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BROTHERS, INC</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COMMON DRIVE</w:t>
            </w: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9270</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1407 N.</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BLOOMINGTON</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IL</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61704-</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LAKEWOOD PLAZA INVESTORS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NAI HARDING DAHM</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111 EAST LUDWIG</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P.O.BOX:8398</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FORT WAYNE</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IN</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46898-8398</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260-423-4311</w:t>
            </w: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STORE, LLC</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VETERAN'S</w:t>
            </w:r>
          </w:p>
        </w:tc>
        <w:tc>
          <w:tcPr>
            <w:tcW w:w="7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ROAD, SUITE 101</w:t>
            </w:r>
          </w:p>
        </w:tc>
        <w:tc>
          <w:tcPr>
            <w:tcW w:w="76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9272</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8 Dexter Lane</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KITTERY</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ME</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03904-</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BRADFORD REALTY TRUST</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529 ROUTE 1</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101</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YORK</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ME</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3909</w:t>
            </w:r>
          </w:p>
        </w:tc>
        <w:tc>
          <w:tcPr>
            <w:tcW w:w="7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(207) 363-</w:t>
            </w: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STORE, LLC</w:t>
            </w:r>
          </w:p>
        </w:tc>
        <w:tc>
          <w:tcPr>
            <w:tcW w:w="80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76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4300x103</w:t>
            </w: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9273</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EAST PARIS</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GRAND RAPIDS</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MI</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49512</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EAST PARIS SHOPPES</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THE BROADBENT</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117 EAST</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INDIANAPOLIS</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IN</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46204</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(317) 237-2900</w:t>
            </w: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SHOPPES</w:t>
            </w:r>
          </w:p>
        </w:tc>
        <w:tc>
          <w:tcPr>
            <w:tcW w:w="7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COMPANY</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WASHINGTON ST/.</w:t>
            </w: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9280</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NORTH HILLS</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4801 McKNIGHT</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PITTSBURGH</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PA</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15237</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IRA J. GUMBERG, TRUSTEE</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J.J. GUMBERG CO.</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BRINTON</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1051 BRINTON</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PITTSBURGH</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PA</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15221-4599</w:t>
            </w:r>
          </w:p>
        </w:tc>
        <w:tc>
          <w:tcPr>
            <w:tcW w:w="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VILLAGE MALL</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ROAD</w:t>
            </w: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EXECUTIVE CENTER</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ROAD</w:t>
            </w: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9286</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1819 DIXWELL</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HAMDEN</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CT</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6514</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CW PARKWAY PLAZA LLC</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GENERAL COUNSEL</w:t>
            </w: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BRIXMORE</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450 LEXINGTON</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NEW YORK</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NY</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10170</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212-869-3000</w:t>
            </w: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AVENUE</w:t>
            </w:r>
          </w:p>
        </w:tc>
        <w:tc>
          <w:tcPr>
            <w:tcW w:w="7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vMerge w:val="continue"/>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PROPERTY GROUP</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AVE., 13TH FL</w:t>
            </w: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9302</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1216 S.</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LITTLE ROCK</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AR</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72204-</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BOYLE REALTY CO</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6705 WEST 12TH</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LITTLE ROCK</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AR</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72204</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(501) 603-0099</w:t>
            </w: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UNIVERSITY</w:t>
            </w:r>
          </w:p>
        </w:tc>
        <w:tc>
          <w:tcPr>
            <w:tcW w:w="7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ST. #2</w:t>
            </w: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9304</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5743 SOUTH</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PORTAGE</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MI</w:t>
            </w:r>
          </w:p>
        </w:tc>
        <w:tc>
          <w:tcPr>
            <w:tcW w:w="360" w:type="dxa"/>
            <w:vAlign w:val="bottom"/>
            <w:tcBorders>
              <w:right w:val="single" w:sz="8" w:color="auto"/>
            </w:tcBorders>
          </w:tcPr>
          <w:p>
            <w:pPr>
              <w:spacing w:after="0"/>
              <w:rPr>
                <w:sz w:val="6"/>
                <w:szCs w:val="6"/>
                <w:color w:val="auto"/>
              </w:rPr>
            </w:pPr>
          </w:p>
        </w:tc>
        <w:tc>
          <w:tcPr>
            <w:tcW w:w="14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JAYESH C. SHARMA AND NEHA</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6804 VERONICA</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KALAMAZOO</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MI</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49009</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(269) 806-5905</w:t>
            </w: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WESNEDGE</w:t>
            </w:r>
          </w:p>
        </w:tc>
        <w:tc>
          <w:tcPr>
            <w:tcW w:w="7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SHARMA</w:t>
            </w: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STREET</w:t>
            </w:r>
          </w:p>
        </w:tc>
        <w:tc>
          <w:tcPr>
            <w:tcW w:w="76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vMerge w:val="continue"/>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9306</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677 H. KIDDER</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WILKES BARRE</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PA</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18702</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SHREE GOVARDHAM,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519 MORNING</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MOUNTAIN TOP</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PA</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18707</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570-351-1724</w:t>
            </w: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STREET</w:t>
            </w:r>
          </w:p>
        </w:tc>
        <w:tc>
          <w:tcPr>
            <w:tcW w:w="7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GLORY PLACE</w:t>
            </w:r>
          </w:p>
        </w:tc>
        <w:tc>
          <w:tcPr>
            <w:tcW w:w="76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9312</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109 FEDERAL</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DANBURY</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CT</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06811-</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109 FEDERAL ROAD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C/O SCALZO</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2 STONY HILL</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BETHEL</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CT</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6801</w:t>
            </w:r>
          </w:p>
        </w:tc>
        <w:tc>
          <w:tcPr>
            <w:tcW w:w="7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(203) 790-</w:t>
            </w: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ROAD</w:t>
            </w:r>
          </w:p>
        </w:tc>
        <w:tc>
          <w:tcPr>
            <w:tcW w:w="7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4046</w:t>
            </w: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PROPERTY</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ROAD, SUITE 201</w:t>
            </w: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6888x691</w:t>
            </w: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vMerge w:val="continue"/>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9316</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Quality Center</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2481 Lincoln</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Lancaster</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PA</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17602-</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BLOOMTOWN ASSOCIATES LP</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PO BOX 5233</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SPRINGFIELD</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PA</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19064</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610-721-7777</w:t>
            </w: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Highway E</w:t>
            </w: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1482</w:t>
            </w: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76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vMerge w:val="continue"/>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9319</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Greenway Mall</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3502A W 41st</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Sioux Falls</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SD</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57106</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NORTHWESTERN ENGINEERING CO</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BROOKE</w:t>
            </w:r>
          </w:p>
        </w:tc>
        <w:tc>
          <w:tcPr>
            <w:tcW w:w="10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BENDER MIDWEST</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122 S. PHILLIPS</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300</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SIOUX FALLS</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SD</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57104</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605-339-9000</w:t>
            </w: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Street</w:t>
            </w: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vMerge w:val="continue"/>
          </w:tcPr>
          <w:p>
            <w:pPr>
              <w:spacing w:after="0"/>
              <w:rPr>
                <w:sz w:val="4"/>
                <w:szCs w:val="4"/>
                <w:color w:val="auto"/>
              </w:rPr>
            </w:pP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PROPERTIES</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AVE</w:t>
            </w:r>
          </w:p>
        </w:tc>
        <w:tc>
          <w:tcPr>
            <w:tcW w:w="76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9323</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2400 OUTLET</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SMITHFIELD</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NC</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27577</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CAROLINA PREMIUM OUTLETS, LLC</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PREMIUM OUTLETS</w:t>
            </w:r>
          </w:p>
        </w:tc>
        <w:tc>
          <w:tcPr>
            <w:tcW w:w="10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SIMON PROPERTY GROUP,</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225 WEST</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INDIANAPOLIS</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IN</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46204</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(973) 228-6111</w:t>
            </w: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CENTER DRIVE</w:t>
            </w:r>
          </w:p>
        </w:tc>
        <w:tc>
          <w:tcPr>
            <w:tcW w:w="7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vMerge w:val="continue"/>
          </w:tcPr>
          <w:p>
            <w:pPr>
              <w:spacing w:after="0"/>
              <w:rPr>
                <w:sz w:val="4"/>
                <w:szCs w:val="4"/>
                <w:color w:val="auto"/>
              </w:rPr>
            </w:pP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INC</w:t>
            </w:r>
          </w:p>
        </w:tc>
        <w:tc>
          <w:tcPr>
            <w:tcW w:w="780" w:type="dxa"/>
            <w:vAlign w:val="bottom"/>
            <w:tcBorders>
              <w:right w:val="single" w:sz="8" w:color="auto"/>
            </w:tcBorders>
            <w:vMerge w:val="continue"/>
          </w:tcPr>
          <w:p>
            <w:pPr>
              <w:spacing w:after="0"/>
              <w:rPr>
                <w:sz w:val="4"/>
                <w:szCs w:val="4"/>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WASHINGTON</w:t>
            </w: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9324</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4340 13TH AVE.</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FARGO</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ND</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58103-</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HALLMARK VILLAGE APTS</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SCHOTTENSTEIN</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4300 EAST FIFTH</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COLUMBUS</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OH</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43219</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614-449-4414</w:t>
            </w: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STORE, LLC</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SW</w:t>
            </w:r>
          </w:p>
        </w:tc>
        <w:tc>
          <w:tcPr>
            <w:tcW w:w="7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PROPERTY GROUP</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AVENUE</w:t>
            </w: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9330</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160 GLEN COVE</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CARLE PLACE</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NY</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11514-</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COUNTRY GLEN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MURRAY H. MILLER</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143 OLD COUNTRY</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CARLE PLACE</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NY</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11514</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(516) 741-8440</w:t>
            </w: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ROAD UNIT #1</w:t>
            </w:r>
          </w:p>
        </w:tc>
        <w:tc>
          <w:tcPr>
            <w:tcW w:w="7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MANAGEMENT</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ROAD</w:t>
            </w: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9331</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South County</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77 So. County</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St. Louis</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MO</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63129-</w:t>
            </w:r>
          </w:p>
        </w:tc>
        <w:tc>
          <w:tcPr>
            <w:tcW w:w="14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SOUTH COUNTY SHOPPINGTOWN,</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SEDRICK SNOWDEN</w:t>
            </w:r>
          </w:p>
        </w:tc>
        <w:tc>
          <w:tcPr>
            <w:tcW w:w="10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CBL &amp; ASSOCIATES MGMT,</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CBL CENTER, SUITE</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2030 HAMILTON</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CHATTANOOGA</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TN</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37421-6000</w:t>
            </w:r>
          </w:p>
        </w:tc>
        <w:tc>
          <w:tcPr>
            <w:tcW w:w="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Center</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Center Way</w:t>
            </w: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1006</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LLC</w:t>
            </w:r>
          </w:p>
        </w:tc>
        <w:tc>
          <w:tcPr>
            <w:tcW w:w="1020" w:type="dxa"/>
            <w:vAlign w:val="bottom"/>
            <w:tcBorders>
              <w:right w:val="single" w:sz="8" w:color="auto"/>
            </w:tcBorders>
            <w:vMerge w:val="continue"/>
          </w:tcPr>
          <w:p>
            <w:pPr>
              <w:spacing w:after="0"/>
              <w:rPr>
                <w:sz w:val="4"/>
                <w:szCs w:val="4"/>
                <w:color w:val="auto"/>
              </w:rPr>
            </w:pP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INC</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500</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PLACE BLVD</w:t>
            </w: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vMerge w:val="continue"/>
          </w:tcPr>
          <w:p>
            <w:pPr>
              <w:spacing w:after="0"/>
              <w:rPr>
                <w:sz w:val="3"/>
                <w:szCs w:val="3"/>
                <w:color w:val="auto"/>
              </w:rPr>
            </w:pPr>
          </w:p>
        </w:tc>
        <w:tc>
          <w:tcPr>
            <w:tcW w:w="1440" w:type="dxa"/>
            <w:vAlign w:val="bottom"/>
            <w:tcBorders>
              <w:bottom w:val="single" w:sz="8" w:color="auto"/>
              <w:right w:val="single" w:sz="8" w:color="auto"/>
            </w:tcBorders>
            <w:vMerge w:val="continue"/>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9336</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220 MAIN MALL</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SOUTH PORTLAND</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ME</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04106-</w:t>
            </w:r>
          </w:p>
        </w:tc>
        <w:tc>
          <w:tcPr>
            <w:tcW w:w="14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CAMPBELLS RUN REALTY</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12 GRANDVIEW</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CANONSBURG</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PA</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15317</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724-514-8668</w:t>
            </w: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STORE, LLC</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ROAD</w:t>
            </w:r>
          </w:p>
        </w:tc>
        <w:tc>
          <w:tcPr>
            <w:tcW w:w="7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CORPORATION</w:t>
            </w: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CIRCLE</w:t>
            </w:r>
          </w:p>
        </w:tc>
        <w:tc>
          <w:tcPr>
            <w:tcW w:w="76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vMerge w:val="continue"/>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9343</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5205 CAMPBELL'S</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PITTSBURGH</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PA</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15205</w:t>
            </w:r>
          </w:p>
        </w:tc>
        <w:tc>
          <w:tcPr>
            <w:tcW w:w="14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HAMILTON CORNER CMBS GENERAL</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LEASE #LDXLMEN0</w:t>
            </w: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2030 HAMILTON</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500</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CHATTANOOGA</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TN</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37421-6000</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423-855-5282</w:t>
            </w: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RUN ROAD</w:t>
            </w:r>
          </w:p>
        </w:tc>
        <w:tc>
          <w:tcPr>
            <w:tcW w:w="7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PARTNERSHIP</w:t>
            </w:r>
          </w:p>
        </w:tc>
        <w:tc>
          <w:tcPr>
            <w:tcW w:w="1020" w:type="dxa"/>
            <w:vAlign w:val="bottom"/>
            <w:tcBorders>
              <w:right w:val="single" w:sz="8" w:color="auto"/>
            </w:tcBorders>
            <w:vMerge w:val="continue"/>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PLACE BLVD</w:t>
            </w:r>
          </w:p>
        </w:tc>
        <w:tc>
          <w:tcPr>
            <w:tcW w:w="76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vMerge w:val="continue"/>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9351</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2107 GUNBARREL</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SUITE 105</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CHATTANOOGA</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TN</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37421</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PHCG INVESTMENTS</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P.O. BOX 41567</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HOUSTON</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TX</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77241</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(713) 803-5126</w:t>
            </w: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ROAD</w:t>
            </w:r>
          </w:p>
        </w:tc>
        <w:tc>
          <w:tcPr>
            <w:tcW w:w="7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76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9356</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6898 SOUTHWEST</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HOUSTON</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TX</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77074-</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BRIXMOR GA DELTA CENTER (MI) LLC</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GENERAL COUNSEL</w:t>
            </w:r>
          </w:p>
        </w:tc>
        <w:tc>
          <w:tcPr>
            <w:tcW w:w="10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BRIXMOR PROPERTY</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450 LEXINGTON</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NEW YORK</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NY</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10170</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610-825-7100</w:t>
            </w: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FREEWAY</w:t>
            </w:r>
          </w:p>
        </w:tc>
        <w:tc>
          <w:tcPr>
            <w:tcW w:w="7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vMerge w:val="continue"/>
          </w:tcPr>
          <w:p>
            <w:pPr>
              <w:spacing w:after="0"/>
              <w:rPr>
                <w:sz w:val="4"/>
                <w:szCs w:val="4"/>
                <w:color w:val="auto"/>
              </w:rPr>
            </w:pP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GROUP</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AVE., 13TH FL</w:t>
            </w:r>
          </w:p>
        </w:tc>
        <w:tc>
          <w:tcPr>
            <w:tcW w:w="76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9360</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DELTA CENTER</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5847 WEST</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LANSING</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MI</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48917</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COLISEUM SHOPPES, LP</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THE BROADBENT</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117 EAST</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INDIANAPOLIS</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IN</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46204</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(317) 237-2900</w:t>
            </w: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SAGINAW</w:t>
            </w: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COMPANY</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WASHINGTON ST.,</w:t>
            </w: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9361</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COLISEUM</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549 E. COLISEUM</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FT. WAYNE</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IN</w:t>
            </w:r>
          </w:p>
        </w:tc>
        <w:tc>
          <w:tcPr>
            <w:tcW w:w="360" w:type="dxa"/>
            <w:vAlign w:val="bottom"/>
            <w:tcBorders>
              <w:right w:val="single" w:sz="8" w:color="auto"/>
            </w:tcBorders>
          </w:tcPr>
          <w:p>
            <w:pPr>
              <w:spacing w:after="0"/>
              <w:rPr>
                <w:sz w:val="6"/>
                <w:szCs w:val="6"/>
                <w:color w:val="auto"/>
              </w:rPr>
            </w:pP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DDR WILLOWBROOK PLAZA LLC</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EX VP-LEASING</w:t>
            </w: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DDR CORP.</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3300 ENTERPRISE</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BEACHWOOD</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OH</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44122</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216-755-5500</w:t>
            </w: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SHOPPES</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BLVD.</w:t>
            </w: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vMerge w:val="continue"/>
          </w:tcPr>
          <w:p>
            <w:pPr>
              <w:spacing w:after="0"/>
              <w:rPr>
                <w:sz w:val="4"/>
                <w:szCs w:val="4"/>
                <w:color w:val="auto"/>
              </w:rPr>
            </w:pPr>
          </w:p>
        </w:tc>
        <w:tc>
          <w:tcPr>
            <w:tcW w:w="104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PARKWAY</w:t>
            </w:r>
          </w:p>
        </w:tc>
        <w:tc>
          <w:tcPr>
            <w:tcW w:w="76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9365</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WILLOWBROOK</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17395 TOMBALL</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HOUSTON</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TX</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77064</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GLADE LIFESTYLE,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NORTH ROCK REAL ESTATE</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6723 WEAVER</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ROCKFORD</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IL</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6114</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815-387-3100</w:t>
            </w: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PLAZA</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PARKWAY, SPACE</w:t>
            </w: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ROAD, SUITE 108</w:t>
            </w:r>
          </w:p>
        </w:tc>
        <w:tc>
          <w:tcPr>
            <w:tcW w:w="76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9366</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GLADE PARK</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1201 CHISHOLM</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EULESS, TX</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TX</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76039-</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PGC PROPERTIES, LLC</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JODY T. CURCILLO, ESQ</w:t>
            </w: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600 WEST</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400</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PLYMOUTH</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PA</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19462</w:t>
            </w:r>
          </w:p>
        </w:tc>
        <w:tc>
          <w:tcPr>
            <w:tcW w:w="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TRAIL</w:t>
            </w:r>
          </w:p>
        </w:tc>
        <w:tc>
          <w:tcPr>
            <w:tcW w:w="780" w:type="dxa"/>
            <w:vAlign w:val="bottom"/>
            <w:tcBorders>
              <w:bottom w:val="single" w:sz="8" w:color="auto"/>
              <w:right w:val="single" w:sz="8" w:color="auto"/>
            </w:tcBorders>
          </w:tcPr>
          <w:p>
            <w:pPr>
              <w:spacing w:after="0"/>
              <w:rPr>
                <w:sz w:val="8"/>
                <w:szCs w:val="8"/>
                <w:color w:val="auto"/>
              </w:rPr>
            </w:pPr>
          </w:p>
        </w:tc>
        <w:tc>
          <w:tcPr>
            <w:tcW w:w="32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1275</w:t>
            </w:r>
          </w:p>
        </w:tc>
        <w:tc>
          <w:tcPr>
            <w:tcW w:w="1440" w:type="dxa"/>
            <w:vAlign w:val="bottom"/>
            <w:tcBorders>
              <w:bottom w:val="single" w:sz="8" w:color="auto"/>
              <w:right w:val="single" w:sz="8" w:color="auto"/>
            </w:tcBorders>
            <w:vMerge w:val="continue"/>
          </w:tcPr>
          <w:p>
            <w:pPr>
              <w:spacing w:after="0"/>
              <w:rPr>
                <w:sz w:val="8"/>
                <w:szCs w:val="8"/>
                <w:color w:val="auto"/>
              </w:rPr>
            </w:pPr>
          </w:p>
        </w:tc>
        <w:tc>
          <w:tcPr>
            <w:tcW w:w="1020" w:type="dxa"/>
            <w:vAlign w:val="bottom"/>
            <w:tcBorders>
              <w:bottom w:val="single" w:sz="8" w:color="auto"/>
              <w:right w:val="single" w:sz="8" w:color="auto"/>
            </w:tcBorders>
            <w:vMerge w:val="continue"/>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GERMANTOWN PIKE</w:t>
            </w:r>
          </w:p>
        </w:tc>
        <w:tc>
          <w:tcPr>
            <w:tcW w:w="760" w:type="dxa"/>
            <w:vAlign w:val="bottom"/>
            <w:tcBorders>
              <w:bottom w:val="single" w:sz="8" w:color="auto"/>
              <w:right w:val="single" w:sz="8" w:color="auto"/>
            </w:tcBorders>
            <w:vMerge w:val="continue"/>
          </w:tcPr>
          <w:p>
            <w:pPr>
              <w:spacing w:after="0"/>
              <w:rPr>
                <w:sz w:val="8"/>
                <w:szCs w:val="8"/>
                <w:color w:val="auto"/>
              </w:rPr>
            </w:pP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MEETING</w:t>
            </w:r>
          </w:p>
        </w:tc>
        <w:tc>
          <w:tcPr>
            <w:tcW w:w="240" w:type="dxa"/>
            <w:vAlign w:val="bottom"/>
            <w:tcBorders>
              <w:bottom w:val="single" w:sz="8" w:color="auto"/>
              <w:right w:val="single" w:sz="8" w:color="auto"/>
            </w:tcBorders>
            <w:vMerge w:val="continue"/>
          </w:tcPr>
          <w:p>
            <w:pPr>
              <w:spacing w:after="0"/>
              <w:rPr>
                <w:sz w:val="8"/>
                <w:szCs w:val="8"/>
                <w:color w:val="auto"/>
              </w:rPr>
            </w:pPr>
          </w:p>
        </w:tc>
        <w:tc>
          <w:tcPr>
            <w:tcW w:w="500" w:type="dxa"/>
            <w:vAlign w:val="bottom"/>
            <w:tcBorders>
              <w:bottom w:val="single" w:sz="8" w:color="auto"/>
              <w:right w:val="single" w:sz="8" w:color="auto"/>
            </w:tcBorders>
            <w:vMerge w:val="continue"/>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9371</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1730 Clements</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DEPTFORD</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NJ</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8096</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BAY PLAZA WEST,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PRESTIGE PROP &amp; DEV CO,</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546 FIFTH AVE,</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NEW YORK</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NY</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10036</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(212) 944-0444</w:t>
            </w: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Bridge Road</w:t>
            </w:r>
          </w:p>
        </w:tc>
        <w:tc>
          <w:tcPr>
            <w:tcW w:w="7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INC</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15TH FLOOR</w:t>
            </w:r>
          </w:p>
        </w:tc>
        <w:tc>
          <w:tcPr>
            <w:tcW w:w="76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9374</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BAY PLAZA</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2094 BARTOW</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BRONX</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NY</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10475-</w:t>
            </w:r>
          </w:p>
        </w:tc>
        <w:tc>
          <w:tcPr>
            <w:tcW w:w="14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TRI-COUNTY TOWNE CENTER 15 A,</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12411 VENTURA</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STUDIO CITY</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CA</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91604</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818-505-6777</w:t>
            </w: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SHOPPING</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AVENUE</w:t>
            </w: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4615</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LLC</w:t>
            </w: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BLVD</w:t>
            </w:r>
          </w:p>
        </w:tc>
        <w:tc>
          <w:tcPr>
            <w:tcW w:w="76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vMerge w:val="continue"/>
          </w:tcPr>
          <w:p>
            <w:pPr>
              <w:spacing w:after="0"/>
              <w:rPr>
                <w:sz w:val="3"/>
                <w:szCs w:val="3"/>
                <w:color w:val="auto"/>
              </w:rPr>
            </w:pPr>
          </w:p>
        </w:tc>
        <w:tc>
          <w:tcPr>
            <w:tcW w:w="1440" w:type="dxa"/>
            <w:vAlign w:val="bottom"/>
            <w:tcBorders>
              <w:bottom w:val="single" w:sz="8" w:color="auto"/>
              <w:right w:val="single" w:sz="8" w:color="auto"/>
            </w:tcBorders>
            <w:vMerge w:val="continue"/>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9375</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11711</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CINCINNATI</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OH</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45246</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AT CASTLETON IN OWNER, LLC</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ARCITERRA GROUP, LLC</w:t>
            </w: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2701 EAST</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150</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PHOENIX</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AZ</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85016</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602-424-7565</w:t>
            </w: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STORE, LLC</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PRINCETON PIKE</w:t>
            </w:r>
          </w:p>
        </w:tc>
        <w:tc>
          <w:tcPr>
            <w:tcW w:w="7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vMerge w:val="continue"/>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CAMELBACK ROAD</w:t>
            </w:r>
          </w:p>
        </w:tc>
        <w:tc>
          <w:tcPr>
            <w:tcW w:w="76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9377</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8180 CASTLETON</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INDIANAPOLIS</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IN</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46250</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WALDORF I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CAMBRIDGE ASSET</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8391 OLD</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210</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VIENNA</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VA</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22182</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703-709-8866</w:t>
            </w: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CORNER DRIVE</w:t>
            </w:r>
          </w:p>
        </w:tc>
        <w:tc>
          <w:tcPr>
            <w:tcW w:w="7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ADVISORS, LLC</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COURTHOUSE RD</w:t>
            </w:r>
          </w:p>
        </w:tc>
        <w:tc>
          <w:tcPr>
            <w:tcW w:w="76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9380</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3376 CRAIN</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WALDORF</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MD</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20603</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DIXIE ASSOCIATES</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BD SHINBACH MM</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5025 SHELBYVILLE</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LOUISVILLE</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KY</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40207</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502-893-3695</w:t>
            </w: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HIGHWAY (ROUTE</w:t>
            </w:r>
          </w:p>
        </w:tc>
        <w:tc>
          <w:tcPr>
            <w:tcW w:w="7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HOLLEB PTRS/DIXIE</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RD:POB 6706</w:t>
            </w: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9381</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BEST BUY CENTER</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5063 Shelbyville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LOUISVILLE</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KY</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40207</w:t>
            </w:r>
          </w:p>
        </w:tc>
        <w:tc>
          <w:tcPr>
            <w:tcW w:w="14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BRIXMOR ROOSEVELT MALL OWNER,</w:t>
            </w:r>
          </w:p>
        </w:tc>
        <w:tc>
          <w:tcPr>
            <w:tcW w:w="10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OFFICE OF GENERAL</w:t>
            </w:r>
          </w:p>
        </w:tc>
        <w:tc>
          <w:tcPr>
            <w:tcW w:w="10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BRIXMOR PROPERTY</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450 LEXINGTON</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NEW YORK</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NY</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10017</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212-869-3000</w:t>
            </w: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Road</w:t>
            </w: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LLC</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COUNSEL</w:t>
            </w: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GROUP</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AVENUE 13TH</w:t>
            </w:r>
          </w:p>
        </w:tc>
        <w:tc>
          <w:tcPr>
            <w:tcW w:w="76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vMerge w:val="continue"/>
          </w:tcPr>
          <w:p>
            <w:pPr>
              <w:spacing w:after="0"/>
              <w:rPr>
                <w:sz w:val="3"/>
                <w:szCs w:val="3"/>
                <w:color w:val="auto"/>
              </w:rPr>
            </w:pPr>
          </w:p>
        </w:tc>
        <w:tc>
          <w:tcPr>
            <w:tcW w:w="1020" w:type="dxa"/>
            <w:vAlign w:val="bottom"/>
            <w:tcBorders>
              <w:bottom w:val="single" w:sz="8" w:color="auto"/>
              <w:right w:val="single" w:sz="8" w:color="auto"/>
            </w:tcBorders>
            <w:vMerge w:val="continue"/>
          </w:tcPr>
          <w:p>
            <w:pPr>
              <w:spacing w:after="0"/>
              <w:rPr>
                <w:sz w:val="3"/>
                <w:szCs w:val="3"/>
                <w:color w:val="auto"/>
              </w:rPr>
            </w:pPr>
          </w:p>
        </w:tc>
        <w:tc>
          <w:tcPr>
            <w:tcW w:w="104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3"/>
        </w:trPr>
        <w:tc>
          <w:tcPr>
            <w:tcW w:w="3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20" w:right="179" w:bottom="1440" w:gutter="0" w:footer="0" w:header="0"/>
        </w:sectPr>
      </w:pPr>
    </w:p>
    <w:bookmarkStart w:id="160" w:name="page161"/>
    <w:bookmarkEnd w:id="160"/>
    <w:tbl>
      <w:tblPr>
        <w:tblLayout w:type="fixed"/>
        <w:tblInd w:w="10" w:type="dxa"/>
        <w:tblCellMar>
          <w:top w:w="0" w:type="dxa"/>
          <w:left w:w="0" w:type="dxa"/>
          <w:bottom w:w="0" w:type="dxa"/>
          <w:right w:w="0" w:type="dxa"/>
        </w:tblCellMar>
      </w:tblPr>
      <w:tr>
        <w:trPr>
          <w:trHeight w:val="90"/>
        </w:trPr>
        <w:tc>
          <w:tcPr>
            <w:tcW w:w="360" w:type="dxa"/>
            <w:vAlign w:val="bottom"/>
            <w:tcBorders>
              <w:top w:val="single" w:sz="8" w:color="auto"/>
              <w:left w:val="single" w:sz="8" w:color="auto"/>
              <w:right w:val="single" w:sz="8" w:color="auto"/>
            </w:tcBorders>
          </w:tcPr>
          <w:p>
            <w:pPr>
              <w:spacing w:after="0"/>
              <w:rPr>
                <w:sz w:val="7"/>
                <w:szCs w:val="7"/>
                <w:color w:val="auto"/>
              </w:rPr>
            </w:pPr>
          </w:p>
        </w:tc>
        <w:tc>
          <w:tcPr>
            <w:tcW w:w="800" w:type="dxa"/>
            <w:vAlign w:val="bottom"/>
            <w:tcBorders>
              <w:top w:val="single" w:sz="8" w:color="auto"/>
              <w:right w:val="single" w:sz="8" w:color="auto"/>
            </w:tcBorders>
          </w:tcPr>
          <w:p>
            <w:pPr>
              <w:spacing w:after="0"/>
              <w:rPr>
                <w:sz w:val="7"/>
                <w:szCs w:val="7"/>
                <w:color w:val="auto"/>
              </w:rPr>
            </w:pPr>
          </w:p>
        </w:tc>
        <w:tc>
          <w:tcPr>
            <w:tcW w:w="800" w:type="dxa"/>
            <w:vAlign w:val="bottom"/>
            <w:tcBorders>
              <w:top w:val="single" w:sz="8" w:color="auto"/>
              <w:right w:val="single" w:sz="8" w:color="auto"/>
            </w:tcBorders>
          </w:tcPr>
          <w:p>
            <w:pPr>
              <w:spacing w:after="0"/>
              <w:rPr>
                <w:sz w:val="7"/>
                <w:szCs w:val="7"/>
                <w:color w:val="auto"/>
              </w:rPr>
            </w:pPr>
          </w:p>
        </w:tc>
        <w:tc>
          <w:tcPr>
            <w:tcW w:w="780" w:type="dxa"/>
            <w:vAlign w:val="bottom"/>
            <w:tcBorders>
              <w:top w:val="single" w:sz="8" w:color="auto"/>
              <w:right w:val="single" w:sz="8" w:color="auto"/>
            </w:tcBorders>
          </w:tcPr>
          <w:p>
            <w:pPr>
              <w:spacing w:after="0"/>
              <w:rPr>
                <w:sz w:val="7"/>
                <w:szCs w:val="7"/>
                <w:color w:val="auto"/>
              </w:rPr>
            </w:pPr>
          </w:p>
        </w:tc>
        <w:tc>
          <w:tcPr>
            <w:tcW w:w="780" w:type="dxa"/>
            <w:vAlign w:val="bottom"/>
            <w:tcBorders>
              <w:top w:val="single" w:sz="8" w:color="auto"/>
              <w:right w:val="single" w:sz="8" w:color="auto"/>
            </w:tcBorders>
          </w:tcPr>
          <w:p>
            <w:pPr>
              <w:spacing w:after="0"/>
              <w:rPr>
                <w:sz w:val="7"/>
                <w:szCs w:val="7"/>
                <w:color w:val="auto"/>
              </w:rPr>
            </w:pPr>
          </w:p>
        </w:tc>
        <w:tc>
          <w:tcPr>
            <w:tcW w:w="320" w:type="dxa"/>
            <w:vAlign w:val="bottom"/>
            <w:tcBorders>
              <w:top w:val="single" w:sz="8" w:color="auto"/>
              <w:right w:val="single" w:sz="8" w:color="auto"/>
            </w:tcBorders>
          </w:tcPr>
          <w:p>
            <w:pPr>
              <w:spacing w:after="0"/>
              <w:rPr>
                <w:sz w:val="7"/>
                <w:szCs w:val="7"/>
                <w:color w:val="auto"/>
              </w:rPr>
            </w:pPr>
          </w:p>
        </w:tc>
        <w:tc>
          <w:tcPr>
            <w:tcW w:w="3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7"/>
                <w:szCs w:val="7"/>
                <w:b w:val="1"/>
                <w:bCs w:val="1"/>
                <w:color w:val="auto"/>
              </w:rPr>
              <w:t>Store</w:t>
            </w:r>
          </w:p>
        </w:tc>
        <w:tc>
          <w:tcPr>
            <w:tcW w:w="1440" w:type="dxa"/>
            <w:vAlign w:val="bottom"/>
            <w:tcBorders>
              <w:top w:val="single" w:sz="8" w:color="auto"/>
              <w:right w:val="single" w:sz="8" w:color="auto"/>
            </w:tcBorders>
          </w:tcPr>
          <w:p>
            <w:pPr>
              <w:spacing w:after="0"/>
              <w:rPr>
                <w:sz w:val="7"/>
                <w:szCs w:val="7"/>
                <w:color w:val="auto"/>
              </w:rPr>
            </w:pPr>
          </w:p>
        </w:tc>
        <w:tc>
          <w:tcPr>
            <w:tcW w:w="1020" w:type="dxa"/>
            <w:vAlign w:val="bottom"/>
            <w:tcBorders>
              <w:top w:val="single" w:sz="8" w:color="auto"/>
              <w:right w:val="single" w:sz="8" w:color="auto"/>
            </w:tcBorders>
          </w:tcPr>
          <w:p>
            <w:pPr>
              <w:spacing w:after="0"/>
              <w:rPr>
                <w:sz w:val="7"/>
                <w:szCs w:val="7"/>
                <w:color w:val="auto"/>
              </w:rPr>
            </w:pPr>
          </w:p>
        </w:tc>
        <w:tc>
          <w:tcPr>
            <w:tcW w:w="1040" w:type="dxa"/>
            <w:vAlign w:val="bottom"/>
            <w:tcBorders>
              <w:top w:val="single" w:sz="8" w:color="auto"/>
              <w:right w:val="single" w:sz="8" w:color="auto"/>
            </w:tcBorders>
          </w:tcPr>
          <w:p>
            <w:pPr>
              <w:spacing w:after="0"/>
              <w:rPr>
                <w:sz w:val="7"/>
                <w:szCs w:val="7"/>
                <w:color w:val="auto"/>
              </w:rPr>
            </w:pPr>
          </w:p>
        </w:tc>
        <w:tc>
          <w:tcPr>
            <w:tcW w:w="780" w:type="dxa"/>
            <w:vAlign w:val="bottom"/>
            <w:tcBorders>
              <w:top w:val="single" w:sz="8" w:color="auto"/>
              <w:left w:val="single" w:sz="8" w:color="auto"/>
              <w:right w:val="single" w:sz="8" w:color="auto"/>
            </w:tcBorders>
          </w:tcPr>
          <w:p>
            <w:pPr>
              <w:spacing w:after="0"/>
              <w:rPr>
                <w:sz w:val="7"/>
                <w:szCs w:val="7"/>
                <w:color w:val="auto"/>
              </w:rPr>
            </w:pPr>
          </w:p>
        </w:tc>
        <w:tc>
          <w:tcPr>
            <w:tcW w:w="760" w:type="dxa"/>
            <w:vAlign w:val="bottom"/>
            <w:tcBorders>
              <w:top w:val="single" w:sz="8" w:color="auto"/>
              <w:right w:val="single" w:sz="8" w:color="auto"/>
            </w:tcBorders>
          </w:tcPr>
          <w:p>
            <w:pPr>
              <w:spacing w:after="0"/>
              <w:rPr>
                <w:sz w:val="7"/>
                <w:szCs w:val="7"/>
                <w:color w:val="auto"/>
              </w:rPr>
            </w:pPr>
          </w:p>
        </w:tc>
        <w:tc>
          <w:tcPr>
            <w:tcW w:w="780" w:type="dxa"/>
            <w:vAlign w:val="bottom"/>
            <w:tcBorders>
              <w:top w:val="single" w:sz="8" w:color="auto"/>
              <w:right w:val="single" w:sz="8" w:color="auto"/>
            </w:tcBorders>
          </w:tcPr>
          <w:p>
            <w:pPr>
              <w:spacing w:after="0"/>
              <w:rPr>
                <w:sz w:val="7"/>
                <w:szCs w:val="7"/>
                <w:color w:val="auto"/>
              </w:rPr>
            </w:pPr>
          </w:p>
        </w:tc>
        <w:tc>
          <w:tcPr>
            <w:tcW w:w="24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w:t>
            </w:r>
          </w:p>
        </w:tc>
        <w:tc>
          <w:tcPr>
            <w:tcW w:w="500" w:type="dxa"/>
            <w:vAlign w:val="bottom"/>
            <w:tcBorders>
              <w:top w:val="single" w:sz="8" w:color="auto"/>
              <w:right w:val="single" w:sz="8" w:color="auto"/>
            </w:tcBorders>
          </w:tcPr>
          <w:p>
            <w:pPr>
              <w:spacing w:after="0"/>
              <w:rPr>
                <w:sz w:val="7"/>
                <w:szCs w:val="7"/>
                <w:color w:val="auto"/>
              </w:rPr>
            </w:pPr>
          </w:p>
        </w:tc>
        <w:tc>
          <w:tcPr>
            <w:tcW w:w="72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Phone Number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7"/>
                <w:szCs w:val="7"/>
                <w:b w:val="1"/>
                <w:bCs w:val="1"/>
                <w:color w:val="auto"/>
              </w:rPr>
              <w:t>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b w:val="1"/>
                <w:bCs w:val="1"/>
                <w:color w:val="auto"/>
              </w:rPr>
              <w:t>Store Legal Entity</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b w:val="1"/>
                <w:bCs w:val="1"/>
                <w:color w:val="auto"/>
                <w:w w:val="97"/>
              </w:rPr>
              <w:t>Store Street Address</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w w:val="97"/>
              </w:rPr>
              <w:t>Store Street Address</w:t>
            </w:r>
          </w:p>
        </w:tc>
        <w:tc>
          <w:tcPr>
            <w:tcW w:w="780" w:type="dxa"/>
            <w:vAlign w:val="bottom"/>
            <w:tcBorders>
              <w:right w:val="single" w:sz="8" w:color="auto"/>
            </w:tcBorders>
          </w:tcPr>
          <w:p>
            <w:pPr>
              <w:spacing w:after="0"/>
              <w:rPr>
                <w:sz w:val="7"/>
                <w:szCs w:val="7"/>
                <w:color w:val="auto"/>
              </w:rPr>
            </w:pPr>
          </w:p>
        </w:tc>
        <w:tc>
          <w:tcPr>
            <w:tcW w:w="32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rPr>
              <w:t>Store</w:t>
            </w:r>
          </w:p>
        </w:tc>
        <w:tc>
          <w:tcPr>
            <w:tcW w:w="360" w:type="dxa"/>
            <w:vAlign w:val="bottom"/>
            <w:tcBorders>
              <w:right w:val="single" w:sz="8" w:color="auto"/>
            </w:tcBorders>
          </w:tcPr>
          <w:p>
            <w:pPr>
              <w:ind w:left="60"/>
              <w:spacing w:after="0"/>
              <w:rPr>
                <w:sz w:val="20"/>
                <w:szCs w:val="20"/>
                <w:color w:val="auto"/>
              </w:rPr>
            </w:pPr>
            <w:r>
              <w:rPr>
                <w:rFonts w:ascii="Arial" w:cs="Arial" w:eastAsia="Arial" w:hAnsi="Arial"/>
                <w:sz w:val="7"/>
                <w:szCs w:val="7"/>
                <w:b w:val="1"/>
                <w:bCs w:val="1"/>
                <w:color w:val="auto"/>
              </w:rPr>
              <w:t>Postal</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Name</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Attention To</w:t>
            </w: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In Care Of</w:t>
            </w:r>
          </w:p>
        </w:tc>
        <w:tc>
          <w:tcPr>
            <w:tcW w:w="780" w:type="dxa"/>
            <w:vAlign w:val="bottom"/>
            <w:tcBorders>
              <w:left w:val="single" w:sz="8" w:color="auto"/>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Street 1</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Street 2</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City</w:t>
            </w:r>
          </w:p>
        </w:tc>
        <w:tc>
          <w:tcPr>
            <w:tcW w:w="240" w:type="dxa"/>
            <w:vAlign w:val="bottom"/>
            <w:tcBorders>
              <w:right w:val="single" w:sz="8" w:color="auto"/>
            </w:tcBorders>
            <w:vMerge w:val="continue"/>
          </w:tcPr>
          <w:p>
            <w:pPr>
              <w:spacing w:after="0"/>
              <w:rPr>
                <w:sz w:val="7"/>
                <w:szCs w:val="7"/>
                <w:color w:val="auto"/>
              </w:rPr>
            </w:pP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Zip</w:t>
            </w:r>
          </w:p>
        </w:tc>
        <w:tc>
          <w:tcPr>
            <w:tcW w:w="72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vMerge w:val="continue"/>
          </w:tcPr>
          <w:p>
            <w:pPr>
              <w:spacing w:after="0"/>
              <w:rPr>
                <w:sz w:val="3"/>
                <w:szCs w:val="3"/>
                <w:color w:val="auto"/>
              </w:rPr>
            </w:pPr>
          </w:p>
        </w:tc>
        <w:tc>
          <w:tcPr>
            <w:tcW w:w="800" w:type="dxa"/>
            <w:vAlign w:val="bottom"/>
            <w:tcBorders>
              <w:right w:val="single" w:sz="8" w:color="auto"/>
            </w:tcBorders>
            <w:vMerge w:val="continue"/>
          </w:tcPr>
          <w:p>
            <w:pPr>
              <w:spacing w:after="0"/>
              <w:rPr>
                <w:sz w:val="3"/>
                <w:szCs w:val="3"/>
                <w:color w:val="auto"/>
              </w:rPr>
            </w:pPr>
          </w:p>
        </w:tc>
        <w:tc>
          <w:tcPr>
            <w:tcW w:w="80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vMerge w:val="continue"/>
          </w:tcPr>
          <w:p>
            <w:pPr>
              <w:spacing w:after="0"/>
              <w:rPr>
                <w:sz w:val="3"/>
                <w:szCs w:val="3"/>
                <w:color w:val="auto"/>
              </w:rPr>
            </w:pPr>
          </w:p>
        </w:tc>
        <w:tc>
          <w:tcPr>
            <w:tcW w:w="36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rPr>
              <w:t>Code</w:t>
            </w: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vMerge w:val="continue"/>
          </w:tcPr>
          <w:p>
            <w:pPr>
              <w:spacing w:after="0"/>
              <w:rPr>
                <w:sz w:val="3"/>
                <w:szCs w:val="3"/>
                <w:color w:val="auto"/>
              </w:rPr>
            </w:pPr>
          </w:p>
        </w:tc>
        <w:tc>
          <w:tcPr>
            <w:tcW w:w="780" w:type="dxa"/>
            <w:vAlign w:val="bottom"/>
            <w:tcBorders>
              <w:left w:val="single" w:sz="8" w:color="auto"/>
              <w:right w:val="single" w:sz="8" w:color="auto"/>
            </w:tcBorders>
            <w:vMerge w:val="continue"/>
          </w:tcPr>
          <w:p>
            <w:pPr>
              <w:spacing w:after="0"/>
              <w:rPr>
                <w:sz w:val="3"/>
                <w:szCs w:val="3"/>
                <w:color w:val="auto"/>
              </w:rPr>
            </w:pPr>
          </w:p>
        </w:tc>
        <w:tc>
          <w:tcPr>
            <w:tcW w:w="76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State</w:t>
            </w: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7"/>
        </w:trPr>
        <w:tc>
          <w:tcPr>
            <w:tcW w:w="3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7"/>
                <w:szCs w:val="7"/>
                <w:b w:val="1"/>
                <w:bCs w:val="1"/>
                <w:color w:val="auto"/>
              </w:rPr>
              <w:t>#</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b w:val="1"/>
                <w:bCs w:val="1"/>
                <w:color w:val="auto"/>
              </w:rPr>
              <w:t>Name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b w:val="1"/>
                <w:bCs w:val="1"/>
                <w:color w:val="auto"/>
              </w:rPr>
              <w:t>#1</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rPr>
              <w:t>#2</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rPr>
              <w:t>Store City</w:t>
            </w:r>
          </w:p>
        </w:tc>
        <w:tc>
          <w:tcPr>
            <w:tcW w:w="32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rPr>
              <w:t>State</w:t>
            </w:r>
          </w:p>
        </w:tc>
        <w:tc>
          <w:tcPr>
            <w:tcW w:w="360" w:type="dxa"/>
            <w:vAlign w:val="bottom"/>
            <w:tcBorders>
              <w:right w:val="single" w:sz="8" w:color="auto"/>
            </w:tcBorders>
            <w:vMerge w:val="continue"/>
          </w:tcPr>
          <w:p>
            <w:pPr>
              <w:spacing w:after="0"/>
              <w:rPr>
                <w:sz w:val="4"/>
                <w:szCs w:val="4"/>
                <w:color w:val="auto"/>
              </w:rPr>
            </w:pPr>
          </w:p>
        </w:tc>
        <w:tc>
          <w:tcPr>
            <w:tcW w:w="1440" w:type="dxa"/>
            <w:vAlign w:val="bottom"/>
            <w:tcBorders>
              <w:right w:val="single" w:sz="8" w:color="auto"/>
            </w:tcBorders>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80" w:type="dxa"/>
            <w:vAlign w:val="bottom"/>
            <w:tcBorders>
              <w:left w:val="single" w:sz="8" w:color="auto"/>
              <w:right w:val="single" w:sz="8" w:color="auto"/>
            </w:tcBorders>
          </w:tcPr>
          <w:p>
            <w:pPr>
              <w:spacing w:after="0"/>
              <w:rPr>
                <w:sz w:val="4"/>
                <w:szCs w:val="4"/>
                <w:color w:val="auto"/>
              </w:rPr>
            </w:pPr>
          </w:p>
        </w:tc>
        <w:tc>
          <w:tcPr>
            <w:tcW w:w="76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72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800" w:type="dxa"/>
            <w:vAlign w:val="bottom"/>
            <w:tcBorders>
              <w:bottom w:val="single" w:sz="8" w:color="auto"/>
              <w:right w:val="single" w:sz="8" w:color="auto"/>
            </w:tcBorders>
            <w:vMerge w:val="continue"/>
          </w:tcPr>
          <w:p>
            <w:pPr>
              <w:spacing w:after="0"/>
              <w:rPr>
                <w:sz w:val="5"/>
                <w:szCs w:val="5"/>
                <w:color w:val="auto"/>
              </w:rPr>
            </w:pPr>
          </w:p>
        </w:tc>
        <w:tc>
          <w:tcPr>
            <w:tcW w:w="800" w:type="dxa"/>
            <w:vAlign w:val="bottom"/>
            <w:tcBorders>
              <w:bottom w:val="single" w:sz="8" w:color="auto"/>
              <w:right w:val="single" w:sz="8" w:color="auto"/>
            </w:tcBorders>
            <w:vMerge w:val="continue"/>
          </w:tcPr>
          <w:p>
            <w:pPr>
              <w:spacing w:after="0"/>
              <w:rPr>
                <w:sz w:val="5"/>
                <w:szCs w:val="5"/>
                <w:color w:val="auto"/>
              </w:rPr>
            </w:pPr>
          </w:p>
        </w:tc>
        <w:tc>
          <w:tcPr>
            <w:tcW w:w="780" w:type="dxa"/>
            <w:vAlign w:val="bottom"/>
            <w:tcBorders>
              <w:bottom w:val="single" w:sz="8" w:color="auto"/>
              <w:right w:val="single" w:sz="8" w:color="auto"/>
            </w:tcBorders>
            <w:vMerge w:val="continue"/>
          </w:tcPr>
          <w:p>
            <w:pPr>
              <w:spacing w:after="0"/>
              <w:rPr>
                <w:sz w:val="5"/>
                <w:szCs w:val="5"/>
                <w:color w:val="auto"/>
              </w:rPr>
            </w:pPr>
          </w:p>
        </w:tc>
        <w:tc>
          <w:tcPr>
            <w:tcW w:w="780" w:type="dxa"/>
            <w:vAlign w:val="bottom"/>
            <w:tcBorders>
              <w:bottom w:val="single" w:sz="8" w:color="auto"/>
              <w:right w:val="single" w:sz="8" w:color="auto"/>
            </w:tcBorders>
            <w:vMerge w:val="continue"/>
          </w:tcPr>
          <w:p>
            <w:pPr>
              <w:spacing w:after="0"/>
              <w:rPr>
                <w:sz w:val="5"/>
                <w:szCs w:val="5"/>
                <w:color w:val="auto"/>
              </w:rPr>
            </w:pPr>
          </w:p>
        </w:tc>
        <w:tc>
          <w:tcPr>
            <w:tcW w:w="320" w:type="dxa"/>
            <w:vAlign w:val="bottom"/>
            <w:tcBorders>
              <w:bottom w:val="single" w:sz="8" w:color="auto"/>
              <w:right w:val="single" w:sz="8" w:color="auto"/>
            </w:tcBorders>
            <w:vMerge w:val="continue"/>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780" w:type="dxa"/>
            <w:vAlign w:val="bottom"/>
            <w:tcBorders>
              <w:left w:val="single" w:sz="8" w:color="auto"/>
              <w:bottom w:val="single" w:sz="8" w:color="auto"/>
              <w:right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360" w:type="dxa"/>
            <w:vAlign w:val="bottom"/>
            <w:tcBorders>
              <w:left w:val="single" w:sz="8" w:color="auto"/>
              <w:right w:val="single" w:sz="8" w:color="auto"/>
            </w:tcBorders>
          </w:tcPr>
          <w:p>
            <w:pPr>
              <w:jc w:val="right"/>
              <w:ind w:right="44"/>
              <w:spacing w:after="0"/>
              <w:rPr>
                <w:sz w:val="20"/>
                <w:szCs w:val="20"/>
                <w:color w:val="auto"/>
              </w:rPr>
            </w:pPr>
            <w:r>
              <w:rPr>
                <w:rFonts w:ascii="Arial" w:cs="Arial" w:eastAsia="Arial" w:hAnsi="Arial"/>
                <w:sz w:val="7"/>
                <w:szCs w:val="7"/>
                <w:color w:val="auto"/>
              </w:rPr>
              <w:t>9383</w:t>
            </w:r>
          </w:p>
        </w:tc>
        <w:tc>
          <w:tcPr>
            <w:tcW w:w="800" w:type="dxa"/>
            <w:vAlign w:val="bottom"/>
            <w:tcBorders>
              <w:right w:val="single" w:sz="8" w:color="auto"/>
            </w:tcBorders>
          </w:tcPr>
          <w:p>
            <w:pPr>
              <w:ind w:left="100"/>
              <w:spacing w:after="0"/>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rPr>
                <w:sz w:val="20"/>
                <w:szCs w:val="20"/>
                <w:color w:val="auto"/>
              </w:rPr>
            </w:pPr>
            <w:r>
              <w:rPr>
                <w:rFonts w:ascii="Arial" w:cs="Arial" w:eastAsia="Arial" w:hAnsi="Arial"/>
                <w:sz w:val="7"/>
                <w:szCs w:val="7"/>
                <w:color w:val="auto"/>
              </w:rPr>
              <w:t>2329 COTTMAN</w:t>
            </w:r>
          </w:p>
        </w:tc>
        <w:tc>
          <w:tcPr>
            <w:tcW w:w="780" w:type="dxa"/>
            <w:vAlign w:val="bottom"/>
            <w:tcBorders>
              <w:right w:val="single" w:sz="8" w:color="auto"/>
            </w:tcBorders>
          </w:tcPr>
          <w:p>
            <w:pPr>
              <w:ind w:left="60"/>
              <w:spacing w:after="0"/>
              <w:rPr>
                <w:sz w:val="20"/>
                <w:szCs w:val="20"/>
                <w:color w:val="auto"/>
              </w:rPr>
            </w:pPr>
            <w:r>
              <w:rPr>
                <w:rFonts w:ascii="Arial" w:cs="Arial" w:eastAsia="Arial" w:hAnsi="Arial"/>
                <w:sz w:val="7"/>
                <w:szCs w:val="7"/>
                <w:color w:val="auto"/>
              </w:rPr>
              <w:t>ROOSEVELT MALL</w:t>
            </w:r>
          </w:p>
        </w:tc>
        <w:tc>
          <w:tcPr>
            <w:tcW w:w="780" w:type="dxa"/>
            <w:vAlign w:val="bottom"/>
            <w:tcBorders>
              <w:right w:val="single" w:sz="8" w:color="auto"/>
            </w:tcBorders>
          </w:tcPr>
          <w:p>
            <w:pPr>
              <w:ind w:left="60"/>
              <w:spacing w:after="0"/>
              <w:rPr>
                <w:sz w:val="20"/>
                <w:szCs w:val="20"/>
                <w:color w:val="auto"/>
              </w:rPr>
            </w:pPr>
            <w:r>
              <w:rPr>
                <w:rFonts w:ascii="Arial" w:cs="Arial" w:eastAsia="Arial" w:hAnsi="Arial"/>
                <w:sz w:val="7"/>
                <w:szCs w:val="7"/>
                <w:color w:val="auto"/>
              </w:rPr>
              <w:t>PHILADELPHIA</w:t>
            </w:r>
          </w:p>
        </w:tc>
        <w:tc>
          <w:tcPr>
            <w:tcW w:w="320" w:type="dxa"/>
            <w:vAlign w:val="bottom"/>
            <w:tcBorders>
              <w:right w:val="single" w:sz="8" w:color="auto"/>
            </w:tcBorders>
          </w:tcPr>
          <w:p>
            <w:pPr>
              <w:ind w:left="60"/>
              <w:spacing w:after="0"/>
              <w:rPr>
                <w:sz w:val="20"/>
                <w:szCs w:val="20"/>
                <w:color w:val="auto"/>
              </w:rPr>
            </w:pPr>
            <w:r>
              <w:rPr>
                <w:rFonts w:ascii="Arial" w:cs="Arial" w:eastAsia="Arial" w:hAnsi="Arial"/>
                <w:sz w:val="7"/>
                <w:szCs w:val="7"/>
                <w:color w:val="auto"/>
              </w:rPr>
              <w:t>PA</w:t>
            </w:r>
          </w:p>
        </w:tc>
        <w:tc>
          <w:tcPr>
            <w:tcW w:w="360" w:type="dxa"/>
            <w:vAlign w:val="bottom"/>
            <w:tcBorders>
              <w:right w:val="single" w:sz="8" w:color="auto"/>
            </w:tcBorders>
          </w:tcPr>
          <w:p>
            <w:pPr>
              <w:ind w:left="60"/>
              <w:spacing w:after="0"/>
              <w:rPr>
                <w:sz w:val="20"/>
                <w:szCs w:val="20"/>
                <w:color w:val="auto"/>
              </w:rPr>
            </w:pPr>
            <w:r>
              <w:rPr>
                <w:rFonts w:ascii="Arial" w:cs="Arial" w:eastAsia="Arial" w:hAnsi="Arial"/>
                <w:sz w:val="7"/>
                <w:szCs w:val="7"/>
                <w:color w:val="auto"/>
              </w:rPr>
              <w:t>19149</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LEVINE REALTY COMPANY</w:t>
            </w:r>
          </w:p>
        </w:tc>
        <w:tc>
          <w:tcPr>
            <w:tcW w:w="1020" w:type="dxa"/>
            <w:vAlign w:val="bottom"/>
            <w:tcBorders>
              <w:right w:val="single" w:sz="8" w:color="auto"/>
            </w:tcBorders>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7"/>
                <w:szCs w:val="7"/>
                <w:color w:val="auto"/>
              </w:rPr>
              <w:t>2026 WEST MAIN</w:t>
            </w:r>
          </w:p>
        </w:tc>
        <w:tc>
          <w:tcPr>
            <w:tcW w:w="76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SPRINGFIELD</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OH</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45504</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(937) 323-9765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AVENUE, SP. 51</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STREET</w:t>
            </w:r>
          </w:p>
        </w:tc>
        <w:tc>
          <w:tcPr>
            <w:tcW w:w="7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360" w:type="dxa"/>
            <w:vAlign w:val="bottom"/>
            <w:tcBorders>
              <w:left w:val="single" w:sz="8" w:color="auto"/>
              <w:right w:val="single" w:sz="8" w:color="auto"/>
            </w:tcBorders>
          </w:tcPr>
          <w:p>
            <w:pPr>
              <w:jc w:val="right"/>
              <w:ind w:right="44"/>
              <w:spacing w:after="0"/>
              <w:rPr>
                <w:sz w:val="20"/>
                <w:szCs w:val="20"/>
                <w:color w:val="auto"/>
              </w:rPr>
            </w:pPr>
            <w:r>
              <w:rPr>
                <w:rFonts w:ascii="Arial" w:cs="Arial" w:eastAsia="Arial" w:hAnsi="Arial"/>
                <w:sz w:val="7"/>
                <w:szCs w:val="7"/>
                <w:color w:val="auto"/>
              </w:rPr>
              <w:t>9384</w:t>
            </w:r>
          </w:p>
        </w:tc>
        <w:tc>
          <w:tcPr>
            <w:tcW w:w="800" w:type="dxa"/>
            <w:vAlign w:val="bottom"/>
            <w:tcBorders>
              <w:right w:val="single" w:sz="8" w:color="auto"/>
            </w:tcBorders>
          </w:tcPr>
          <w:p>
            <w:pPr>
              <w:ind w:left="100"/>
              <w:spacing w:after="0"/>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rPr>
                <w:sz w:val="20"/>
                <w:szCs w:val="20"/>
                <w:color w:val="auto"/>
              </w:rPr>
            </w:pPr>
            <w:r>
              <w:rPr>
                <w:rFonts w:ascii="Arial" w:cs="Arial" w:eastAsia="Arial" w:hAnsi="Arial"/>
                <w:sz w:val="7"/>
                <w:szCs w:val="7"/>
                <w:color w:val="auto"/>
              </w:rPr>
              <w:t>7924 Springboro</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rPr>
                <w:sz w:val="20"/>
                <w:szCs w:val="20"/>
                <w:color w:val="auto"/>
              </w:rPr>
            </w:pPr>
            <w:r>
              <w:rPr>
                <w:rFonts w:ascii="Arial" w:cs="Arial" w:eastAsia="Arial" w:hAnsi="Arial"/>
                <w:sz w:val="7"/>
                <w:szCs w:val="7"/>
                <w:color w:val="auto"/>
              </w:rPr>
              <w:t>MIAMISBURG</w:t>
            </w:r>
          </w:p>
        </w:tc>
        <w:tc>
          <w:tcPr>
            <w:tcW w:w="320" w:type="dxa"/>
            <w:vAlign w:val="bottom"/>
            <w:tcBorders>
              <w:right w:val="single" w:sz="8" w:color="auto"/>
            </w:tcBorders>
          </w:tcPr>
          <w:p>
            <w:pPr>
              <w:ind w:left="60"/>
              <w:spacing w:after="0"/>
              <w:rPr>
                <w:sz w:val="20"/>
                <w:szCs w:val="20"/>
                <w:color w:val="auto"/>
              </w:rPr>
            </w:pPr>
            <w:r>
              <w:rPr>
                <w:rFonts w:ascii="Arial" w:cs="Arial" w:eastAsia="Arial" w:hAnsi="Arial"/>
                <w:sz w:val="7"/>
                <w:szCs w:val="7"/>
                <w:color w:val="auto"/>
              </w:rPr>
              <w:t>OH</w:t>
            </w:r>
          </w:p>
        </w:tc>
        <w:tc>
          <w:tcPr>
            <w:tcW w:w="360" w:type="dxa"/>
            <w:vAlign w:val="bottom"/>
            <w:tcBorders>
              <w:right w:val="single" w:sz="8" w:color="auto"/>
            </w:tcBorders>
          </w:tcPr>
          <w:p>
            <w:pPr>
              <w:ind w:left="60"/>
              <w:spacing w:after="0"/>
              <w:rPr>
                <w:sz w:val="20"/>
                <w:szCs w:val="20"/>
                <w:color w:val="auto"/>
              </w:rPr>
            </w:pPr>
            <w:r>
              <w:rPr>
                <w:rFonts w:ascii="Arial" w:cs="Arial" w:eastAsia="Arial" w:hAnsi="Arial"/>
                <w:sz w:val="7"/>
                <w:szCs w:val="7"/>
                <w:color w:val="auto"/>
              </w:rPr>
              <w:t>45342</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926 PROPERTIES,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w:t>
            </w:r>
          </w:p>
        </w:tc>
        <w:tc>
          <w:tcPr>
            <w:tcW w:w="760" w:type="dxa"/>
            <w:vAlign w:val="bottom"/>
            <w:tcBorders>
              <w:right w:val="single" w:sz="8" w:color="auto"/>
            </w:tcBorders>
          </w:tcPr>
          <w:p>
            <w:pPr>
              <w:spacing w:after="0"/>
              <w:rPr>
                <w:sz w:val="20"/>
                <w:szCs w:val="20"/>
                <w:color w:val="auto"/>
              </w:rPr>
            </w:pPr>
            <w:r>
              <w:rPr>
                <w:rFonts w:ascii="Arial" w:cs="Arial" w:eastAsia="Arial" w:hAnsi="Arial"/>
                <w:sz w:val="7"/>
                <w:szCs w:val="7"/>
                <w:color w:val="auto"/>
              </w:rPr>
              <w:t>926 BOARDMAN-</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BOARDMAN</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OH</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44512</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(330) 729-9044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STORE, LLC</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Pike</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POLAND ROAD</w:t>
            </w: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9387</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926 BOARDMAN-</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BOARDMAN</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OH</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44512-</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UPTOWN VILLAGE AT CEDAR HILL, LP</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305 W FM 1382</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590</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CEDAR HILL</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TX</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75104</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972-637-6300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STORE, LLC</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POLAND RD.</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76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9390</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305 W. FM 1382,</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CEDAR HILL</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TX</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75104</w:t>
            </w:r>
          </w:p>
        </w:tc>
        <w:tc>
          <w:tcPr>
            <w:tcW w:w="1440" w:type="dxa"/>
            <w:vAlign w:val="bottom"/>
            <w:tcBorders>
              <w:right w:val="single" w:sz="8" w:color="auto"/>
            </w:tcBorders>
          </w:tcPr>
          <w:p>
            <w:pPr>
              <w:ind w:left="20"/>
              <w:spacing w:after="0" w:line="76" w:lineRule="exact"/>
              <w:rPr>
                <w:sz w:val="20"/>
                <w:szCs w:val="20"/>
                <w:color w:val="auto"/>
              </w:rPr>
            </w:pPr>
            <w:r>
              <w:rPr>
                <w:rFonts w:ascii="Arial" w:cs="Arial" w:eastAsia="Arial" w:hAnsi="Arial"/>
                <w:sz w:val="7"/>
                <w:szCs w:val="7"/>
                <w:color w:val="auto"/>
              </w:rPr>
              <w:t>CPW GRAT TRUSTS U/A 4/19/99, PA</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WILLNER</w:t>
            </w: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150 ALLENDALE</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KING OF PRUSSIA</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PA</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19406</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(610) 265-8121</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SPACE #543</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TRUST</w:t>
            </w: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PROPERTIES</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ROAD</w:t>
            </w: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vMerge w:val="continue"/>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9396</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150 ALLENDALE</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KING OF PRUSSIA</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PA</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19406</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LIBERTY DISTRIBUTORS INC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1065 SHEPHERD</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BROOKLYN</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NY</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11208</w:t>
            </w:r>
          </w:p>
        </w:tc>
        <w:tc>
          <w:tcPr>
            <w:tcW w:w="72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RBT, LLC</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RD. BLG 1 2N FL</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AVE</w:t>
            </w:r>
          </w:p>
        </w:tc>
        <w:tc>
          <w:tcPr>
            <w:tcW w:w="7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9400</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200 MILL CREEK</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SECAUCUS</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NJ</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7094</w:t>
            </w:r>
          </w:p>
        </w:tc>
        <w:tc>
          <w:tcPr>
            <w:tcW w:w="1440" w:type="dxa"/>
            <w:vAlign w:val="bottom"/>
            <w:tcBorders>
              <w:right w:val="single" w:sz="8" w:color="auto"/>
            </w:tcBorders>
          </w:tcPr>
          <w:p>
            <w:pPr>
              <w:ind w:left="20"/>
              <w:spacing w:after="0" w:line="76" w:lineRule="exact"/>
              <w:rPr>
                <w:sz w:val="20"/>
                <w:szCs w:val="20"/>
                <w:color w:val="auto"/>
              </w:rPr>
            </w:pPr>
            <w:r>
              <w:rPr>
                <w:rFonts w:ascii="Arial" w:cs="Arial" w:eastAsia="Arial" w:hAnsi="Arial"/>
                <w:sz w:val="7"/>
                <w:szCs w:val="7"/>
                <w:color w:val="auto"/>
              </w:rPr>
              <w:t>HENRY M. BARKER JR &amp; SUSAN K.</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9639 TUNBRIDGE</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KNOXVILLE</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TN</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37922</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865-690-5817</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DRIVE</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BARKER</w:t>
            </w: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LANE</w:t>
            </w:r>
          </w:p>
        </w:tc>
        <w:tc>
          <w:tcPr>
            <w:tcW w:w="7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vMerge w:val="continue"/>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9405</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7922 Kingston</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KNOXVILLE</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TN</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37919</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FLORENCE STREET PARTNERS, LP</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7625 N.</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C</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PEORIA</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IL</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61614</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(309) 676-7600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Pike</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UNIVERSITY AVE.</w:t>
            </w:r>
          </w:p>
        </w:tc>
        <w:tc>
          <w:tcPr>
            <w:tcW w:w="76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9406</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3526-3528 N.</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PEORIA</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IL</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61604</w:t>
            </w:r>
          </w:p>
        </w:tc>
        <w:tc>
          <w:tcPr>
            <w:tcW w:w="1440" w:type="dxa"/>
            <w:vAlign w:val="bottom"/>
            <w:tcBorders>
              <w:right w:val="single" w:sz="8" w:color="auto"/>
            </w:tcBorders>
          </w:tcPr>
          <w:p>
            <w:pPr>
              <w:ind w:left="20"/>
              <w:spacing w:after="0" w:line="76" w:lineRule="exact"/>
              <w:rPr>
                <w:sz w:val="20"/>
                <w:szCs w:val="20"/>
                <w:color w:val="auto"/>
              </w:rPr>
            </w:pPr>
            <w:r>
              <w:rPr>
                <w:rFonts w:ascii="Arial" w:cs="Arial" w:eastAsia="Arial" w:hAnsi="Arial"/>
                <w:sz w:val="7"/>
                <w:szCs w:val="7"/>
                <w:color w:val="auto"/>
              </w:rPr>
              <w:t>AMERICAN REALTY CAPITAL RETAIL</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GENERAL COUNSEL</w:t>
            </w: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DBA/ARC</w:t>
            </w: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405 PARK AVENUE,</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NEW YORK</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NY</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10022</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843-952-2060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STORE, LLC</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UNIVERSITY AVE.</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OPERATING PARTNERSHIP LP</w:t>
            </w:r>
          </w:p>
        </w:tc>
        <w:tc>
          <w:tcPr>
            <w:tcW w:w="102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CTCHRNC0014, LLC</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15TH FLOOR</w:t>
            </w: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vMerge w:val="continue"/>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9407</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THE CENTRUM</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10610 D</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PINEVILLE</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NC</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28134</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BURNHAVEN SIX,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ANDERSON</w:t>
            </w: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6205 PARKWOOD</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EDINA</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MN</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55436</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(952) 931-9538</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STORE, LLC</w:t>
            </w:r>
          </w:p>
        </w:tc>
        <w:tc>
          <w:tcPr>
            <w:tcW w:w="80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CENTRUM PKWY</w:t>
            </w: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PROPERTY</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ROAD</w:t>
            </w: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9409</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712 W. COUNTY</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BURNSVILLE</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MN</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55337-</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HC ATLANTIC DEVELOPMENT LP</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C/O HAROLD</w:t>
            </w: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393 TOTTEN POND</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WALTHAM</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MA</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02451-2013</w:t>
            </w:r>
          </w:p>
        </w:tc>
        <w:tc>
          <w:tcPr>
            <w:tcW w:w="72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STORE, LLC</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ROAD #42</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COHEN</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RD, SUITE 203</w:t>
            </w: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9412</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1298 WORCESTER</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NATICK</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MA</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1760</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SVAP II PARK NORTH,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STERLING RETAIL</w:t>
            </w: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340 POINCIANA</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PALM BEACH</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FL</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33480</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561-835-1810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STREET</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SERVICES</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WAY, SUITE 316</w:t>
            </w:r>
          </w:p>
        </w:tc>
        <w:tc>
          <w:tcPr>
            <w:tcW w:w="7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9413</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PARK NORTH</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510 NW LOOP</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SAN ANTONIO</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TX</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78216</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MENAUL 6601 INVESTMENTS,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1605 FRANCISCA</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RANCHOS DE</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NM</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87107</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505-385-7322</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SHOPPING</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410, SUITE 106</w:t>
            </w: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RD, NW</w:t>
            </w:r>
          </w:p>
        </w:tc>
        <w:tc>
          <w:tcPr>
            <w:tcW w:w="7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ALBUQUERQUE</w:t>
            </w: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9414</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6601 MENUAL</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ALBUQUERQUE</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NM</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87110</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GREEN ACRES ADJACENT LLC</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CENTER MANAGER</w:t>
            </w: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2034 GREEN ACRES</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VALLEY STREAM</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NY</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11581-1545</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866-811-1095</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STORE, LLC</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N.E.</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MALL</w:t>
            </w:r>
          </w:p>
        </w:tc>
        <w:tc>
          <w:tcPr>
            <w:tcW w:w="7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9415</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Green Acres</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750 West Sunrise</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VALLEY STREAM</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NY</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11581</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RD PALMERA, LP</w:t>
            </w:r>
          </w:p>
        </w:tc>
        <w:tc>
          <w:tcPr>
            <w:tcW w:w="102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MICHAEL GOSS,</w:t>
            </w: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5310 HARVEST HILL</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DALLAS</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TX</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75230</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214-979-3334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Comons</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Highway</w:t>
            </w: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PROPERTY MANAGER</w:t>
            </w: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ROAD, SUITE 250</w:t>
            </w:r>
          </w:p>
        </w:tc>
        <w:tc>
          <w:tcPr>
            <w:tcW w:w="7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vMerge w:val="continue"/>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9417</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The Shops at La</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4938 South</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Corpus Christi</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TX</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78411</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MALL DEL NORTE, LLC</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JASMINE LASTER</w:t>
            </w: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SUITE 500 -CBL</w:t>
            </w: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2030 HAMILTON</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CHATTANOOGA</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TN</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37421</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423-855-0001</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Palmera</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Staples Street,</w:t>
            </w: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CENTER</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PLACE BLVD</w:t>
            </w: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9419</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MALL DEL NORTE</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5300 SAN DARIO</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LAREDO</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TX</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78041</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DW 4840 SW LOOP 820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4406 N. CENTRAL</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DALLAS</w:t>
            </w:r>
          </w:p>
        </w:tc>
        <w:tc>
          <w:tcPr>
            <w:tcW w:w="240" w:type="dxa"/>
            <w:vAlign w:val="bottom"/>
            <w:tcBorders>
              <w:right w:val="single" w:sz="8" w:color="auto"/>
            </w:tcBorders>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AVE</w:t>
            </w: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EXPRESSWAY BOX</w:t>
            </w:r>
          </w:p>
        </w:tc>
        <w:tc>
          <w:tcPr>
            <w:tcW w:w="7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500" w:type="dxa"/>
            <w:vAlign w:val="bottom"/>
            <w:tcBorders>
              <w:right w:val="single" w:sz="8" w:color="auto"/>
            </w:tcBorders>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9421</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4840 SW LOOP</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FT. WORTH</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TX</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76109-</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NORTHWOOD PL A, LP</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NORTHWOOD INVESTORS</w:t>
            </w: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575 FIFTH AVENUE,</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NEW YORK</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NY</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10017</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469-828-3301</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820</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4420</w:t>
            </w: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23RD FLOOR</w:t>
            </w:r>
          </w:p>
        </w:tc>
        <w:tc>
          <w:tcPr>
            <w:tcW w:w="7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vMerge w:val="continue"/>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9422</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THE SHOPS AT</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8020 PARK LANE,</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DALLAS</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TX</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75231</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HARRISBURG MALL , LP</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KIMBERLY WHITE</w:t>
            </w: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ST JOHN PROPERTIES, INC</w:t>
            </w: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2560 LORD</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BALTIMORE</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MD</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21244</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410-788-0100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PARK LANE</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SUITE 100</w:t>
            </w: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BALTIMORE DRIVE</w:t>
            </w:r>
          </w:p>
        </w:tc>
        <w:tc>
          <w:tcPr>
            <w:tcW w:w="7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9424</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Harrisburg Mall</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3501 Paxton</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Harrisburg</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PA</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17111</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GRANDVIEW CENTER , A WI LP</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PHIL LANGOHR</w:t>
            </w: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118 WEST</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NEENAH</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WI</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54956</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920-725-4000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Street, Unit G12</w:t>
            </w: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PECKHAM STREET</w:t>
            </w:r>
          </w:p>
        </w:tc>
        <w:tc>
          <w:tcPr>
            <w:tcW w:w="7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9428</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1111 N MUTUAL</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APPLETON</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WI</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54913</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THE FOUNTAINS AT FARAH, LP</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SANDRA MENDEZ</w:t>
            </w: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123 W. MILLS</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600</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EL PASO</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TX</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79901</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214-368-7200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WAY</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AVENUE</w:t>
            </w:r>
          </w:p>
        </w:tc>
        <w:tc>
          <w:tcPr>
            <w:tcW w:w="76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9429</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THE FOUNTAINS</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8889 Gateway</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EL PASO</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TX</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79925</w:t>
            </w:r>
          </w:p>
        </w:tc>
        <w:tc>
          <w:tcPr>
            <w:tcW w:w="1440" w:type="dxa"/>
            <w:vAlign w:val="bottom"/>
            <w:tcBorders>
              <w:right w:val="single" w:sz="8" w:color="auto"/>
            </w:tcBorders>
          </w:tcPr>
          <w:p>
            <w:pPr>
              <w:ind w:left="20"/>
              <w:spacing w:after="0" w:line="76" w:lineRule="exact"/>
              <w:rPr>
                <w:sz w:val="20"/>
                <w:szCs w:val="20"/>
                <w:color w:val="auto"/>
              </w:rPr>
            </w:pPr>
            <w:r>
              <w:rPr>
                <w:rFonts w:ascii="Arial" w:cs="Arial" w:eastAsia="Arial" w:hAnsi="Arial"/>
                <w:sz w:val="7"/>
                <w:szCs w:val="7"/>
                <w:color w:val="auto"/>
              </w:rPr>
              <w:t>830 CENTRAL PARK AVENEUE</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THE KEMPNER CORP</w:t>
            </w: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257 MAMARONECK</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WHITE PLAINS</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NY</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10605</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914-946-3030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AT FARRAH</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Blvd W, Bldg 190</w:t>
            </w: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ASSOCIATES, LLC</w:t>
            </w: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AVENUE</w:t>
            </w:r>
          </w:p>
        </w:tc>
        <w:tc>
          <w:tcPr>
            <w:tcW w:w="7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vMerge w:val="continue"/>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9430</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830 Central Park</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Scarsdale</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NY</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10583-</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SHILLDEV (U.S.), INC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PROMENADE</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111 S. 17TH AVE</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HOLLYWOOD</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FL</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33020-6801</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(954) 921-4332</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Avenue</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2525</w:t>
            </w: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PROPERTY</w:t>
            </w:r>
          </w:p>
        </w:tc>
        <w:tc>
          <w:tcPr>
            <w:tcW w:w="76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vMerge w:val="continue"/>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9434</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1755 NE 163RD</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NORTH MIAMI</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FL</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33162</w:t>
            </w:r>
          </w:p>
        </w:tc>
        <w:tc>
          <w:tcPr>
            <w:tcW w:w="1440" w:type="dxa"/>
            <w:vAlign w:val="bottom"/>
            <w:tcBorders>
              <w:right w:val="single" w:sz="8" w:color="auto"/>
            </w:tcBorders>
          </w:tcPr>
          <w:p>
            <w:pPr>
              <w:ind w:left="20"/>
              <w:spacing w:after="0" w:line="76" w:lineRule="exact"/>
              <w:rPr>
                <w:sz w:val="20"/>
                <w:szCs w:val="20"/>
                <w:color w:val="auto"/>
              </w:rPr>
            </w:pPr>
            <w:r>
              <w:rPr>
                <w:rFonts w:ascii="Arial" w:cs="Arial" w:eastAsia="Arial" w:hAnsi="Arial"/>
                <w:sz w:val="7"/>
                <w:szCs w:val="7"/>
                <w:color w:val="auto"/>
              </w:rPr>
              <w:t>BURLINGTON INTERSTATE CENTER,</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EASTERN</w:t>
            </w: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120 PRESIDENTIAL</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WOBURN</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MA</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1801</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(781) 926-6400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STREET</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LLC</w:t>
            </w: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DEVELOPMENT,LLC</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WAY SUITE 300</w:t>
            </w: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vMerge w:val="continue"/>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9442</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STAPLES PLAZA</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861 WILLISTON</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BURLINGTON</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VT</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5403</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226 HADDONFIELD ROAD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C/O THE JEMSTONE</w:t>
            </w: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358 FIFTH AVE.,</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NEW YORK</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NY</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10001</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212-290-1818</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ROAD</w:t>
            </w: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GROUP LLC</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1405</w:t>
            </w: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9447</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220</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CHERRY HILL</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NJ</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8002</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IRC RETAIL CENTERS, INC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814 COMMERCE</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OAK BROOK</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IL</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60523</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877-206-5656</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HADDONFIELD</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DRIVE, SUITE 300</w:t>
            </w:r>
          </w:p>
        </w:tc>
        <w:tc>
          <w:tcPr>
            <w:tcW w:w="7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9451</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1985 E. GOLF</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SCHAUMBURG</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IL</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60173</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278 ROUTE 10 REALTY LP</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P.O.BOX:398</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EAST HANOVER</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NJ</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7936</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973-228-3499</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STORE, LLC</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ROAD</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76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9458</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288 RTE. 10 W</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SUCCASUNNA</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NJ</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7876</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GIBRALTAR VIRGINIA S, LLC</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JENNIFER TINGLEY</w:t>
            </w: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P.O.BOX:251</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DEXTER</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MI</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48130</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734-426-2901</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76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9460</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11736 WEST</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PARC PLACE AT</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RICHMOND</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VA</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23233</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EKAJ ASSOCIATES,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BRIER HILL COURT,</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206</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EAST BRUNSWICK</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NJ</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8816</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732-613-8100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BROAD STREET,</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SHORT PUMP</w:t>
            </w: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BUILDING C</w:t>
            </w:r>
          </w:p>
        </w:tc>
        <w:tc>
          <w:tcPr>
            <w:tcW w:w="76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9466</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2128 SAGAMORE</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LAFAYETTE</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IN</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47905</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BRAND INVESTMENTS</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6274 EAST 375</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LAFAYETTE</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IN</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47905</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(765) 296-3437</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PKWY. SOUTH</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SOUTH</w:t>
            </w:r>
          </w:p>
        </w:tc>
        <w:tc>
          <w:tcPr>
            <w:tcW w:w="7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9473</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507 NORTH</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COLORADO</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CO</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80909</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CITADEL CROSSING ASSOCIATES</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NEWMARK MERRILL</w:t>
            </w: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630 15TH AVE,</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LONGMONT</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CO</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80501</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(970) 744-6940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STORE, LLC</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ACADEMY</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SPRINGS</w:t>
            </w: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MOUNTAIN STATES</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100</w:t>
            </w: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9478</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9490 AIRLINE</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BATON ROUGE</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LA</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70815-</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COMMERCE GROUP, INC.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1280 W. NEWPORT</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DEERFIELD BEACH</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FL</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33442</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(954) 360-7713</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HIGHWAY</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CENTER DRIVE</w:t>
            </w:r>
          </w:p>
        </w:tc>
        <w:tc>
          <w:tcPr>
            <w:tcW w:w="7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9482</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2406 W Brandon</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BRANDON</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FL</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33511</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RECENCY CENTERS LP</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REGENCY CENTERS CORP</w:t>
            </w: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ONE INDEPENDENT</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114</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JACKSONVILLE</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FL</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32202-5019</w:t>
            </w:r>
          </w:p>
        </w:tc>
        <w:tc>
          <w:tcPr>
            <w:tcW w:w="72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Blvd</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DRIVE</w:t>
            </w:r>
          </w:p>
        </w:tc>
        <w:tc>
          <w:tcPr>
            <w:tcW w:w="76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9484</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1006 W.</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CHAMPAIGN</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IL</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61820-</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BLOOMFIELD 2005,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BLOCK &amp; COMPANY,</w:t>
            </w: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605 W. 47TH ST.,</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KANSAS CITY</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MO</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64112</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(816) 753-6000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STORE, LLC</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ANTHONY DR.</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INC. C/O</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200</w:t>
            </w: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9486</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10515 N. MO PAC</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THE SHOPS AT</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AUSTIN</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TX</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78759</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ARBOR WALK MALL, LLC</w:t>
            </w:r>
          </w:p>
        </w:tc>
        <w:tc>
          <w:tcPr>
            <w:tcW w:w="102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SENIOR LEASING</w:t>
            </w:r>
          </w:p>
        </w:tc>
        <w:tc>
          <w:tcPr>
            <w:tcW w:w="104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WASHINGTON PRIME</w:t>
            </w: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111 MONUMENT</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INDIANAPOLIS</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IN</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46204</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317-263-7742</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EXPRESSWAY</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ARBOR WALK</w:t>
            </w: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COUNSEL</w:t>
            </w: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GROUP, INC</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CIRCLE, SUITE</w:t>
            </w:r>
          </w:p>
        </w:tc>
        <w:tc>
          <w:tcPr>
            <w:tcW w:w="7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vMerge w:val="continue"/>
          </w:tcPr>
          <w:p>
            <w:pPr>
              <w:spacing w:after="0"/>
              <w:rPr>
                <w:sz w:val="4"/>
                <w:szCs w:val="4"/>
                <w:color w:val="auto"/>
              </w:rPr>
            </w:pPr>
          </w:p>
        </w:tc>
        <w:tc>
          <w:tcPr>
            <w:tcW w:w="104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9489</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NAPERWEST</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618 S. ROUTE 59,</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NAPERVILLE</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IL</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60540</w:t>
            </w:r>
          </w:p>
        </w:tc>
        <w:tc>
          <w:tcPr>
            <w:tcW w:w="1440" w:type="dxa"/>
            <w:vAlign w:val="bottom"/>
            <w:tcBorders>
              <w:right w:val="single" w:sz="8" w:color="auto"/>
            </w:tcBorders>
          </w:tcPr>
          <w:p>
            <w:pPr>
              <w:ind w:left="20"/>
              <w:spacing w:after="0" w:line="76" w:lineRule="exact"/>
              <w:rPr>
                <w:sz w:val="20"/>
                <w:szCs w:val="20"/>
                <w:color w:val="auto"/>
              </w:rPr>
            </w:pPr>
            <w:r>
              <w:rPr>
                <w:rFonts w:ascii="Arial" w:cs="Arial" w:eastAsia="Arial" w:hAnsi="Arial"/>
                <w:sz w:val="7"/>
                <w:szCs w:val="7"/>
                <w:color w:val="auto"/>
              </w:rPr>
              <w:t>MARC NATIONAL PLAZA III LLC &amp;</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BONNIE MANAGEMENT</w:t>
            </w: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8430 W. BRYN</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CHICAGO</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IL</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60631-3448</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708-851-0808</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STORE, LLC</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PLAZA</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SUITE 124</w:t>
            </w: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NAPERW, LLC</w:t>
            </w: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CORP</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AVE., SUITE 850</w:t>
            </w:r>
          </w:p>
        </w:tc>
        <w:tc>
          <w:tcPr>
            <w:tcW w:w="7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vMerge w:val="continue"/>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9490</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7681 N. POINT</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ALPHARETTA</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GA</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30202-</w:t>
            </w:r>
          </w:p>
        </w:tc>
        <w:tc>
          <w:tcPr>
            <w:tcW w:w="1440" w:type="dxa"/>
            <w:vAlign w:val="bottom"/>
            <w:tcBorders>
              <w:right w:val="single" w:sz="8" w:color="auto"/>
            </w:tcBorders>
          </w:tcPr>
          <w:p>
            <w:pPr>
              <w:ind w:left="20"/>
              <w:spacing w:after="0" w:line="76" w:lineRule="exact"/>
              <w:rPr>
                <w:sz w:val="20"/>
                <w:szCs w:val="20"/>
                <w:color w:val="auto"/>
              </w:rPr>
            </w:pPr>
            <w:r>
              <w:rPr>
                <w:rFonts w:ascii="Arial" w:cs="Arial" w:eastAsia="Arial" w:hAnsi="Arial"/>
                <w:sz w:val="7"/>
                <w:szCs w:val="7"/>
                <w:color w:val="auto"/>
              </w:rPr>
              <w:t>BIXMOR OPERATING PARTNERSHIP 2,</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GENERAL COUNSEL</w:t>
            </w: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BIXMOR PROPERTY GROUP</w:t>
            </w:r>
          </w:p>
        </w:tc>
        <w:tc>
          <w:tcPr>
            <w:tcW w:w="78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450 LEXINGTON</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NEW YORK</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NY</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10170</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610-825-7100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PKWY. SUITE 500</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LLC</w:t>
            </w:r>
          </w:p>
        </w:tc>
        <w:tc>
          <w:tcPr>
            <w:tcW w:w="102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AVE, 13TH FLOOR</w:t>
            </w:r>
          </w:p>
        </w:tc>
        <w:tc>
          <w:tcPr>
            <w:tcW w:w="7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vMerge w:val="continue"/>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9"/>
        </w:trPr>
        <w:tc>
          <w:tcPr>
            <w:tcW w:w="3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20" w:right="179" w:bottom="1440" w:gutter="0" w:footer="0" w:header="0"/>
        </w:sectPr>
      </w:pPr>
    </w:p>
    <w:bookmarkStart w:id="161" w:name="page162"/>
    <w:bookmarkEnd w:id="161"/>
    <w:tbl>
      <w:tblPr>
        <w:tblLayout w:type="fixed"/>
        <w:tblInd w:w="10" w:type="dxa"/>
        <w:tblCellMar>
          <w:top w:w="0" w:type="dxa"/>
          <w:left w:w="0" w:type="dxa"/>
          <w:bottom w:w="0" w:type="dxa"/>
          <w:right w:w="0" w:type="dxa"/>
        </w:tblCellMar>
      </w:tblPr>
      <w:tr>
        <w:trPr>
          <w:trHeight w:val="90"/>
        </w:trPr>
        <w:tc>
          <w:tcPr>
            <w:tcW w:w="360" w:type="dxa"/>
            <w:vAlign w:val="bottom"/>
            <w:tcBorders>
              <w:top w:val="single" w:sz="8" w:color="auto"/>
              <w:left w:val="single" w:sz="8" w:color="auto"/>
              <w:right w:val="single" w:sz="8" w:color="auto"/>
            </w:tcBorders>
          </w:tcPr>
          <w:p>
            <w:pPr>
              <w:spacing w:after="0"/>
              <w:rPr>
                <w:sz w:val="7"/>
                <w:szCs w:val="7"/>
                <w:color w:val="auto"/>
              </w:rPr>
            </w:pPr>
          </w:p>
        </w:tc>
        <w:tc>
          <w:tcPr>
            <w:tcW w:w="800" w:type="dxa"/>
            <w:vAlign w:val="bottom"/>
            <w:tcBorders>
              <w:top w:val="single" w:sz="8" w:color="auto"/>
              <w:right w:val="single" w:sz="8" w:color="auto"/>
            </w:tcBorders>
          </w:tcPr>
          <w:p>
            <w:pPr>
              <w:spacing w:after="0"/>
              <w:rPr>
                <w:sz w:val="7"/>
                <w:szCs w:val="7"/>
                <w:color w:val="auto"/>
              </w:rPr>
            </w:pPr>
          </w:p>
        </w:tc>
        <w:tc>
          <w:tcPr>
            <w:tcW w:w="800" w:type="dxa"/>
            <w:vAlign w:val="bottom"/>
            <w:tcBorders>
              <w:top w:val="single" w:sz="8" w:color="auto"/>
              <w:right w:val="single" w:sz="8" w:color="auto"/>
            </w:tcBorders>
          </w:tcPr>
          <w:p>
            <w:pPr>
              <w:spacing w:after="0"/>
              <w:rPr>
                <w:sz w:val="7"/>
                <w:szCs w:val="7"/>
                <w:color w:val="auto"/>
              </w:rPr>
            </w:pPr>
          </w:p>
        </w:tc>
        <w:tc>
          <w:tcPr>
            <w:tcW w:w="780" w:type="dxa"/>
            <w:vAlign w:val="bottom"/>
            <w:tcBorders>
              <w:top w:val="single" w:sz="8" w:color="auto"/>
              <w:right w:val="single" w:sz="8" w:color="auto"/>
            </w:tcBorders>
          </w:tcPr>
          <w:p>
            <w:pPr>
              <w:spacing w:after="0"/>
              <w:rPr>
                <w:sz w:val="7"/>
                <w:szCs w:val="7"/>
                <w:color w:val="auto"/>
              </w:rPr>
            </w:pPr>
          </w:p>
        </w:tc>
        <w:tc>
          <w:tcPr>
            <w:tcW w:w="780" w:type="dxa"/>
            <w:vAlign w:val="bottom"/>
            <w:tcBorders>
              <w:top w:val="single" w:sz="8" w:color="auto"/>
              <w:right w:val="single" w:sz="8" w:color="auto"/>
            </w:tcBorders>
          </w:tcPr>
          <w:p>
            <w:pPr>
              <w:spacing w:after="0"/>
              <w:rPr>
                <w:sz w:val="7"/>
                <w:szCs w:val="7"/>
                <w:color w:val="auto"/>
              </w:rPr>
            </w:pPr>
          </w:p>
        </w:tc>
        <w:tc>
          <w:tcPr>
            <w:tcW w:w="320" w:type="dxa"/>
            <w:vAlign w:val="bottom"/>
            <w:tcBorders>
              <w:top w:val="single" w:sz="8" w:color="auto"/>
              <w:right w:val="single" w:sz="8" w:color="auto"/>
            </w:tcBorders>
          </w:tcPr>
          <w:p>
            <w:pPr>
              <w:spacing w:after="0"/>
              <w:rPr>
                <w:sz w:val="7"/>
                <w:szCs w:val="7"/>
                <w:color w:val="auto"/>
              </w:rPr>
            </w:pPr>
          </w:p>
        </w:tc>
        <w:tc>
          <w:tcPr>
            <w:tcW w:w="3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7"/>
                <w:szCs w:val="7"/>
                <w:b w:val="1"/>
                <w:bCs w:val="1"/>
                <w:color w:val="auto"/>
              </w:rPr>
              <w:t>Store</w:t>
            </w:r>
          </w:p>
        </w:tc>
        <w:tc>
          <w:tcPr>
            <w:tcW w:w="1440" w:type="dxa"/>
            <w:vAlign w:val="bottom"/>
            <w:tcBorders>
              <w:top w:val="single" w:sz="8" w:color="auto"/>
              <w:right w:val="single" w:sz="8" w:color="auto"/>
            </w:tcBorders>
          </w:tcPr>
          <w:p>
            <w:pPr>
              <w:spacing w:after="0"/>
              <w:rPr>
                <w:sz w:val="7"/>
                <w:szCs w:val="7"/>
                <w:color w:val="auto"/>
              </w:rPr>
            </w:pPr>
          </w:p>
        </w:tc>
        <w:tc>
          <w:tcPr>
            <w:tcW w:w="1020" w:type="dxa"/>
            <w:vAlign w:val="bottom"/>
            <w:tcBorders>
              <w:top w:val="single" w:sz="8" w:color="auto"/>
              <w:right w:val="single" w:sz="8" w:color="auto"/>
            </w:tcBorders>
          </w:tcPr>
          <w:p>
            <w:pPr>
              <w:spacing w:after="0"/>
              <w:rPr>
                <w:sz w:val="7"/>
                <w:szCs w:val="7"/>
                <w:color w:val="auto"/>
              </w:rPr>
            </w:pPr>
          </w:p>
        </w:tc>
        <w:tc>
          <w:tcPr>
            <w:tcW w:w="1040" w:type="dxa"/>
            <w:vAlign w:val="bottom"/>
            <w:tcBorders>
              <w:top w:val="single" w:sz="8" w:color="auto"/>
              <w:right w:val="single" w:sz="8" w:color="auto"/>
            </w:tcBorders>
          </w:tcPr>
          <w:p>
            <w:pPr>
              <w:spacing w:after="0"/>
              <w:rPr>
                <w:sz w:val="7"/>
                <w:szCs w:val="7"/>
                <w:color w:val="auto"/>
              </w:rPr>
            </w:pPr>
          </w:p>
        </w:tc>
        <w:tc>
          <w:tcPr>
            <w:tcW w:w="800" w:type="dxa"/>
            <w:vAlign w:val="bottom"/>
            <w:tcBorders>
              <w:top w:val="single" w:sz="8" w:color="auto"/>
              <w:left w:val="single" w:sz="8" w:color="auto"/>
              <w:right w:val="single" w:sz="8" w:color="auto"/>
            </w:tcBorders>
          </w:tcPr>
          <w:p>
            <w:pPr>
              <w:spacing w:after="0"/>
              <w:rPr>
                <w:sz w:val="7"/>
                <w:szCs w:val="7"/>
                <w:color w:val="auto"/>
              </w:rPr>
            </w:pPr>
          </w:p>
        </w:tc>
        <w:tc>
          <w:tcPr>
            <w:tcW w:w="740" w:type="dxa"/>
            <w:vAlign w:val="bottom"/>
            <w:tcBorders>
              <w:top w:val="single" w:sz="8" w:color="auto"/>
              <w:right w:val="single" w:sz="8" w:color="auto"/>
            </w:tcBorders>
          </w:tcPr>
          <w:p>
            <w:pPr>
              <w:spacing w:after="0"/>
              <w:rPr>
                <w:sz w:val="7"/>
                <w:szCs w:val="7"/>
                <w:color w:val="auto"/>
              </w:rPr>
            </w:pPr>
          </w:p>
        </w:tc>
        <w:tc>
          <w:tcPr>
            <w:tcW w:w="780" w:type="dxa"/>
            <w:vAlign w:val="bottom"/>
            <w:tcBorders>
              <w:top w:val="single" w:sz="8" w:color="auto"/>
              <w:right w:val="single" w:sz="8" w:color="auto"/>
            </w:tcBorders>
          </w:tcPr>
          <w:p>
            <w:pPr>
              <w:spacing w:after="0"/>
              <w:rPr>
                <w:sz w:val="7"/>
                <w:szCs w:val="7"/>
                <w:color w:val="auto"/>
              </w:rPr>
            </w:pPr>
          </w:p>
        </w:tc>
        <w:tc>
          <w:tcPr>
            <w:tcW w:w="24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w:t>
            </w:r>
          </w:p>
        </w:tc>
        <w:tc>
          <w:tcPr>
            <w:tcW w:w="500" w:type="dxa"/>
            <w:vAlign w:val="bottom"/>
            <w:tcBorders>
              <w:top w:val="single" w:sz="8" w:color="auto"/>
              <w:right w:val="single" w:sz="8" w:color="auto"/>
            </w:tcBorders>
          </w:tcPr>
          <w:p>
            <w:pPr>
              <w:spacing w:after="0"/>
              <w:rPr>
                <w:sz w:val="7"/>
                <w:szCs w:val="7"/>
                <w:color w:val="auto"/>
              </w:rPr>
            </w:pPr>
          </w:p>
        </w:tc>
        <w:tc>
          <w:tcPr>
            <w:tcW w:w="72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Phone Number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7"/>
                <w:szCs w:val="7"/>
                <w:b w:val="1"/>
                <w:bCs w:val="1"/>
                <w:color w:val="auto"/>
              </w:rPr>
              <w:t>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b w:val="1"/>
                <w:bCs w:val="1"/>
                <w:color w:val="auto"/>
              </w:rPr>
              <w:t>Store Legal Entity</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b w:val="1"/>
                <w:bCs w:val="1"/>
                <w:color w:val="auto"/>
                <w:w w:val="97"/>
              </w:rPr>
              <w:t>Store Street Address</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w w:val="97"/>
              </w:rPr>
              <w:t>Store Street Address</w:t>
            </w:r>
          </w:p>
        </w:tc>
        <w:tc>
          <w:tcPr>
            <w:tcW w:w="780" w:type="dxa"/>
            <w:vAlign w:val="bottom"/>
            <w:tcBorders>
              <w:right w:val="single" w:sz="8" w:color="auto"/>
            </w:tcBorders>
          </w:tcPr>
          <w:p>
            <w:pPr>
              <w:spacing w:after="0"/>
              <w:rPr>
                <w:sz w:val="7"/>
                <w:szCs w:val="7"/>
                <w:color w:val="auto"/>
              </w:rPr>
            </w:pPr>
          </w:p>
        </w:tc>
        <w:tc>
          <w:tcPr>
            <w:tcW w:w="32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rPr>
              <w:t>Store</w:t>
            </w:r>
          </w:p>
        </w:tc>
        <w:tc>
          <w:tcPr>
            <w:tcW w:w="360" w:type="dxa"/>
            <w:vAlign w:val="bottom"/>
            <w:tcBorders>
              <w:right w:val="single" w:sz="8" w:color="auto"/>
            </w:tcBorders>
          </w:tcPr>
          <w:p>
            <w:pPr>
              <w:ind w:left="60"/>
              <w:spacing w:after="0"/>
              <w:rPr>
                <w:sz w:val="20"/>
                <w:szCs w:val="20"/>
                <w:color w:val="auto"/>
              </w:rPr>
            </w:pPr>
            <w:r>
              <w:rPr>
                <w:rFonts w:ascii="Arial" w:cs="Arial" w:eastAsia="Arial" w:hAnsi="Arial"/>
                <w:sz w:val="7"/>
                <w:szCs w:val="7"/>
                <w:b w:val="1"/>
                <w:bCs w:val="1"/>
                <w:color w:val="auto"/>
              </w:rPr>
              <w:t>Postal</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Name</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Attention To</w:t>
            </w: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In Care Of</w:t>
            </w:r>
          </w:p>
        </w:tc>
        <w:tc>
          <w:tcPr>
            <w:tcW w:w="800" w:type="dxa"/>
            <w:vAlign w:val="bottom"/>
            <w:tcBorders>
              <w:left w:val="single" w:sz="8" w:color="auto"/>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Street 1</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Street 2</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City</w:t>
            </w:r>
          </w:p>
        </w:tc>
        <w:tc>
          <w:tcPr>
            <w:tcW w:w="240" w:type="dxa"/>
            <w:vAlign w:val="bottom"/>
            <w:tcBorders>
              <w:right w:val="single" w:sz="8" w:color="auto"/>
            </w:tcBorders>
            <w:vMerge w:val="continue"/>
          </w:tcPr>
          <w:p>
            <w:pPr>
              <w:spacing w:after="0"/>
              <w:rPr>
                <w:sz w:val="7"/>
                <w:szCs w:val="7"/>
                <w:color w:val="auto"/>
              </w:rPr>
            </w:pP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Zip</w:t>
            </w:r>
          </w:p>
        </w:tc>
        <w:tc>
          <w:tcPr>
            <w:tcW w:w="72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vMerge w:val="continue"/>
          </w:tcPr>
          <w:p>
            <w:pPr>
              <w:spacing w:after="0"/>
              <w:rPr>
                <w:sz w:val="3"/>
                <w:szCs w:val="3"/>
                <w:color w:val="auto"/>
              </w:rPr>
            </w:pPr>
          </w:p>
        </w:tc>
        <w:tc>
          <w:tcPr>
            <w:tcW w:w="800" w:type="dxa"/>
            <w:vAlign w:val="bottom"/>
            <w:tcBorders>
              <w:right w:val="single" w:sz="8" w:color="auto"/>
            </w:tcBorders>
            <w:vMerge w:val="continue"/>
          </w:tcPr>
          <w:p>
            <w:pPr>
              <w:spacing w:after="0"/>
              <w:rPr>
                <w:sz w:val="3"/>
                <w:szCs w:val="3"/>
                <w:color w:val="auto"/>
              </w:rPr>
            </w:pPr>
          </w:p>
        </w:tc>
        <w:tc>
          <w:tcPr>
            <w:tcW w:w="80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vMerge w:val="continue"/>
          </w:tcPr>
          <w:p>
            <w:pPr>
              <w:spacing w:after="0"/>
              <w:rPr>
                <w:sz w:val="3"/>
                <w:szCs w:val="3"/>
                <w:color w:val="auto"/>
              </w:rPr>
            </w:pPr>
          </w:p>
        </w:tc>
        <w:tc>
          <w:tcPr>
            <w:tcW w:w="36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rPr>
              <w:t>Code</w:t>
            </w: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vMerge w:val="continue"/>
          </w:tcPr>
          <w:p>
            <w:pPr>
              <w:spacing w:after="0"/>
              <w:rPr>
                <w:sz w:val="3"/>
                <w:szCs w:val="3"/>
                <w:color w:val="auto"/>
              </w:rPr>
            </w:pPr>
          </w:p>
        </w:tc>
        <w:tc>
          <w:tcPr>
            <w:tcW w:w="800" w:type="dxa"/>
            <w:vAlign w:val="bottom"/>
            <w:tcBorders>
              <w:left w:val="single" w:sz="8" w:color="auto"/>
              <w:right w:val="single" w:sz="8" w:color="auto"/>
            </w:tcBorders>
            <w:vMerge w:val="continue"/>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State</w:t>
            </w: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7"/>
        </w:trPr>
        <w:tc>
          <w:tcPr>
            <w:tcW w:w="3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7"/>
                <w:szCs w:val="7"/>
                <w:b w:val="1"/>
                <w:bCs w:val="1"/>
                <w:color w:val="auto"/>
              </w:rPr>
              <w:t>#</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b w:val="1"/>
                <w:bCs w:val="1"/>
                <w:color w:val="auto"/>
              </w:rPr>
              <w:t>Name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b w:val="1"/>
                <w:bCs w:val="1"/>
                <w:color w:val="auto"/>
              </w:rPr>
              <w:t>#1</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rPr>
              <w:t>#2</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rPr>
              <w:t>Store City</w:t>
            </w:r>
          </w:p>
        </w:tc>
        <w:tc>
          <w:tcPr>
            <w:tcW w:w="32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rPr>
              <w:t>State</w:t>
            </w:r>
          </w:p>
        </w:tc>
        <w:tc>
          <w:tcPr>
            <w:tcW w:w="360" w:type="dxa"/>
            <w:vAlign w:val="bottom"/>
            <w:tcBorders>
              <w:right w:val="single" w:sz="8" w:color="auto"/>
            </w:tcBorders>
            <w:vMerge w:val="continue"/>
          </w:tcPr>
          <w:p>
            <w:pPr>
              <w:spacing w:after="0"/>
              <w:rPr>
                <w:sz w:val="4"/>
                <w:szCs w:val="4"/>
                <w:color w:val="auto"/>
              </w:rPr>
            </w:pPr>
          </w:p>
        </w:tc>
        <w:tc>
          <w:tcPr>
            <w:tcW w:w="1440" w:type="dxa"/>
            <w:vAlign w:val="bottom"/>
            <w:tcBorders>
              <w:right w:val="single" w:sz="8" w:color="auto"/>
            </w:tcBorders>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800" w:type="dxa"/>
            <w:vAlign w:val="bottom"/>
            <w:tcBorders>
              <w:left w:val="single" w:sz="8" w:color="auto"/>
              <w:right w:val="single" w:sz="8" w:color="auto"/>
            </w:tcBorders>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72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800" w:type="dxa"/>
            <w:vAlign w:val="bottom"/>
            <w:tcBorders>
              <w:bottom w:val="single" w:sz="8" w:color="auto"/>
              <w:right w:val="single" w:sz="8" w:color="auto"/>
            </w:tcBorders>
            <w:vMerge w:val="continue"/>
          </w:tcPr>
          <w:p>
            <w:pPr>
              <w:spacing w:after="0"/>
              <w:rPr>
                <w:sz w:val="5"/>
                <w:szCs w:val="5"/>
                <w:color w:val="auto"/>
              </w:rPr>
            </w:pPr>
          </w:p>
        </w:tc>
        <w:tc>
          <w:tcPr>
            <w:tcW w:w="800" w:type="dxa"/>
            <w:vAlign w:val="bottom"/>
            <w:tcBorders>
              <w:bottom w:val="single" w:sz="8" w:color="auto"/>
              <w:right w:val="single" w:sz="8" w:color="auto"/>
            </w:tcBorders>
            <w:vMerge w:val="continue"/>
          </w:tcPr>
          <w:p>
            <w:pPr>
              <w:spacing w:after="0"/>
              <w:rPr>
                <w:sz w:val="5"/>
                <w:szCs w:val="5"/>
                <w:color w:val="auto"/>
              </w:rPr>
            </w:pPr>
          </w:p>
        </w:tc>
        <w:tc>
          <w:tcPr>
            <w:tcW w:w="780" w:type="dxa"/>
            <w:vAlign w:val="bottom"/>
            <w:tcBorders>
              <w:bottom w:val="single" w:sz="8" w:color="auto"/>
              <w:right w:val="single" w:sz="8" w:color="auto"/>
            </w:tcBorders>
            <w:vMerge w:val="continue"/>
          </w:tcPr>
          <w:p>
            <w:pPr>
              <w:spacing w:after="0"/>
              <w:rPr>
                <w:sz w:val="5"/>
                <w:szCs w:val="5"/>
                <w:color w:val="auto"/>
              </w:rPr>
            </w:pPr>
          </w:p>
        </w:tc>
        <w:tc>
          <w:tcPr>
            <w:tcW w:w="780" w:type="dxa"/>
            <w:vAlign w:val="bottom"/>
            <w:tcBorders>
              <w:bottom w:val="single" w:sz="8" w:color="auto"/>
              <w:right w:val="single" w:sz="8" w:color="auto"/>
            </w:tcBorders>
            <w:vMerge w:val="continue"/>
          </w:tcPr>
          <w:p>
            <w:pPr>
              <w:spacing w:after="0"/>
              <w:rPr>
                <w:sz w:val="5"/>
                <w:szCs w:val="5"/>
                <w:color w:val="auto"/>
              </w:rPr>
            </w:pPr>
          </w:p>
        </w:tc>
        <w:tc>
          <w:tcPr>
            <w:tcW w:w="320" w:type="dxa"/>
            <w:vAlign w:val="bottom"/>
            <w:tcBorders>
              <w:bottom w:val="single" w:sz="8" w:color="auto"/>
              <w:right w:val="single" w:sz="8" w:color="auto"/>
            </w:tcBorders>
            <w:vMerge w:val="continue"/>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360" w:type="dxa"/>
            <w:vAlign w:val="bottom"/>
            <w:tcBorders>
              <w:left w:val="single" w:sz="8" w:color="auto"/>
              <w:right w:val="single" w:sz="8" w:color="auto"/>
            </w:tcBorders>
          </w:tcPr>
          <w:p>
            <w:pPr>
              <w:jc w:val="right"/>
              <w:ind w:right="44"/>
              <w:spacing w:after="0"/>
              <w:rPr>
                <w:sz w:val="20"/>
                <w:szCs w:val="20"/>
                <w:color w:val="auto"/>
              </w:rPr>
            </w:pPr>
            <w:r>
              <w:rPr>
                <w:rFonts w:ascii="Arial" w:cs="Arial" w:eastAsia="Arial" w:hAnsi="Arial"/>
                <w:sz w:val="7"/>
                <w:szCs w:val="7"/>
                <w:color w:val="auto"/>
              </w:rPr>
              <w:t>9491</w:t>
            </w:r>
          </w:p>
        </w:tc>
        <w:tc>
          <w:tcPr>
            <w:tcW w:w="800" w:type="dxa"/>
            <w:vAlign w:val="bottom"/>
            <w:tcBorders>
              <w:right w:val="single" w:sz="8" w:color="auto"/>
            </w:tcBorders>
          </w:tcPr>
          <w:p>
            <w:pPr>
              <w:ind w:left="100"/>
              <w:spacing w:after="0"/>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rPr>
                <w:sz w:val="20"/>
                <w:szCs w:val="20"/>
                <w:color w:val="auto"/>
              </w:rPr>
            </w:pPr>
            <w:r>
              <w:rPr>
                <w:rFonts w:ascii="Arial" w:cs="Arial" w:eastAsia="Arial" w:hAnsi="Arial"/>
                <w:sz w:val="7"/>
                <w:szCs w:val="7"/>
                <w:color w:val="auto"/>
              </w:rPr>
              <w:t>DADELAND POINT</w:t>
            </w:r>
          </w:p>
        </w:tc>
        <w:tc>
          <w:tcPr>
            <w:tcW w:w="780" w:type="dxa"/>
            <w:vAlign w:val="bottom"/>
            <w:tcBorders>
              <w:right w:val="single" w:sz="8" w:color="auto"/>
            </w:tcBorders>
          </w:tcPr>
          <w:p>
            <w:pPr>
              <w:ind w:left="60"/>
              <w:spacing w:after="0"/>
              <w:rPr>
                <w:sz w:val="20"/>
                <w:szCs w:val="20"/>
                <w:color w:val="auto"/>
              </w:rPr>
            </w:pPr>
            <w:r>
              <w:rPr>
                <w:rFonts w:ascii="Arial" w:cs="Arial" w:eastAsia="Arial" w:hAnsi="Arial"/>
                <w:sz w:val="7"/>
                <w:szCs w:val="7"/>
                <w:color w:val="auto"/>
              </w:rPr>
              <w:t>9492 SOUTH</w:t>
            </w:r>
          </w:p>
        </w:tc>
        <w:tc>
          <w:tcPr>
            <w:tcW w:w="780" w:type="dxa"/>
            <w:vAlign w:val="bottom"/>
            <w:tcBorders>
              <w:right w:val="single" w:sz="8" w:color="auto"/>
            </w:tcBorders>
          </w:tcPr>
          <w:p>
            <w:pPr>
              <w:ind w:left="60"/>
              <w:spacing w:after="0"/>
              <w:rPr>
                <w:sz w:val="20"/>
                <w:szCs w:val="20"/>
                <w:color w:val="auto"/>
              </w:rPr>
            </w:pPr>
            <w:r>
              <w:rPr>
                <w:rFonts w:ascii="Arial" w:cs="Arial" w:eastAsia="Arial" w:hAnsi="Arial"/>
                <w:sz w:val="7"/>
                <w:szCs w:val="7"/>
                <w:color w:val="auto"/>
              </w:rPr>
              <w:t>MIAMI</w:t>
            </w:r>
          </w:p>
        </w:tc>
        <w:tc>
          <w:tcPr>
            <w:tcW w:w="320" w:type="dxa"/>
            <w:vAlign w:val="bottom"/>
            <w:tcBorders>
              <w:right w:val="single" w:sz="8" w:color="auto"/>
            </w:tcBorders>
          </w:tcPr>
          <w:p>
            <w:pPr>
              <w:ind w:left="60"/>
              <w:spacing w:after="0"/>
              <w:rPr>
                <w:sz w:val="20"/>
                <w:szCs w:val="20"/>
                <w:color w:val="auto"/>
              </w:rPr>
            </w:pPr>
            <w:r>
              <w:rPr>
                <w:rFonts w:ascii="Arial" w:cs="Arial" w:eastAsia="Arial" w:hAnsi="Arial"/>
                <w:sz w:val="7"/>
                <w:szCs w:val="7"/>
                <w:color w:val="auto"/>
              </w:rPr>
              <w:t>FL</w:t>
            </w:r>
          </w:p>
        </w:tc>
        <w:tc>
          <w:tcPr>
            <w:tcW w:w="360" w:type="dxa"/>
            <w:vAlign w:val="bottom"/>
            <w:tcBorders>
              <w:right w:val="single" w:sz="8" w:color="auto"/>
            </w:tcBorders>
          </w:tcPr>
          <w:p>
            <w:pPr>
              <w:ind w:left="60"/>
              <w:spacing w:after="0"/>
              <w:rPr>
                <w:sz w:val="20"/>
                <w:szCs w:val="20"/>
                <w:color w:val="auto"/>
              </w:rPr>
            </w:pPr>
            <w:r>
              <w:rPr>
                <w:rFonts w:ascii="Arial" w:cs="Arial" w:eastAsia="Arial" w:hAnsi="Arial"/>
                <w:sz w:val="7"/>
                <w:szCs w:val="7"/>
                <w:color w:val="auto"/>
              </w:rPr>
              <w:t>33156</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DADELAND POINT, LLC</w:t>
            </w:r>
          </w:p>
        </w:tc>
        <w:tc>
          <w:tcPr>
            <w:tcW w:w="1020" w:type="dxa"/>
            <w:vAlign w:val="bottom"/>
            <w:tcBorders>
              <w:right w:val="single" w:sz="8" w:color="auto"/>
            </w:tcBorders>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7"/>
                <w:szCs w:val="7"/>
                <w:color w:val="auto"/>
              </w:rPr>
              <w:t>9241 SW 140</w:t>
            </w:r>
          </w:p>
        </w:tc>
        <w:tc>
          <w:tcPr>
            <w:tcW w:w="74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MIAMI</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FL</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33176</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305-252-7463</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DIXIE HIGHWAY</w:t>
            </w: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STREET</w:t>
            </w:r>
          </w:p>
        </w:tc>
        <w:tc>
          <w:tcPr>
            <w:tcW w:w="7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360" w:type="dxa"/>
            <w:vAlign w:val="bottom"/>
            <w:tcBorders>
              <w:left w:val="single" w:sz="8" w:color="auto"/>
              <w:right w:val="single" w:sz="8" w:color="auto"/>
            </w:tcBorders>
          </w:tcPr>
          <w:p>
            <w:pPr>
              <w:jc w:val="right"/>
              <w:ind w:right="44"/>
              <w:spacing w:after="0"/>
              <w:rPr>
                <w:sz w:val="20"/>
                <w:szCs w:val="20"/>
                <w:color w:val="auto"/>
              </w:rPr>
            </w:pPr>
            <w:r>
              <w:rPr>
                <w:rFonts w:ascii="Arial" w:cs="Arial" w:eastAsia="Arial" w:hAnsi="Arial"/>
                <w:sz w:val="7"/>
                <w:szCs w:val="7"/>
                <w:color w:val="auto"/>
              </w:rPr>
              <w:t>9494</w:t>
            </w:r>
          </w:p>
        </w:tc>
        <w:tc>
          <w:tcPr>
            <w:tcW w:w="800" w:type="dxa"/>
            <w:vAlign w:val="bottom"/>
            <w:tcBorders>
              <w:right w:val="single" w:sz="8" w:color="auto"/>
            </w:tcBorders>
          </w:tcPr>
          <w:p>
            <w:pPr>
              <w:ind w:left="100"/>
              <w:spacing w:after="0"/>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rPr>
                <w:sz w:val="20"/>
                <w:szCs w:val="20"/>
                <w:color w:val="auto"/>
              </w:rPr>
            </w:pPr>
            <w:r>
              <w:rPr>
                <w:rFonts w:ascii="Arial" w:cs="Arial" w:eastAsia="Arial" w:hAnsi="Arial"/>
                <w:sz w:val="7"/>
                <w:szCs w:val="7"/>
                <w:color w:val="auto"/>
              </w:rPr>
              <w:t>620 EAST</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rPr>
                <w:sz w:val="20"/>
                <w:szCs w:val="20"/>
                <w:color w:val="auto"/>
              </w:rPr>
            </w:pPr>
            <w:r>
              <w:rPr>
                <w:rFonts w:ascii="Arial" w:cs="Arial" w:eastAsia="Arial" w:hAnsi="Arial"/>
                <w:sz w:val="7"/>
                <w:szCs w:val="7"/>
                <w:color w:val="auto"/>
              </w:rPr>
              <w:t>ALTAMONTE</w:t>
            </w:r>
          </w:p>
        </w:tc>
        <w:tc>
          <w:tcPr>
            <w:tcW w:w="320" w:type="dxa"/>
            <w:vAlign w:val="bottom"/>
            <w:tcBorders>
              <w:right w:val="single" w:sz="8" w:color="auto"/>
            </w:tcBorders>
          </w:tcPr>
          <w:p>
            <w:pPr>
              <w:ind w:left="60"/>
              <w:spacing w:after="0"/>
              <w:rPr>
                <w:sz w:val="20"/>
                <w:szCs w:val="20"/>
                <w:color w:val="auto"/>
              </w:rPr>
            </w:pPr>
            <w:r>
              <w:rPr>
                <w:rFonts w:ascii="Arial" w:cs="Arial" w:eastAsia="Arial" w:hAnsi="Arial"/>
                <w:sz w:val="7"/>
                <w:szCs w:val="7"/>
                <w:color w:val="auto"/>
              </w:rPr>
              <w:t>FL</w:t>
            </w:r>
          </w:p>
        </w:tc>
        <w:tc>
          <w:tcPr>
            <w:tcW w:w="360" w:type="dxa"/>
            <w:vAlign w:val="bottom"/>
            <w:tcBorders>
              <w:right w:val="single" w:sz="8" w:color="auto"/>
            </w:tcBorders>
          </w:tcPr>
          <w:p>
            <w:pPr>
              <w:spacing w:after="0"/>
              <w:rPr>
                <w:sz w:val="6"/>
                <w:szCs w:val="6"/>
                <w:color w:val="auto"/>
              </w:rPr>
            </w:pP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SPECIALTEE GOLF OF FLORIDA INC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7"/>
                <w:szCs w:val="7"/>
                <w:color w:val="auto"/>
              </w:rPr>
              <w:t>4071 S. ATLANTIC</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305</w:t>
            </w:r>
          </w:p>
        </w:tc>
        <w:tc>
          <w:tcPr>
            <w:tcW w:w="780" w:type="dxa"/>
            <w:vAlign w:val="bottom"/>
            <w:tcBorders>
              <w:right w:val="single" w:sz="8" w:color="auto"/>
            </w:tcBorders>
          </w:tcPr>
          <w:p>
            <w:pPr>
              <w:spacing w:after="0"/>
              <w:rPr>
                <w:sz w:val="20"/>
                <w:szCs w:val="20"/>
                <w:color w:val="auto"/>
              </w:rPr>
            </w:pPr>
            <w:r>
              <w:rPr>
                <w:rFonts w:ascii="Arial" w:cs="Arial" w:eastAsia="Arial" w:hAnsi="Arial"/>
                <w:sz w:val="7"/>
                <w:szCs w:val="7"/>
                <w:color w:val="auto"/>
              </w:rPr>
              <w:t>NEW SMYRNA</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FL</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32169</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4074-758-7849</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ALTAMONTE</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SPRINGS</w:t>
            </w: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AVE</w:t>
            </w:r>
          </w:p>
        </w:tc>
        <w:tc>
          <w:tcPr>
            <w:tcW w:w="74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BEACH</w:t>
            </w: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9500</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2403 S.</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LEWISVILLE</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TX</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75067</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RJR VISTA GROVE,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1180 S. BEVERLY</w:t>
            </w:r>
          </w:p>
        </w:tc>
        <w:tc>
          <w:tcPr>
            <w:tcW w:w="7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LOS ANGELES</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CA</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90035</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424-284-7784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STEMMONS</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DRIVE, SUITE 700</w:t>
            </w:r>
          </w:p>
        </w:tc>
        <w:tc>
          <w:tcPr>
            <w:tcW w:w="7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9501</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1414 E.</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SPRINGFIELD</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MO</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65804-</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MD DEVELOPMENT CO.</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C/O MCLOUD &amp; CO.,</w:t>
            </w:r>
          </w:p>
        </w:tc>
        <w:tc>
          <w:tcPr>
            <w:tcW w:w="74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1949 E. SUNSHINE,</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SPRINGFIELD</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MO</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65804</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(417) 882-6000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BATTLEFIELD</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LLC</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1-106</w:t>
            </w: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4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9502</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BIRCH RUN</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8825</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BIRCH RUN</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MI</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48415</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BIRCH RUN OUTLETS II, LLC</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PREMIUM OUTLETS</w:t>
            </w: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SIMON PROPERTY GROUP</w:t>
            </w:r>
          </w:p>
        </w:tc>
        <w:tc>
          <w:tcPr>
            <w:tcW w:w="80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BIRCH RUN</w:t>
            </w:r>
          </w:p>
        </w:tc>
        <w:tc>
          <w:tcPr>
            <w:tcW w:w="74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225 WEST</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INDIANAPOLIS</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IN</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46204-3438</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(317) 636-1600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PREMIUM</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MARKETPLACE</w:t>
            </w: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vMerge w:val="continue"/>
          </w:tcPr>
          <w:p>
            <w:pPr>
              <w:spacing w:after="0"/>
              <w:rPr>
                <w:sz w:val="3"/>
                <w:szCs w:val="3"/>
                <w:color w:val="auto"/>
              </w:rPr>
            </w:pPr>
          </w:p>
        </w:tc>
        <w:tc>
          <w:tcPr>
            <w:tcW w:w="8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PREMIUM OUTLETS</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WASHINGTON</w:t>
            </w: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4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9505</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4601</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RALEIGH</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NC</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27612</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SDC GLENWOOD PLACE,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SDC LEASING &amp;</w:t>
            </w:r>
          </w:p>
        </w:tc>
        <w:tc>
          <w:tcPr>
            <w:tcW w:w="8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405 N. LAMAR BLVD</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200</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AUSTIN</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TX</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78703</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512-472-7774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CREEDMOOR</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MANAGMENT SERVICES</w:t>
            </w:r>
          </w:p>
        </w:tc>
        <w:tc>
          <w:tcPr>
            <w:tcW w:w="8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9507</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3514 W. GENESEE</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SYRACUSE</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NY</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13219-</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IRWIN &amp; ANN KLEIN</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THE SUTTON CO.</w:t>
            </w:r>
          </w:p>
        </w:tc>
        <w:tc>
          <w:tcPr>
            <w:tcW w:w="74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525 PLUM STREET,</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SYRACUSE</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NY</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13204</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(315) 424-1111</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ST.</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100</w:t>
            </w: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9509</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2091 WEST</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ANNAPOLIS</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MD</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21401-</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2091 WEST STREET ANNAPOLIS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8823 BELMART</w:t>
            </w:r>
          </w:p>
        </w:tc>
        <w:tc>
          <w:tcPr>
            <w:tcW w:w="7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POTOMAC</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MD</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20854</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301-682-8504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STREET PAROLE</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ROAD</w:t>
            </w:r>
          </w:p>
        </w:tc>
        <w:tc>
          <w:tcPr>
            <w:tcW w:w="7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9513</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815 GOUCHER</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TOWSON</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MD</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21286</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URBAN EDGE PROPERTIES</w:t>
            </w:r>
          </w:p>
        </w:tc>
        <w:tc>
          <w:tcPr>
            <w:tcW w:w="102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CHIEF OPERATING</w:t>
            </w: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TOWSON UE LLC</w:t>
            </w:r>
          </w:p>
        </w:tc>
        <w:tc>
          <w:tcPr>
            <w:tcW w:w="80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URBAN EDGE</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210 ROUTE 4 EAST</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PARAMUS</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NJ</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7652</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201-571-3581</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BLVD.</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OFFICER</w:t>
            </w:r>
          </w:p>
        </w:tc>
        <w:tc>
          <w:tcPr>
            <w:tcW w:w="1040" w:type="dxa"/>
            <w:vAlign w:val="bottom"/>
            <w:tcBorders>
              <w:right w:val="single" w:sz="8" w:color="auto"/>
            </w:tcBorders>
            <w:vMerge w:val="continue"/>
          </w:tcPr>
          <w:p>
            <w:pPr>
              <w:spacing w:after="0"/>
              <w:rPr>
                <w:sz w:val="3"/>
                <w:szCs w:val="3"/>
                <w:color w:val="auto"/>
              </w:rPr>
            </w:pPr>
          </w:p>
        </w:tc>
        <w:tc>
          <w:tcPr>
            <w:tcW w:w="8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PROPERTIES</w:t>
            </w:r>
          </w:p>
        </w:tc>
        <w:tc>
          <w:tcPr>
            <w:tcW w:w="74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vMerge w:val="continue"/>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9521</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3435</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AUGUSTA</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GA</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30909-</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RICHMOND STATION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11501 NORTHLAKE</w:t>
            </w:r>
          </w:p>
        </w:tc>
        <w:tc>
          <w:tcPr>
            <w:tcW w:w="7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CINCINNATI</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OH</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45249</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513-554-1110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WRIGHTSBORO</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DRIVE</w:t>
            </w:r>
          </w:p>
        </w:tc>
        <w:tc>
          <w:tcPr>
            <w:tcW w:w="7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9524</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3558 SOUTH</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OCALA</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FL</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34474-</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CLARUS PLAZA,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5015 SE 7TH AVE</w:t>
            </w:r>
          </w:p>
        </w:tc>
        <w:tc>
          <w:tcPr>
            <w:tcW w:w="7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OCALA</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FL</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34480</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352-572-0463</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WEST COLLEGE</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9526</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Riverchase</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1723 Montgomery</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BIRMINGHAM</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AL</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35244-</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G&amp;I VIII RIVERCHASE LP</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RCG VENTURES I, LLC</w:t>
            </w:r>
          </w:p>
        </w:tc>
        <w:tc>
          <w:tcPr>
            <w:tcW w:w="8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P.O.BOX:53483</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ATLANTA</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GA</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30355</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404-816-5454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Promenade</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Hwy Suite 111</w:t>
            </w: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1215</w:t>
            </w: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vMerge w:val="continue"/>
          </w:tcPr>
          <w:p>
            <w:pPr>
              <w:spacing w:after="0"/>
              <w:rPr>
                <w:sz w:val="3"/>
                <w:szCs w:val="3"/>
                <w:color w:val="auto"/>
              </w:rPr>
            </w:pPr>
          </w:p>
        </w:tc>
        <w:tc>
          <w:tcPr>
            <w:tcW w:w="8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vMerge w:val="continue"/>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9527</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Diamond Retail</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523 S. Gammon</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Madison</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WI</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53719</w:t>
            </w:r>
          </w:p>
        </w:tc>
        <w:tc>
          <w:tcPr>
            <w:tcW w:w="1440" w:type="dxa"/>
            <w:vAlign w:val="bottom"/>
            <w:tcBorders>
              <w:right w:val="single" w:sz="8" w:color="auto"/>
            </w:tcBorders>
          </w:tcPr>
          <w:p>
            <w:pPr>
              <w:ind w:left="20"/>
              <w:spacing w:after="0" w:line="76" w:lineRule="exact"/>
              <w:rPr>
                <w:sz w:val="20"/>
                <w:szCs w:val="20"/>
                <w:color w:val="auto"/>
              </w:rPr>
            </w:pPr>
            <w:r>
              <w:rPr>
                <w:rFonts w:ascii="Arial" w:cs="Arial" w:eastAsia="Arial" w:hAnsi="Arial"/>
                <w:sz w:val="7"/>
                <w:szCs w:val="7"/>
                <w:color w:val="auto"/>
              </w:rPr>
              <w:t>CH RETAIL FUND I/GAMMON ROAD,</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MID-AMERICAN REAL</w:t>
            </w:r>
          </w:p>
        </w:tc>
        <w:tc>
          <w:tcPr>
            <w:tcW w:w="80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MID AMERICA REAL</w:t>
            </w:r>
          </w:p>
        </w:tc>
        <w:tc>
          <w:tcPr>
            <w:tcW w:w="74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600 N PLANKINTON</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MILWAUKEE</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WI</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53203</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414-273-4600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Center</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Road</w:t>
            </w: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LLC</w:t>
            </w: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ESTATE-WISCONSIN, LLC</w:t>
            </w:r>
          </w:p>
        </w:tc>
        <w:tc>
          <w:tcPr>
            <w:tcW w:w="8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ESTATE -</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AVE, SUITE 301</w:t>
            </w: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vMerge w:val="continue"/>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4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9529</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300 TANGER</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BRANSON</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MO</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65616</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TANGER PROPERTIES LP</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LEGAL DEPT</w:t>
            </w:r>
          </w:p>
        </w:tc>
        <w:tc>
          <w:tcPr>
            <w:tcW w:w="104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TANGER</w:t>
            </w:r>
          </w:p>
        </w:tc>
        <w:tc>
          <w:tcPr>
            <w:tcW w:w="74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3200 NORTHLINE</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GREENSBORO</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NC</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27408</w:t>
            </w:r>
          </w:p>
        </w:tc>
        <w:tc>
          <w:tcPr>
            <w:tcW w:w="72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OUTLET CENTER</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PROPERTIES LP</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AVE SUITE 360</w:t>
            </w: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4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9534</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936 ROUTE 22</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SOMERVILLE</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NJ</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08876-</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STRATIS CORP</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PARK &amp; MOUNTAIN</w:t>
            </w:r>
          </w:p>
        </w:tc>
        <w:tc>
          <w:tcPr>
            <w:tcW w:w="7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SCOTCH PLAINS</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NJ</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7076</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(908) 322-7726</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EAST</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AVENUES</w:t>
            </w:r>
          </w:p>
        </w:tc>
        <w:tc>
          <w:tcPr>
            <w:tcW w:w="7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9540</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116 WEST 23RD</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NEW YORK</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NY</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10010</w:t>
            </w:r>
          </w:p>
        </w:tc>
        <w:tc>
          <w:tcPr>
            <w:tcW w:w="1440" w:type="dxa"/>
            <w:vAlign w:val="bottom"/>
            <w:tcBorders>
              <w:right w:val="single" w:sz="8" w:color="auto"/>
            </w:tcBorders>
          </w:tcPr>
          <w:p>
            <w:pPr>
              <w:ind w:left="20"/>
              <w:spacing w:after="0" w:line="76" w:lineRule="exact"/>
              <w:rPr>
                <w:sz w:val="20"/>
                <w:szCs w:val="20"/>
                <w:color w:val="auto"/>
              </w:rPr>
            </w:pPr>
            <w:r>
              <w:rPr>
                <w:rFonts w:ascii="Arial" w:cs="Arial" w:eastAsia="Arial" w:hAnsi="Arial"/>
                <w:sz w:val="7"/>
                <w:szCs w:val="7"/>
                <w:color w:val="auto"/>
              </w:rPr>
              <w:t>MAJESTIC RAYON CORP &amp; CUDGE</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116 WEST 23RD</w:t>
            </w:r>
          </w:p>
        </w:tc>
        <w:tc>
          <w:tcPr>
            <w:tcW w:w="7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NEW YORK</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NY</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10011</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212-242-3300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STREET (A/K/A</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REALTY LLC AS JV</w:t>
            </w: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STREET, 4TH FLOOR</w:t>
            </w:r>
          </w:p>
        </w:tc>
        <w:tc>
          <w:tcPr>
            <w:tcW w:w="7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vMerge w:val="continue"/>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9541</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13001 West</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Sunrise</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FL</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33323</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FVP SAWGRASS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AZOR ADVISORY</w:t>
            </w:r>
          </w:p>
        </w:tc>
        <w:tc>
          <w:tcPr>
            <w:tcW w:w="80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4611 SOUTH</w:t>
            </w:r>
          </w:p>
        </w:tc>
        <w:tc>
          <w:tcPr>
            <w:tcW w:w="7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DAVIE</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FL</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33328</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954-615-0615</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Sunrise Boulevard</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SERVICES, INC</w:t>
            </w:r>
          </w:p>
        </w:tc>
        <w:tc>
          <w:tcPr>
            <w:tcW w:w="8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UNIVERSITY DRIVE</w:t>
            </w:r>
          </w:p>
        </w:tc>
        <w:tc>
          <w:tcPr>
            <w:tcW w:w="7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9545</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4217 SOUTH</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TYLER</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TX</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75701-</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NOLAN E. AND PAUL MANZIEL</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P.O. BOX 6005</w:t>
            </w:r>
          </w:p>
        </w:tc>
        <w:tc>
          <w:tcPr>
            <w:tcW w:w="74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110 WEST EIGHT</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TYLER</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TX</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75711</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(903) 592-4315</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BROADWAY AVE</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ST</w:t>
            </w: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9551</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3196 NORTH</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LAUDERDALE</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FL</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33319-</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REEF PLAZA,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DACAR</w:t>
            </w:r>
          </w:p>
        </w:tc>
        <w:tc>
          <w:tcPr>
            <w:tcW w:w="74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336 EAST DANIA</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DANIA BEACH</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FL</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33004</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(954) 927-4885</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STATE ROAD</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LAKES</w:t>
            </w: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MANAGEMENT, LLC</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BEACH BLVD</w:t>
            </w: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4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9554</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1170 WEST</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FREDERICK</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MD</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21702-</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ROUTE 40 LP</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ROBERT BEGELMAN-</w:t>
            </w:r>
          </w:p>
        </w:tc>
        <w:tc>
          <w:tcPr>
            <w:tcW w:w="74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15942 SHADY</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GAITERSBURG</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MD</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20877</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(301) 921-8777</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PATRICK ST. S.</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C/O</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GROVE ROAD</w:t>
            </w: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4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9566</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5732 MCWHINNEY</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LOVELAND</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CO</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80538-</w:t>
            </w:r>
          </w:p>
        </w:tc>
        <w:tc>
          <w:tcPr>
            <w:tcW w:w="1440" w:type="dxa"/>
            <w:vAlign w:val="bottom"/>
            <w:tcBorders>
              <w:right w:val="single" w:sz="8" w:color="auto"/>
            </w:tcBorders>
          </w:tcPr>
          <w:p>
            <w:pPr>
              <w:ind w:left="20"/>
              <w:spacing w:after="0" w:line="76" w:lineRule="exact"/>
              <w:rPr>
                <w:sz w:val="20"/>
                <w:szCs w:val="20"/>
                <w:color w:val="auto"/>
              </w:rPr>
            </w:pPr>
            <w:r>
              <w:rPr>
                <w:rFonts w:ascii="Arial" w:cs="Arial" w:eastAsia="Arial" w:hAnsi="Arial"/>
                <w:sz w:val="7"/>
                <w:szCs w:val="7"/>
                <w:color w:val="auto"/>
              </w:rPr>
              <w:t>CRAIG REALTY GROUP-LOVELAND,</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ATTN:MANAGER-</w:t>
            </w:r>
          </w:p>
        </w:tc>
        <w:tc>
          <w:tcPr>
            <w:tcW w:w="74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4100 MACARTHUR,</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NEWPORT BEACH</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CA</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92660</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(949) 224-4100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STORE, LLC</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BOULEVARD #E-</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LLC</w:t>
            </w: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LEASE</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200</w:t>
            </w: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vMerge w:val="continue"/>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4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9567</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2110 WEST INTL.</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DAYTONA BEACH</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FL</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32114-</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RICHARD J. SCHILDHORN, TRUSTEE</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C/O SRA</w:t>
            </w:r>
          </w:p>
        </w:tc>
        <w:tc>
          <w:tcPr>
            <w:tcW w:w="74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4140 N.W. 60TH</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BOCA RATON</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FL</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33496</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(561) 912-9209</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SPEEDWAY</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INVESTMENTS, INC.</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CIRCLE</w:t>
            </w: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4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9568</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64 TUNNEL ROAD</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ASHEVILLE</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NC</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28805-</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ASHLINA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222 GRAND</w:t>
            </w:r>
          </w:p>
        </w:tc>
        <w:tc>
          <w:tcPr>
            <w:tcW w:w="7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ENGLEWOOD</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NJ</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7631</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201-569-2271</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AVENUE</w:t>
            </w:r>
          </w:p>
        </w:tc>
        <w:tc>
          <w:tcPr>
            <w:tcW w:w="7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9571</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8115 FACTORY</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JEFFERSONVILLE</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OH</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43128</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TANGER JEFFERSONVILLE,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ATTN: LEGAL</w:t>
            </w:r>
          </w:p>
        </w:tc>
        <w:tc>
          <w:tcPr>
            <w:tcW w:w="74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3200 NORTHLINE</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GREENSBORO</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NC</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27408</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(336) 292-3010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STORE, LLC</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SHOPS BLVD</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DEPARTMENT</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AVE., SUITE 360</w:t>
            </w: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4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9573</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1470 PLEASANT</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MANCHESTER</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CT</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6042</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PLAZA AT BUCKHILLS, LLC</w:t>
            </w:r>
          </w:p>
        </w:tc>
        <w:tc>
          <w:tcPr>
            <w:tcW w:w="102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SENIOR LEASING</w:t>
            </w:r>
          </w:p>
        </w:tc>
        <w:tc>
          <w:tcPr>
            <w:tcW w:w="104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WASHINGTON</w:t>
            </w:r>
          </w:p>
        </w:tc>
        <w:tc>
          <w:tcPr>
            <w:tcW w:w="74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111 MONUMENT</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INDIANAPOLIS</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IN</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46204</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(317) 636-1600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VALLEY ROAD</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COUNSEL</w:t>
            </w:r>
          </w:p>
        </w:tc>
        <w:tc>
          <w:tcPr>
            <w:tcW w:w="104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PRIME GROUP INC</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CIRCLE, SUITE</w:t>
            </w: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vMerge w:val="continue"/>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4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9576</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11747 NORTH</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EDINBURGH</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IN</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46124</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PREMIUM OUTLET PARTNERS, LP</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PREMIUM OUTLETS</w:t>
            </w: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SIMON PROPERTY GROUP</w:t>
            </w:r>
          </w:p>
        </w:tc>
        <w:tc>
          <w:tcPr>
            <w:tcW w:w="80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EDINBURGH</w:t>
            </w:r>
          </w:p>
        </w:tc>
        <w:tc>
          <w:tcPr>
            <w:tcW w:w="74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225</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INDIANAPOLIS</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IN</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46204</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973-364-6526</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EXECUTIVE DRIVE</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vMerge w:val="continue"/>
          </w:tcPr>
          <w:p>
            <w:pPr>
              <w:spacing w:after="0"/>
              <w:rPr>
                <w:sz w:val="3"/>
                <w:szCs w:val="3"/>
                <w:color w:val="auto"/>
              </w:rPr>
            </w:pPr>
          </w:p>
        </w:tc>
        <w:tc>
          <w:tcPr>
            <w:tcW w:w="8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PREMIUM OUTLETS</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W.WASHINGTON</w:t>
            </w: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4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9581</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4710-B</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HUNTSVILLE</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AL</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35816</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BROOKHILL MANAGEMENT CORP.</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501 MADISON</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18TH FLOOR</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NEW YORK</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NY</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10022</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(212) 753-3123</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UNIVERSITY</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AVENUE</w:t>
            </w:r>
          </w:p>
        </w:tc>
        <w:tc>
          <w:tcPr>
            <w:tcW w:w="74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9582</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Tyson's Corner</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8027 Leesburg</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VIENNA</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VA</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22182</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ROCKS TYSONS TWO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ALLEN &amp; ROCKS, INC</w:t>
            </w:r>
          </w:p>
        </w:tc>
        <w:tc>
          <w:tcPr>
            <w:tcW w:w="80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1960 GALLOWS</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300</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VIENNA</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VA</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22182</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703-556-4000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Pike</w:t>
            </w: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vMerge w:val="continue"/>
          </w:tcPr>
          <w:p>
            <w:pPr>
              <w:spacing w:after="0"/>
              <w:rPr>
                <w:sz w:val="3"/>
                <w:szCs w:val="3"/>
                <w:color w:val="auto"/>
              </w:rPr>
            </w:pPr>
          </w:p>
        </w:tc>
        <w:tc>
          <w:tcPr>
            <w:tcW w:w="8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ROAD</w:t>
            </w:r>
          </w:p>
        </w:tc>
        <w:tc>
          <w:tcPr>
            <w:tcW w:w="74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9585</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1475 NORTH</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HOWELL</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MI</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48855</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TANGER PROPERTIES LP</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LEGAL DEPT</w:t>
            </w:r>
          </w:p>
        </w:tc>
        <w:tc>
          <w:tcPr>
            <w:tcW w:w="104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3200 NORTHLINE</w:t>
            </w:r>
          </w:p>
        </w:tc>
        <w:tc>
          <w:tcPr>
            <w:tcW w:w="7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GREENSBORO</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NC</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27408</w:t>
            </w:r>
          </w:p>
        </w:tc>
        <w:tc>
          <w:tcPr>
            <w:tcW w:w="72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BURKHART RD.</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AVE, SUITE 360</w:t>
            </w:r>
          </w:p>
        </w:tc>
        <w:tc>
          <w:tcPr>
            <w:tcW w:w="7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9588</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655 ROUTE 318</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WATERLOO</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NY</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13165</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WATERLOO PREMIUM OUTLETS, LLC</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PREMIUM OUTLETS</w:t>
            </w: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SIMON PROPERTY GROUP</w:t>
            </w:r>
          </w:p>
        </w:tc>
        <w:tc>
          <w:tcPr>
            <w:tcW w:w="80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225 W.</w:t>
            </w:r>
          </w:p>
        </w:tc>
        <w:tc>
          <w:tcPr>
            <w:tcW w:w="7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INDIANAPOLIS</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IN</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46204</w:t>
            </w:r>
          </w:p>
        </w:tc>
        <w:tc>
          <w:tcPr>
            <w:tcW w:w="72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STE. A005</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vMerge w:val="continue"/>
          </w:tcPr>
          <w:p>
            <w:pPr>
              <w:spacing w:after="0"/>
              <w:rPr>
                <w:sz w:val="3"/>
                <w:szCs w:val="3"/>
                <w:color w:val="auto"/>
              </w:rPr>
            </w:pPr>
          </w:p>
        </w:tc>
        <w:tc>
          <w:tcPr>
            <w:tcW w:w="8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WASHINGTON</w:t>
            </w:r>
          </w:p>
        </w:tc>
        <w:tc>
          <w:tcPr>
            <w:tcW w:w="7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9589</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1919 VALLEY</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ROANOKE</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VA</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24012</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POE &amp; CRONK REAL ESTATE GROUP</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1200 WELLS FARGO</w:t>
            </w:r>
          </w:p>
        </w:tc>
        <w:tc>
          <w:tcPr>
            <w:tcW w:w="74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10 S. JEFFERSON</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ROANOKE</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VA</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24011</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540-982-2444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VIEW BLVD. NW</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TOWER</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STREET</w:t>
            </w: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4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9595</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1039 EAST</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JACKSON</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MS</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39211</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BRIXMOR COUNTY LINE LLC</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GENERAL COUNSEL</w:t>
            </w:r>
          </w:p>
        </w:tc>
        <w:tc>
          <w:tcPr>
            <w:tcW w:w="104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BRIXMOR PROPERTY</w:t>
            </w:r>
          </w:p>
        </w:tc>
        <w:tc>
          <w:tcPr>
            <w:tcW w:w="80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450 LEXINGTON</w:t>
            </w:r>
          </w:p>
        </w:tc>
        <w:tc>
          <w:tcPr>
            <w:tcW w:w="7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NEW YORK</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NY</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10170</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610-825-7100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COUNTY LINE</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GROUP</w:t>
            </w:r>
          </w:p>
        </w:tc>
        <w:tc>
          <w:tcPr>
            <w:tcW w:w="8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AVE., 13TH FL</w:t>
            </w:r>
          </w:p>
        </w:tc>
        <w:tc>
          <w:tcPr>
            <w:tcW w:w="7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9598</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1757 94TH DRIVE</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VERO BEACH</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FL</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32966</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TSO VERO BEACH, LP</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ACCOUNTING OFFICE</w:t>
            </w:r>
          </w:p>
        </w:tc>
        <w:tc>
          <w:tcPr>
            <w:tcW w:w="104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THE SIMPSON</w:t>
            </w:r>
          </w:p>
        </w:tc>
        <w:tc>
          <w:tcPr>
            <w:tcW w:w="80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C/O THE SIMPSON</w:t>
            </w:r>
          </w:p>
        </w:tc>
        <w:tc>
          <w:tcPr>
            <w:tcW w:w="74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1170 PEACHTREE</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ATLANTA</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GA</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30309</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404-872-3990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ORGANIZATION</w:t>
            </w:r>
          </w:p>
        </w:tc>
        <w:tc>
          <w:tcPr>
            <w:tcW w:w="8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ORGANIZATION,</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STREET, NE, SUITE</w:t>
            </w: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4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9605</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TANGER OUTLET</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120 LACONIA RD,</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TILTON</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NH</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3276</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COROC/LAKES REGION LLC</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LEGAL DEPT</w:t>
            </w:r>
          </w:p>
        </w:tc>
        <w:tc>
          <w:tcPr>
            <w:tcW w:w="104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3200 NORTHLINE</w:t>
            </w:r>
          </w:p>
        </w:tc>
        <w:tc>
          <w:tcPr>
            <w:tcW w:w="7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GREENSBORO</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NC</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27408</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336-292-3010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STORE, LLC</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CENTER</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STE. 311</w:t>
            </w: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AVE., SUITE 360</w:t>
            </w:r>
          </w:p>
        </w:tc>
        <w:tc>
          <w:tcPr>
            <w:tcW w:w="7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9615</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4015 INTERSTATE</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SAN MARCOS</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TX</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78666</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TANGER SAN MARC, LLC</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LEGAL DEPARTMENT</w:t>
            </w:r>
          </w:p>
        </w:tc>
        <w:tc>
          <w:tcPr>
            <w:tcW w:w="104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3200 NORTHLINE</w:t>
            </w:r>
          </w:p>
        </w:tc>
        <w:tc>
          <w:tcPr>
            <w:tcW w:w="7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GREENSBORO</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NC</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27408</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336-292-3010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HWY. 35 STE. 214</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AVENUE, SUITE 360</w:t>
            </w:r>
          </w:p>
        </w:tc>
        <w:tc>
          <w:tcPr>
            <w:tcW w:w="7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9616</w:t>
            </w:r>
          </w:p>
        </w:tc>
        <w:tc>
          <w:tcPr>
            <w:tcW w:w="800" w:type="dxa"/>
            <w:vAlign w:val="bottom"/>
            <w:tcBorders>
              <w:right w:val="single" w:sz="8" w:color="auto"/>
            </w:tcBorders>
          </w:tcPr>
          <w:p>
            <w:pPr>
              <w:ind w:left="100"/>
              <w:spacing w:after="0" w:line="76"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800 STEVEN B.</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COMMERCE</w:t>
            </w:r>
          </w:p>
        </w:tc>
        <w:tc>
          <w:tcPr>
            <w:tcW w:w="32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GA</w:t>
            </w:r>
          </w:p>
        </w:tc>
        <w:tc>
          <w:tcPr>
            <w:tcW w:w="3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30529</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TANGER PROPERTIES LP</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LEGAL DEPT</w:t>
            </w:r>
          </w:p>
        </w:tc>
        <w:tc>
          <w:tcPr>
            <w:tcW w:w="104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3200 NORTHLINE</w:t>
            </w:r>
          </w:p>
        </w:tc>
        <w:tc>
          <w:tcPr>
            <w:tcW w:w="7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GREENSBORO</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NC</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27408</w:t>
            </w:r>
          </w:p>
        </w:tc>
        <w:tc>
          <w:tcPr>
            <w:tcW w:w="72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TANGER BLVD</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AVE, SUITE 360</w:t>
            </w:r>
          </w:p>
        </w:tc>
        <w:tc>
          <w:tcPr>
            <w:tcW w:w="7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vMerge w:val="continue"/>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9"/>
        </w:trPr>
        <w:tc>
          <w:tcPr>
            <w:tcW w:w="3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20" w:right="179" w:bottom="1440" w:gutter="0" w:footer="0" w:header="0"/>
        </w:sectPr>
      </w:pPr>
    </w:p>
    <w:bookmarkStart w:id="162" w:name="page163"/>
    <w:bookmarkEnd w:id="162"/>
    <w:tbl>
      <w:tblPr>
        <w:tblLayout w:type="fixed"/>
        <w:tblInd w:w="10" w:type="dxa"/>
        <w:tblCellMar>
          <w:top w:w="0" w:type="dxa"/>
          <w:left w:w="0" w:type="dxa"/>
          <w:bottom w:w="0" w:type="dxa"/>
          <w:right w:w="0" w:type="dxa"/>
        </w:tblCellMar>
      </w:tblPr>
      <w:tr>
        <w:trPr>
          <w:trHeight w:val="81"/>
        </w:trPr>
        <w:tc>
          <w:tcPr>
            <w:tcW w:w="360" w:type="dxa"/>
            <w:vAlign w:val="bottom"/>
            <w:tcBorders>
              <w:top w:val="single" w:sz="8" w:color="auto"/>
              <w:left w:val="single" w:sz="8" w:color="auto"/>
              <w:right w:val="single" w:sz="8" w:color="auto"/>
            </w:tcBorders>
          </w:tcPr>
          <w:p>
            <w:pPr>
              <w:spacing w:after="0"/>
              <w:rPr>
                <w:sz w:val="7"/>
                <w:szCs w:val="7"/>
                <w:color w:val="auto"/>
              </w:rPr>
            </w:pPr>
          </w:p>
        </w:tc>
        <w:tc>
          <w:tcPr>
            <w:tcW w:w="780" w:type="dxa"/>
            <w:vAlign w:val="bottom"/>
            <w:tcBorders>
              <w:top w:val="single" w:sz="8" w:color="auto"/>
              <w:right w:val="single" w:sz="8" w:color="auto"/>
            </w:tcBorders>
          </w:tcPr>
          <w:p>
            <w:pPr>
              <w:spacing w:after="0"/>
              <w:rPr>
                <w:sz w:val="7"/>
                <w:szCs w:val="7"/>
                <w:color w:val="auto"/>
              </w:rPr>
            </w:pPr>
          </w:p>
        </w:tc>
        <w:tc>
          <w:tcPr>
            <w:tcW w:w="780" w:type="dxa"/>
            <w:vAlign w:val="bottom"/>
            <w:tcBorders>
              <w:top w:val="single" w:sz="8" w:color="auto"/>
              <w:right w:val="single" w:sz="8" w:color="auto"/>
            </w:tcBorders>
          </w:tcPr>
          <w:p>
            <w:pPr>
              <w:spacing w:after="0"/>
              <w:rPr>
                <w:sz w:val="7"/>
                <w:szCs w:val="7"/>
                <w:color w:val="auto"/>
              </w:rPr>
            </w:pPr>
          </w:p>
        </w:tc>
        <w:tc>
          <w:tcPr>
            <w:tcW w:w="780" w:type="dxa"/>
            <w:vAlign w:val="bottom"/>
            <w:tcBorders>
              <w:top w:val="single" w:sz="8" w:color="auto"/>
              <w:right w:val="single" w:sz="8" w:color="auto"/>
            </w:tcBorders>
          </w:tcPr>
          <w:p>
            <w:pPr>
              <w:spacing w:after="0"/>
              <w:rPr>
                <w:sz w:val="7"/>
                <w:szCs w:val="7"/>
                <w:color w:val="auto"/>
              </w:rPr>
            </w:pPr>
          </w:p>
        </w:tc>
        <w:tc>
          <w:tcPr>
            <w:tcW w:w="780" w:type="dxa"/>
            <w:vAlign w:val="bottom"/>
            <w:tcBorders>
              <w:top w:val="single" w:sz="8" w:color="auto"/>
              <w:right w:val="single" w:sz="8" w:color="auto"/>
            </w:tcBorders>
          </w:tcPr>
          <w:p>
            <w:pPr>
              <w:spacing w:after="0"/>
              <w:rPr>
                <w:sz w:val="7"/>
                <w:szCs w:val="7"/>
                <w:color w:val="auto"/>
              </w:rPr>
            </w:pPr>
          </w:p>
        </w:tc>
        <w:tc>
          <w:tcPr>
            <w:tcW w:w="300" w:type="dxa"/>
            <w:vAlign w:val="bottom"/>
            <w:tcBorders>
              <w:top w:val="single" w:sz="8" w:color="auto"/>
              <w:right w:val="single" w:sz="8" w:color="auto"/>
            </w:tcBorders>
          </w:tcPr>
          <w:p>
            <w:pPr>
              <w:spacing w:after="0"/>
              <w:rPr>
                <w:sz w:val="7"/>
                <w:szCs w:val="7"/>
                <w:color w:val="auto"/>
              </w:rPr>
            </w:pPr>
          </w:p>
        </w:tc>
        <w:tc>
          <w:tcPr>
            <w:tcW w:w="3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7"/>
                <w:szCs w:val="7"/>
                <w:b w:val="1"/>
                <w:bCs w:val="1"/>
                <w:color w:val="auto"/>
              </w:rPr>
              <w:t>Store</w:t>
            </w:r>
          </w:p>
        </w:tc>
        <w:tc>
          <w:tcPr>
            <w:tcW w:w="1440" w:type="dxa"/>
            <w:vAlign w:val="bottom"/>
            <w:tcBorders>
              <w:top w:val="single" w:sz="8" w:color="auto"/>
              <w:right w:val="single" w:sz="8" w:color="auto"/>
            </w:tcBorders>
          </w:tcPr>
          <w:p>
            <w:pPr>
              <w:spacing w:after="0"/>
              <w:rPr>
                <w:sz w:val="7"/>
                <w:szCs w:val="7"/>
                <w:color w:val="auto"/>
              </w:rPr>
            </w:pPr>
          </w:p>
        </w:tc>
        <w:tc>
          <w:tcPr>
            <w:tcW w:w="1020" w:type="dxa"/>
            <w:vAlign w:val="bottom"/>
            <w:tcBorders>
              <w:top w:val="single" w:sz="8" w:color="auto"/>
              <w:right w:val="single" w:sz="8" w:color="auto"/>
            </w:tcBorders>
          </w:tcPr>
          <w:p>
            <w:pPr>
              <w:spacing w:after="0"/>
              <w:rPr>
                <w:sz w:val="7"/>
                <w:szCs w:val="7"/>
                <w:color w:val="auto"/>
              </w:rPr>
            </w:pPr>
          </w:p>
        </w:tc>
        <w:tc>
          <w:tcPr>
            <w:tcW w:w="1060" w:type="dxa"/>
            <w:vAlign w:val="bottom"/>
            <w:tcBorders>
              <w:top w:val="single" w:sz="8" w:color="auto"/>
              <w:right w:val="single" w:sz="8" w:color="auto"/>
            </w:tcBorders>
          </w:tcPr>
          <w:p>
            <w:pPr>
              <w:spacing w:after="0"/>
              <w:rPr>
                <w:sz w:val="7"/>
                <w:szCs w:val="7"/>
                <w:color w:val="auto"/>
              </w:rPr>
            </w:pPr>
          </w:p>
        </w:tc>
        <w:tc>
          <w:tcPr>
            <w:tcW w:w="800" w:type="dxa"/>
            <w:vAlign w:val="bottom"/>
            <w:tcBorders>
              <w:top w:val="single" w:sz="8" w:color="auto"/>
              <w:right w:val="single" w:sz="8" w:color="auto"/>
            </w:tcBorders>
          </w:tcPr>
          <w:p>
            <w:pPr>
              <w:spacing w:after="0"/>
              <w:rPr>
                <w:sz w:val="7"/>
                <w:szCs w:val="7"/>
                <w:color w:val="auto"/>
              </w:rPr>
            </w:pPr>
          </w:p>
        </w:tc>
        <w:tc>
          <w:tcPr>
            <w:tcW w:w="760" w:type="dxa"/>
            <w:vAlign w:val="bottom"/>
            <w:tcBorders>
              <w:top w:val="single" w:sz="8" w:color="auto"/>
              <w:right w:val="single" w:sz="8" w:color="auto"/>
            </w:tcBorders>
          </w:tcPr>
          <w:p>
            <w:pPr>
              <w:spacing w:after="0"/>
              <w:rPr>
                <w:sz w:val="7"/>
                <w:szCs w:val="7"/>
                <w:color w:val="auto"/>
              </w:rPr>
            </w:pPr>
          </w:p>
        </w:tc>
        <w:tc>
          <w:tcPr>
            <w:tcW w:w="780" w:type="dxa"/>
            <w:vAlign w:val="bottom"/>
            <w:tcBorders>
              <w:top w:val="single" w:sz="8" w:color="auto"/>
              <w:right w:val="single" w:sz="8" w:color="auto"/>
            </w:tcBorders>
          </w:tcPr>
          <w:p>
            <w:pPr>
              <w:spacing w:after="0"/>
              <w:rPr>
                <w:sz w:val="7"/>
                <w:szCs w:val="7"/>
                <w:color w:val="auto"/>
              </w:rPr>
            </w:pPr>
          </w:p>
        </w:tc>
        <w:tc>
          <w:tcPr>
            <w:tcW w:w="260" w:type="dxa"/>
            <w:vAlign w:val="bottom"/>
            <w:tcBorders>
              <w:top w:val="single" w:sz="8" w:color="auto"/>
              <w:right w:val="single" w:sz="8" w:color="auto"/>
            </w:tcBorders>
          </w:tcPr>
          <w:p>
            <w:pPr>
              <w:spacing w:after="0"/>
              <w:rPr>
                <w:sz w:val="7"/>
                <w:szCs w:val="7"/>
                <w:color w:val="auto"/>
              </w:rPr>
            </w:pPr>
          </w:p>
        </w:tc>
        <w:tc>
          <w:tcPr>
            <w:tcW w:w="480" w:type="dxa"/>
            <w:vAlign w:val="bottom"/>
            <w:tcBorders>
              <w:top w:val="single" w:sz="8" w:color="auto"/>
              <w:right w:val="single" w:sz="8" w:color="auto"/>
            </w:tcBorders>
          </w:tcPr>
          <w:p>
            <w:pPr>
              <w:spacing w:after="0"/>
              <w:rPr>
                <w:sz w:val="7"/>
                <w:szCs w:val="7"/>
                <w:color w:val="auto"/>
              </w:rPr>
            </w:pPr>
          </w:p>
        </w:tc>
        <w:tc>
          <w:tcPr>
            <w:tcW w:w="740" w:type="dxa"/>
            <w:vAlign w:val="bottom"/>
            <w:tcBorders>
              <w:top w:val="single" w:sz="8" w:color="auto"/>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7"/>
                <w:szCs w:val="7"/>
                <w:b w:val="1"/>
                <w:bCs w:val="1"/>
                <w:color w:val="auto"/>
              </w:rPr>
              <w:t>Store</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b w:val="1"/>
                <w:bCs w:val="1"/>
                <w:color w:val="auto"/>
              </w:rPr>
              <w:t>Store Legal Entity</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w w:val="97"/>
              </w:rPr>
              <w:t>Store Street Address</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w w:val="97"/>
              </w:rPr>
              <w:t>Store Street Address</w:t>
            </w:r>
          </w:p>
        </w:tc>
        <w:tc>
          <w:tcPr>
            <w:tcW w:w="78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rPr>
              <w:t>Store</w:t>
            </w:r>
          </w:p>
        </w:tc>
        <w:tc>
          <w:tcPr>
            <w:tcW w:w="360" w:type="dxa"/>
            <w:vAlign w:val="bottom"/>
            <w:tcBorders>
              <w:right w:val="single" w:sz="8" w:color="auto"/>
            </w:tcBorders>
          </w:tcPr>
          <w:p>
            <w:pPr>
              <w:ind w:left="80"/>
              <w:spacing w:after="0"/>
              <w:rPr>
                <w:sz w:val="20"/>
                <w:szCs w:val="20"/>
                <w:color w:val="auto"/>
              </w:rPr>
            </w:pPr>
            <w:r>
              <w:rPr>
                <w:rFonts w:ascii="Arial" w:cs="Arial" w:eastAsia="Arial" w:hAnsi="Arial"/>
                <w:sz w:val="7"/>
                <w:szCs w:val="7"/>
                <w:b w:val="1"/>
                <w:bCs w:val="1"/>
                <w:color w:val="auto"/>
              </w:rPr>
              <w:t>Postal</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Name</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Attention To</w:t>
            </w:r>
          </w:p>
        </w:tc>
        <w:tc>
          <w:tcPr>
            <w:tcW w:w="10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In Care Of</w:t>
            </w:r>
          </w:p>
        </w:tc>
        <w:tc>
          <w:tcPr>
            <w:tcW w:w="8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Street 1</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Street 2</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City</w:t>
            </w:r>
          </w:p>
        </w:tc>
        <w:tc>
          <w:tcPr>
            <w:tcW w:w="260" w:type="dxa"/>
            <w:vAlign w:val="bottom"/>
            <w:tcBorders>
              <w:right w:val="single" w:sz="8" w:color="auto"/>
            </w:tcBorders>
          </w:tcPr>
          <w:p>
            <w:pPr>
              <w:spacing w:after="0"/>
              <w:rPr>
                <w:sz w:val="20"/>
                <w:szCs w:val="20"/>
                <w:color w:val="auto"/>
              </w:rPr>
            </w:pPr>
            <w:r>
              <w:rPr>
                <w:rFonts w:ascii="Arial" w:cs="Arial" w:eastAsia="Arial" w:hAnsi="Arial"/>
                <w:sz w:val="7"/>
                <w:szCs w:val="7"/>
                <w:b w:val="1"/>
                <w:bCs w:val="1"/>
                <w:color w:val="auto"/>
              </w:rPr>
              <w:t>LL</w:t>
            </w:r>
          </w:p>
        </w:tc>
        <w:tc>
          <w:tcPr>
            <w:tcW w:w="4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Zip</w:t>
            </w:r>
          </w:p>
        </w:tc>
        <w:tc>
          <w:tcPr>
            <w:tcW w:w="740" w:type="dxa"/>
            <w:vAlign w:val="bottom"/>
            <w:tcBorders>
              <w:right w:val="single" w:sz="8" w:color="auto"/>
            </w:tcBorders>
          </w:tcPr>
          <w:p>
            <w:pPr>
              <w:spacing w:after="0"/>
              <w:rPr>
                <w:sz w:val="20"/>
                <w:szCs w:val="20"/>
                <w:color w:val="auto"/>
              </w:rPr>
            </w:pPr>
            <w:r>
              <w:rPr>
                <w:rFonts w:ascii="Arial" w:cs="Arial" w:eastAsia="Arial" w:hAnsi="Arial"/>
                <w:sz w:val="7"/>
                <w:szCs w:val="7"/>
                <w:b w:val="1"/>
                <w:bCs w:val="1"/>
                <w:color w:val="auto"/>
              </w:rPr>
              <w:t>LL Phone Number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rPr>
              <w:t>Store City</w:t>
            </w:r>
          </w:p>
        </w:tc>
        <w:tc>
          <w:tcPr>
            <w:tcW w:w="300" w:type="dxa"/>
            <w:vAlign w:val="bottom"/>
            <w:tcBorders>
              <w:right w:val="single" w:sz="8" w:color="auto"/>
            </w:tcBorders>
            <w:vMerge w:val="continue"/>
          </w:tcPr>
          <w:p>
            <w:pPr>
              <w:spacing w:after="0"/>
              <w:rPr>
                <w:sz w:val="4"/>
                <w:szCs w:val="4"/>
                <w:color w:val="auto"/>
              </w:rPr>
            </w:pPr>
          </w:p>
        </w:tc>
        <w:tc>
          <w:tcPr>
            <w:tcW w:w="36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b w:val="1"/>
                <w:bCs w:val="1"/>
                <w:color w:val="auto"/>
              </w:rPr>
              <w:t>Code</w:t>
            </w: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vMerge w:val="continue"/>
          </w:tcPr>
          <w:p>
            <w:pPr>
              <w:spacing w:after="0"/>
              <w:rPr>
                <w:sz w:val="4"/>
                <w:szCs w:val="4"/>
                <w:color w:val="auto"/>
              </w:rPr>
            </w:pPr>
          </w:p>
        </w:tc>
        <w:tc>
          <w:tcPr>
            <w:tcW w:w="1060" w:type="dxa"/>
            <w:vAlign w:val="bottom"/>
            <w:tcBorders>
              <w:right w:val="single" w:sz="8" w:color="auto"/>
            </w:tcBorders>
            <w:vMerge w:val="continue"/>
          </w:tcPr>
          <w:p>
            <w:pPr>
              <w:spacing w:after="0"/>
              <w:rPr>
                <w:sz w:val="4"/>
                <w:szCs w:val="4"/>
                <w:color w:val="auto"/>
              </w:rPr>
            </w:pPr>
          </w:p>
        </w:tc>
        <w:tc>
          <w:tcPr>
            <w:tcW w:w="800" w:type="dxa"/>
            <w:vAlign w:val="bottom"/>
            <w:tcBorders>
              <w:right w:val="single" w:sz="8" w:color="auto"/>
            </w:tcBorders>
            <w:vMerge w:val="continue"/>
          </w:tcPr>
          <w:p>
            <w:pPr>
              <w:spacing w:after="0"/>
              <w:rPr>
                <w:sz w:val="4"/>
                <w:szCs w:val="4"/>
                <w:color w:val="auto"/>
              </w:rPr>
            </w:pPr>
          </w:p>
        </w:tc>
        <w:tc>
          <w:tcPr>
            <w:tcW w:w="76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State</w:t>
            </w:r>
          </w:p>
        </w:tc>
        <w:tc>
          <w:tcPr>
            <w:tcW w:w="480" w:type="dxa"/>
            <w:vAlign w:val="bottom"/>
            <w:tcBorders>
              <w:right w:val="single" w:sz="8" w:color="auto"/>
            </w:tcBorders>
            <w:vMerge w:val="continue"/>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3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7"/>
                <w:szCs w:val="7"/>
                <w:b w:val="1"/>
                <w:bCs w:val="1"/>
                <w:color w:val="auto"/>
              </w:rPr>
              <w:t>#</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b w:val="1"/>
                <w:bCs w:val="1"/>
                <w:color w:val="auto"/>
              </w:rPr>
              <w:t>Name</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rPr>
              <w:t>#1</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rPr>
              <w:t>#2</w:t>
            </w:r>
          </w:p>
        </w:tc>
        <w:tc>
          <w:tcPr>
            <w:tcW w:w="780" w:type="dxa"/>
            <w:vAlign w:val="bottom"/>
            <w:tcBorders>
              <w:right w:val="single" w:sz="8" w:color="auto"/>
            </w:tcBorders>
            <w:vMerge w:val="continue"/>
          </w:tcPr>
          <w:p>
            <w:pPr>
              <w:spacing w:after="0"/>
              <w:rPr>
                <w:sz w:val="4"/>
                <w:szCs w:val="4"/>
                <w:color w:val="auto"/>
              </w:rPr>
            </w:pPr>
          </w:p>
        </w:tc>
        <w:tc>
          <w:tcPr>
            <w:tcW w:w="30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rPr>
              <w:t>State</w:t>
            </w:r>
          </w:p>
        </w:tc>
        <w:tc>
          <w:tcPr>
            <w:tcW w:w="360" w:type="dxa"/>
            <w:vAlign w:val="bottom"/>
            <w:tcBorders>
              <w:right w:val="single" w:sz="8" w:color="auto"/>
            </w:tcBorders>
            <w:vMerge w:val="continue"/>
          </w:tcPr>
          <w:p>
            <w:pPr>
              <w:spacing w:after="0"/>
              <w:rPr>
                <w:sz w:val="4"/>
                <w:szCs w:val="4"/>
                <w:color w:val="auto"/>
              </w:rPr>
            </w:pPr>
          </w:p>
        </w:tc>
        <w:tc>
          <w:tcPr>
            <w:tcW w:w="1440" w:type="dxa"/>
            <w:vAlign w:val="bottom"/>
            <w:tcBorders>
              <w:right w:val="single" w:sz="8" w:color="auto"/>
            </w:tcBorders>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060" w:type="dxa"/>
            <w:vAlign w:val="bottom"/>
            <w:tcBorders>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76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260" w:type="dxa"/>
            <w:vAlign w:val="bottom"/>
            <w:tcBorders>
              <w:right w:val="single" w:sz="8" w:color="auto"/>
            </w:tcBorders>
            <w:vMerge w:val="continue"/>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36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780" w:type="dxa"/>
            <w:vAlign w:val="bottom"/>
            <w:tcBorders>
              <w:bottom w:val="single" w:sz="8" w:color="auto"/>
              <w:right w:val="single" w:sz="8" w:color="auto"/>
            </w:tcBorders>
            <w:vMerge w:val="continue"/>
          </w:tcPr>
          <w:p>
            <w:pPr>
              <w:spacing w:after="0"/>
              <w:rPr>
                <w:sz w:val="5"/>
                <w:szCs w:val="5"/>
                <w:color w:val="auto"/>
              </w:rPr>
            </w:pPr>
          </w:p>
        </w:tc>
        <w:tc>
          <w:tcPr>
            <w:tcW w:w="780" w:type="dxa"/>
            <w:vAlign w:val="bottom"/>
            <w:tcBorders>
              <w:bottom w:val="single" w:sz="8" w:color="auto"/>
              <w:right w:val="single" w:sz="8" w:color="auto"/>
            </w:tcBorders>
            <w:vMerge w:val="continue"/>
          </w:tcPr>
          <w:p>
            <w:pPr>
              <w:spacing w:after="0"/>
              <w:rPr>
                <w:sz w:val="5"/>
                <w:szCs w:val="5"/>
                <w:color w:val="auto"/>
              </w:rPr>
            </w:pPr>
          </w:p>
        </w:tc>
        <w:tc>
          <w:tcPr>
            <w:tcW w:w="780" w:type="dxa"/>
            <w:vAlign w:val="bottom"/>
            <w:tcBorders>
              <w:bottom w:val="single" w:sz="8" w:color="auto"/>
              <w:right w:val="single" w:sz="8" w:color="auto"/>
            </w:tcBorders>
            <w:vMerge w:val="continue"/>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300" w:type="dxa"/>
            <w:vAlign w:val="bottom"/>
            <w:tcBorders>
              <w:bottom w:val="single" w:sz="8" w:color="auto"/>
              <w:right w:val="single" w:sz="8" w:color="auto"/>
            </w:tcBorders>
            <w:vMerge w:val="continue"/>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260" w:type="dxa"/>
            <w:vAlign w:val="bottom"/>
            <w:tcBorders>
              <w:bottom w:val="single" w:sz="8" w:color="auto"/>
              <w:right w:val="single" w:sz="8" w:color="auto"/>
            </w:tcBorders>
          </w:tcPr>
          <w:p>
            <w:pPr>
              <w:spacing w:after="0"/>
              <w:rPr>
                <w:sz w:val="5"/>
                <w:szCs w:val="5"/>
                <w:color w:val="auto"/>
              </w:rPr>
            </w:pPr>
          </w:p>
        </w:tc>
        <w:tc>
          <w:tcPr>
            <w:tcW w:w="48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360" w:type="dxa"/>
            <w:vAlign w:val="bottom"/>
            <w:tcBorders>
              <w:left w:val="single" w:sz="8" w:color="auto"/>
              <w:right w:val="single" w:sz="8" w:color="auto"/>
            </w:tcBorders>
          </w:tcPr>
          <w:p>
            <w:pPr>
              <w:jc w:val="right"/>
              <w:ind w:right="44"/>
              <w:spacing w:after="0" w:line="74" w:lineRule="exact"/>
              <w:rPr>
                <w:sz w:val="20"/>
                <w:szCs w:val="20"/>
                <w:color w:val="auto"/>
              </w:rPr>
            </w:pPr>
            <w:r>
              <w:rPr>
                <w:rFonts w:ascii="Arial" w:cs="Arial" w:eastAsia="Arial" w:hAnsi="Arial"/>
                <w:sz w:val="7"/>
                <w:szCs w:val="7"/>
                <w:color w:val="auto"/>
              </w:rPr>
              <w:t>9617</w:t>
            </w:r>
          </w:p>
        </w:tc>
        <w:tc>
          <w:tcPr>
            <w:tcW w:w="780" w:type="dxa"/>
            <w:vAlign w:val="bottom"/>
            <w:tcBorders>
              <w:right w:val="single" w:sz="8" w:color="auto"/>
            </w:tcBorders>
          </w:tcPr>
          <w:p>
            <w:pPr>
              <w:ind w:left="80"/>
              <w:spacing w:after="0" w:line="74"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4" w:lineRule="exact"/>
              <w:rPr>
                <w:sz w:val="20"/>
                <w:szCs w:val="20"/>
                <w:color w:val="auto"/>
              </w:rPr>
            </w:pPr>
            <w:r>
              <w:rPr>
                <w:rFonts w:ascii="Arial" w:cs="Arial" w:eastAsia="Arial" w:hAnsi="Arial"/>
                <w:sz w:val="7"/>
                <w:szCs w:val="7"/>
                <w:color w:val="auto"/>
              </w:rPr>
              <w:t>6715 JONESBORO</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4" w:lineRule="exact"/>
              <w:rPr>
                <w:sz w:val="20"/>
                <w:szCs w:val="20"/>
                <w:color w:val="auto"/>
              </w:rPr>
            </w:pPr>
            <w:r>
              <w:rPr>
                <w:rFonts w:ascii="Arial" w:cs="Arial" w:eastAsia="Arial" w:hAnsi="Arial"/>
                <w:sz w:val="7"/>
                <w:szCs w:val="7"/>
                <w:color w:val="auto"/>
              </w:rPr>
              <w:t>MORROW</w:t>
            </w:r>
          </w:p>
        </w:tc>
        <w:tc>
          <w:tcPr>
            <w:tcW w:w="300" w:type="dxa"/>
            <w:vAlign w:val="bottom"/>
            <w:tcBorders>
              <w:right w:val="single" w:sz="8" w:color="auto"/>
            </w:tcBorders>
          </w:tcPr>
          <w:p>
            <w:pPr>
              <w:ind w:left="60"/>
              <w:spacing w:after="0" w:line="74" w:lineRule="exact"/>
              <w:rPr>
                <w:sz w:val="20"/>
                <w:szCs w:val="20"/>
                <w:color w:val="auto"/>
              </w:rPr>
            </w:pPr>
            <w:r>
              <w:rPr>
                <w:rFonts w:ascii="Arial" w:cs="Arial" w:eastAsia="Arial" w:hAnsi="Arial"/>
                <w:sz w:val="7"/>
                <w:szCs w:val="7"/>
                <w:color w:val="auto"/>
              </w:rPr>
              <w:t>GA</w:t>
            </w:r>
          </w:p>
        </w:tc>
        <w:tc>
          <w:tcPr>
            <w:tcW w:w="360" w:type="dxa"/>
            <w:vAlign w:val="bottom"/>
            <w:tcBorders>
              <w:right w:val="single" w:sz="8" w:color="auto"/>
            </w:tcBorders>
          </w:tcPr>
          <w:p>
            <w:pPr>
              <w:ind w:left="80"/>
              <w:spacing w:after="0" w:line="74" w:lineRule="exact"/>
              <w:rPr>
                <w:sz w:val="20"/>
                <w:szCs w:val="20"/>
                <w:color w:val="auto"/>
              </w:rPr>
            </w:pPr>
            <w:r>
              <w:rPr>
                <w:rFonts w:ascii="Arial" w:cs="Arial" w:eastAsia="Arial" w:hAnsi="Arial"/>
                <w:sz w:val="7"/>
                <w:szCs w:val="7"/>
                <w:color w:val="auto"/>
              </w:rPr>
              <w:t>30260</w:t>
            </w:r>
          </w:p>
        </w:tc>
        <w:tc>
          <w:tcPr>
            <w:tcW w:w="1440" w:type="dxa"/>
            <w:vAlign w:val="bottom"/>
            <w:tcBorders>
              <w:right w:val="single" w:sz="8" w:color="auto"/>
            </w:tcBorders>
          </w:tcPr>
          <w:p>
            <w:pPr>
              <w:spacing w:after="0" w:line="74" w:lineRule="exact"/>
              <w:rPr>
                <w:sz w:val="20"/>
                <w:szCs w:val="20"/>
                <w:color w:val="auto"/>
              </w:rPr>
            </w:pPr>
            <w:r>
              <w:rPr>
                <w:rFonts w:ascii="Arial" w:cs="Arial" w:eastAsia="Arial" w:hAnsi="Arial"/>
                <w:sz w:val="7"/>
                <w:szCs w:val="7"/>
                <w:color w:val="auto"/>
              </w:rPr>
              <w:t>SOUTH POINT SHOPPING CENTER ET.</w:t>
            </w:r>
          </w:p>
        </w:tc>
        <w:tc>
          <w:tcPr>
            <w:tcW w:w="1020" w:type="dxa"/>
            <w:vAlign w:val="bottom"/>
            <w:tcBorders>
              <w:right w:val="single" w:sz="8" w:color="auto"/>
            </w:tcBorders>
          </w:tcPr>
          <w:p>
            <w:pPr>
              <w:spacing w:after="0" w:line="74" w:lineRule="exact"/>
              <w:rPr>
                <w:sz w:val="20"/>
                <w:szCs w:val="20"/>
                <w:color w:val="auto"/>
              </w:rPr>
            </w:pPr>
            <w:r>
              <w:rPr>
                <w:rFonts w:ascii="Arial" w:cs="Arial" w:eastAsia="Arial" w:hAnsi="Arial"/>
                <w:sz w:val="7"/>
                <w:szCs w:val="7"/>
                <w:color w:val="auto"/>
              </w:rPr>
              <w:t>JIM FLOCK</w:t>
            </w:r>
          </w:p>
        </w:tc>
        <w:tc>
          <w:tcPr>
            <w:tcW w:w="106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line="74" w:lineRule="exact"/>
              <w:rPr>
                <w:sz w:val="20"/>
                <w:szCs w:val="20"/>
                <w:color w:val="auto"/>
              </w:rPr>
            </w:pPr>
            <w:r>
              <w:rPr>
                <w:rFonts w:ascii="Arial" w:cs="Arial" w:eastAsia="Arial" w:hAnsi="Arial"/>
                <w:sz w:val="7"/>
                <w:szCs w:val="7"/>
                <w:color w:val="auto"/>
              </w:rPr>
              <w:t>FORUM</w:t>
            </w:r>
          </w:p>
        </w:tc>
        <w:tc>
          <w:tcPr>
            <w:tcW w:w="760" w:type="dxa"/>
            <w:vAlign w:val="bottom"/>
            <w:tcBorders>
              <w:right w:val="single" w:sz="8" w:color="auto"/>
            </w:tcBorders>
          </w:tcPr>
          <w:p>
            <w:pPr>
              <w:spacing w:after="0" w:line="74" w:lineRule="exact"/>
              <w:rPr>
                <w:sz w:val="20"/>
                <w:szCs w:val="20"/>
                <w:color w:val="auto"/>
              </w:rPr>
            </w:pPr>
            <w:r>
              <w:rPr>
                <w:rFonts w:ascii="Arial" w:cs="Arial" w:eastAsia="Arial" w:hAnsi="Arial"/>
                <w:sz w:val="7"/>
                <w:szCs w:val="7"/>
                <w:color w:val="auto"/>
              </w:rPr>
              <w:t>5784 LAKE</w:t>
            </w:r>
          </w:p>
        </w:tc>
        <w:tc>
          <w:tcPr>
            <w:tcW w:w="780" w:type="dxa"/>
            <w:vAlign w:val="bottom"/>
            <w:tcBorders>
              <w:right w:val="single" w:sz="8" w:color="auto"/>
            </w:tcBorders>
          </w:tcPr>
          <w:p>
            <w:pPr>
              <w:spacing w:after="0" w:line="74" w:lineRule="exact"/>
              <w:rPr>
                <w:sz w:val="20"/>
                <w:szCs w:val="20"/>
                <w:color w:val="auto"/>
              </w:rPr>
            </w:pPr>
            <w:r>
              <w:rPr>
                <w:rFonts w:ascii="Arial" w:cs="Arial" w:eastAsia="Arial" w:hAnsi="Arial"/>
                <w:sz w:val="7"/>
                <w:szCs w:val="7"/>
                <w:color w:val="auto"/>
              </w:rPr>
              <w:t>ATLANTA</w:t>
            </w:r>
          </w:p>
        </w:tc>
        <w:tc>
          <w:tcPr>
            <w:tcW w:w="260" w:type="dxa"/>
            <w:vAlign w:val="bottom"/>
            <w:tcBorders>
              <w:right w:val="single" w:sz="8" w:color="auto"/>
            </w:tcBorders>
          </w:tcPr>
          <w:p>
            <w:pPr>
              <w:spacing w:after="0" w:line="74" w:lineRule="exact"/>
              <w:rPr>
                <w:sz w:val="20"/>
                <w:szCs w:val="20"/>
                <w:color w:val="auto"/>
              </w:rPr>
            </w:pPr>
            <w:r>
              <w:rPr>
                <w:rFonts w:ascii="Arial" w:cs="Arial" w:eastAsia="Arial" w:hAnsi="Arial"/>
                <w:sz w:val="7"/>
                <w:szCs w:val="7"/>
                <w:color w:val="auto"/>
              </w:rPr>
              <w:t>GA</w:t>
            </w:r>
          </w:p>
        </w:tc>
        <w:tc>
          <w:tcPr>
            <w:tcW w:w="480" w:type="dxa"/>
            <w:vAlign w:val="bottom"/>
            <w:tcBorders>
              <w:right w:val="single" w:sz="8" w:color="auto"/>
            </w:tcBorders>
          </w:tcPr>
          <w:p>
            <w:pPr>
              <w:spacing w:after="0" w:line="74" w:lineRule="exact"/>
              <w:rPr>
                <w:sz w:val="20"/>
                <w:szCs w:val="20"/>
                <w:color w:val="auto"/>
              </w:rPr>
            </w:pPr>
            <w:r>
              <w:rPr>
                <w:rFonts w:ascii="Arial" w:cs="Arial" w:eastAsia="Arial" w:hAnsi="Arial"/>
                <w:sz w:val="7"/>
                <w:szCs w:val="7"/>
                <w:color w:val="auto"/>
              </w:rPr>
              <w:t>30328</w:t>
            </w:r>
          </w:p>
        </w:tc>
        <w:tc>
          <w:tcPr>
            <w:tcW w:w="740" w:type="dxa"/>
            <w:vAlign w:val="bottom"/>
            <w:tcBorders>
              <w:right w:val="single" w:sz="8" w:color="auto"/>
            </w:tcBorders>
          </w:tcPr>
          <w:p>
            <w:pPr>
              <w:ind w:left="20"/>
              <w:spacing w:after="0" w:line="74" w:lineRule="exact"/>
              <w:rPr>
                <w:sz w:val="20"/>
                <w:szCs w:val="20"/>
                <w:color w:val="auto"/>
              </w:rPr>
            </w:pPr>
            <w:r>
              <w:rPr>
                <w:rFonts w:ascii="Arial" w:cs="Arial" w:eastAsia="Arial" w:hAnsi="Arial"/>
                <w:sz w:val="7"/>
                <w:szCs w:val="7"/>
                <w:color w:val="auto"/>
              </w:rPr>
              <w:t>404-873-6900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360" w:type="dxa"/>
            <w:vAlign w:val="bottom"/>
            <w:tcBorders>
              <w:left w:val="single" w:sz="8" w:color="auto"/>
              <w:right w:val="single" w:sz="8" w:color="auto"/>
            </w:tcBorders>
          </w:tcPr>
          <w:p>
            <w:pPr>
              <w:spacing w:after="0"/>
              <w:rPr>
                <w:sz w:val="7"/>
                <w:szCs w:val="7"/>
                <w:color w:val="auto"/>
              </w:rPr>
            </w:pPr>
          </w:p>
        </w:tc>
        <w:tc>
          <w:tcPr>
            <w:tcW w:w="780" w:type="dxa"/>
            <w:vAlign w:val="bottom"/>
            <w:tcBorders>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right w:val="single" w:sz="8" w:color="auto"/>
            </w:tcBorders>
          </w:tcPr>
          <w:p>
            <w:pPr>
              <w:ind w:left="60"/>
              <w:spacing w:after="0"/>
              <w:rPr>
                <w:sz w:val="20"/>
                <w:szCs w:val="20"/>
                <w:color w:val="auto"/>
              </w:rPr>
            </w:pPr>
            <w:r>
              <w:rPr>
                <w:rFonts w:ascii="Arial" w:cs="Arial" w:eastAsia="Arial" w:hAnsi="Arial"/>
                <w:sz w:val="7"/>
                <w:szCs w:val="7"/>
                <w:color w:val="auto"/>
              </w:rPr>
              <w:t>ROAD STE. H</w:t>
            </w:r>
          </w:p>
        </w:tc>
        <w:tc>
          <w:tcPr>
            <w:tcW w:w="7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1440" w:type="dxa"/>
            <w:vAlign w:val="bottom"/>
            <w:tcBorders>
              <w:right w:val="single" w:sz="8" w:color="auto"/>
            </w:tcBorders>
          </w:tcPr>
          <w:p>
            <w:pPr>
              <w:spacing w:after="0"/>
              <w:rPr>
                <w:sz w:val="20"/>
                <w:szCs w:val="20"/>
                <w:color w:val="auto"/>
              </w:rPr>
            </w:pPr>
            <w:r>
              <w:rPr>
                <w:rFonts w:ascii="Arial" w:cs="Arial" w:eastAsia="Arial" w:hAnsi="Arial"/>
                <w:sz w:val="7"/>
                <w:szCs w:val="7"/>
                <w:color w:val="auto"/>
              </w:rPr>
              <w:t>AL.</w:t>
            </w:r>
          </w:p>
        </w:tc>
        <w:tc>
          <w:tcPr>
            <w:tcW w:w="1020" w:type="dxa"/>
            <w:vAlign w:val="bottom"/>
            <w:tcBorders>
              <w:right w:val="single" w:sz="8" w:color="auto"/>
            </w:tcBorders>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7"/>
                <w:szCs w:val="7"/>
                <w:color w:val="auto"/>
              </w:rPr>
              <w:t>MANAGEMENT</w:t>
            </w:r>
          </w:p>
        </w:tc>
        <w:tc>
          <w:tcPr>
            <w:tcW w:w="760" w:type="dxa"/>
            <w:vAlign w:val="bottom"/>
            <w:tcBorders>
              <w:right w:val="single" w:sz="8" w:color="auto"/>
            </w:tcBorders>
          </w:tcPr>
          <w:p>
            <w:pPr>
              <w:spacing w:after="0"/>
              <w:rPr>
                <w:sz w:val="20"/>
                <w:szCs w:val="20"/>
                <w:color w:val="auto"/>
              </w:rPr>
            </w:pPr>
            <w:r>
              <w:rPr>
                <w:rFonts w:ascii="Arial" w:cs="Arial" w:eastAsia="Arial" w:hAnsi="Arial"/>
                <w:sz w:val="7"/>
                <w:szCs w:val="7"/>
                <w:color w:val="auto"/>
              </w:rPr>
              <w:t>FORREST DRIVE,</w:t>
            </w:r>
          </w:p>
        </w:tc>
        <w:tc>
          <w:tcPr>
            <w:tcW w:w="780" w:type="dxa"/>
            <w:vAlign w:val="bottom"/>
            <w:tcBorders>
              <w:right w:val="single" w:sz="8" w:color="auto"/>
            </w:tcBorders>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48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36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360" w:type="dxa"/>
            <w:vAlign w:val="bottom"/>
            <w:tcBorders>
              <w:left w:val="single" w:sz="8" w:color="auto"/>
              <w:right w:val="single" w:sz="8" w:color="auto"/>
            </w:tcBorders>
          </w:tcPr>
          <w:p>
            <w:pPr>
              <w:jc w:val="right"/>
              <w:ind w:right="44"/>
              <w:spacing w:after="0" w:line="63" w:lineRule="exact"/>
              <w:rPr>
                <w:sz w:val="20"/>
                <w:szCs w:val="20"/>
                <w:color w:val="auto"/>
              </w:rPr>
            </w:pPr>
            <w:r>
              <w:rPr>
                <w:rFonts w:ascii="Arial" w:cs="Arial" w:eastAsia="Arial" w:hAnsi="Arial"/>
                <w:sz w:val="7"/>
                <w:szCs w:val="7"/>
                <w:color w:val="auto"/>
              </w:rPr>
              <w:t>9618</w:t>
            </w:r>
          </w:p>
        </w:tc>
        <w:tc>
          <w:tcPr>
            <w:tcW w:w="780" w:type="dxa"/>
            <w:vAlign w:val="bottom"/>
            <w:tcBorders>
              <w:right w:val="single" w:sz="8" w:color="auto"/>
            </w:tcBorders>
          </w:tcPr>
          <w:p>
            <w:pPr>
              <w:ind w:left="80"/>
              <w:spacing w:after="0" w:line="63"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63" w:lineRule="exact"/>
              <w:rPr>
                <w:sz w:val="20"/>
                <w:szCs w:val="20"/>
                <w:color w:val="auto"/>
              </w:rPr>
            </w:pPr>
            <w:r>
              <w:rPr>
                <w:rFonts w:ascii="Arial" w:cs="Arial" w:eastAsia="Arial" w:hAnsi="Arial"/>
                <w:sz w:val="7"/>
                <w:szCs w:val="7"/>
                <w:color w:val="auto"/>
              </w:rPr>
              <w:t>WRANGLEBORO</w:t>
            </w:r>
          </w:p>
        </w:tc>
        <w:tc>
          <w:tcPr>
            <w:tcW w:w="780" w:type="dxa"/>
            <w:vAlign w:val="bottom"/>
            <w:tcBorders>
              <w:right w:val="single" w:sz="8" w:color="auto"/>
            </w:tcBorders>
          </w:tcPr>
          <w:p>
            <w:pPr>
              <w:ind w:left="80"/>
              <w:spacing w:after="0" w:line="63" w:lineRule="exact"/>
              <w:rPr>
                <w:sz w:val="20"/>
                <w:szCs w:val="20"/>
                <w:color w:val="auto"/>
              </w:rPr>
            </w:pPr>
            <w:r>
              <w:rPr>
                <w:rFonts w:ascii="Arial" w:cs="Arial" w:eastAsia="Arial" w:hAnsi="Arial"/>
                <w:sz w:val="7"/>
                <w:szCs w:val="7"/>
                <w:color w:val="auto"/>
              </w:rPr>
              <w:t>514 CONSUMER</w:t>
            </w:r>
          </w:p>
        </w:tc>
        <w:tc>
          <w:tcPr>
            <w:tcW w:w="780" w:type="dxa"/>
            <w:vAlign w:val="bottom"/>
            <w:tcBorders>
              <w:right w:val="single" w:sz="8" w:color="auto"/>
            </w:tcBorders>
          </w:tcPr>
          <w:p>
            <w:pPr>
              <w:ind w:left="60"/>
              <w:spacing w:after="0" w:line="63" w:lineRule="exact"/>
              <w:rPr>
                <w:sz w:val="20"/>
                <w:szCs w:val="20"/>
                <w:color w:val="auto"/>
              </w:rPr>
            </w:pPr>
            <w:r>
              <w:rPr>
                <w:rFonts w:ascii="Arial" w:cs="Arial" w:eastAsia="Arial" w:hAnsi="Arial"/>
                <w:sz w:val="7"/>
                <w:szCs w:val="7"/>
                <w:color w:val="auto"/>
              </w:rPr>
              <w:t>MAY'S LANDING</w:t>
            </w:r>
          </w:p>
        </w:tc>
        <w:tc>
          <w:tcPr>
            <w:tcW w:w="300" w:type="dxa"/>
            <w:vAlign w:val="bottom"/>
            <w:tcBorders>
              <w:right w:val="single" w:sz="8" w:color="auto"/>
            </w:tcBorders>
          </w:tcPr>
          <w:p>
            <w:pPr>
              <w:ind w:left="60"/>
              <w:spacing w:after="0" w:line="63" w:lineRule="exact"/>
              <w:rPr>
                <w:sz w:val="20"/>
                <w:szCs w:val="20"/>
                <w:color w:val="auto"/>
              </w:rPr>
            </w:pPr>
            <w:r>
              <w:rPr>
                <w:rFonts w:ascii="Arial" w:cs="Arial" w:eastAsia="Arial" w:hAnsi="Arial"/>
                <w:sz w:val="7"/>
                <w:szCs w:val="7"/>
                <w:color w:val="auto"/>
              </w:rPr>
              <w:t>NJ</w:t>
            </w:r>
          </w:p>
        </w:tc>
        <w:tc>
          <w:tcPr>
            <w:tcW w:w="360" w:type="dxa"/>
            <w:vAlign w:val="bottom"/>
            <w:tcBorders>
              <w:right w:val="single" w:sz="8" w:color="auto"/>
            </w:tcBorders>
          </w:tcPr>
          <w:p>
            <w:pPr>
              <w:ind w:left="80"/>
              <w:spacing w:after="0" w:line="63" w:lineRule="exact"/>
              <w:rPr>
                <w:sz w:val="20"/>
                <w:szCs w:val="20"/>
                <w:color w:val="auto"/>
              </w:rPr>
            </w:pPr>
            <w:r>
              <w:rPr>
                <w:rFonts w:ascii="Arial" w:cs="Arial" w:eastAsia="Arial" w:hAnsi="Arial"/>
                <w:sz w:val="7"/>
                <w:szCs w:val="7"/>
                <w:color w:val="auto"/>
              </w:rPr>
              <w:t>8330</w:t>
            </w:r>
          </w:p>
        </w:tc>
        <w:tc>
          <w:tcPr>
            <w:tcW w:w="1440" w:type="dxa"/>
            <w:vAlign w:val="bottom"/>
            <w:tcBorders>
              <w:right w:val="single" w:sz="8" w:color="auto"/>
            </w:tcBorders>
          </w:tcPr>
          <w:p>
            <w:pPr>
              <w:spacing w:after="0" w:line="63" w:lineRule="exact"/>
              <w:rPr>
                <w:sz w:val="20"/>
                <w:szCs w:val="20"/>
                <w:color w:val="auto"/>
              </w:rPr>
            </w:pPr>
            <w:r>
              <w:rPr>
                <w:rFonts w:ascii="Arial" w:cs="Arial" w:eastAsia="Arial" w:hAnsi="Arial"/>
                <w:sz w:val="7"/>
                <w:szCs w:val="7"/>
                <w:color w:val="auto"/>
              </w:rPr>
              <w:t>RVT WRANGLEBORO CONSUMER</w:t>
            </w:r>
          </w:p>
        </w:tc>
        <w:tc>
          <w:tcPr>
            <w:tcW w:w="1020" w:type="dxa"/>
            <w:vAlign w:val="bottom"/>
            <w:tcBorders>
              <w:right w:val="single" w:sz="8" w:color="auto"/>
            </w:tcBorders>
          </w:tcPr>
          <w:p>
            <w:pPr>
              <w:spacing w:after="0" w:line="63" w:lineRule="exact"/>
              <w:rPr>
                <w:sz w:val="20"/>
                <w:szCs w:val="20"/>
                <w:color w:val="auto"/>
              </w:rPr>
            </w:pPr>
            <w:r>
              <w:rPr>
                <w:rFonts w:ascii="Arial" w:cs="Arial" w:eastAsia="Arial" w:hAnsi="Arial"/>
                <w:sz w:val="7"/>
                <w:szCs w:val="7"/>
                <w:color w:val="auto"/>
              </w:rPr>
              <w:t>EXECUTIVE VP -LEASING</w:t>
            </w:r>
          </w:p>
        </w:tc>
        <w:tc>
          <w:tcPr>
            <w:tcW w:w="106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line="63" w:lineRule="exact"/>
              <w:rPr>
                <w:sz w:val="20"/>
                <w:szCs w:val="20"/>
                <w:color w:val="auto"/>
              </w:rPr>
            </w:pPr>
            <w:r>
              <w:rPr>
                <w:rFonts w:ascii="Arial" w:cs="Arial" w:eastAsia="Arial" w:hAnsi="Arial"/>
                <w:sz w:val="7"/>
                <w:szCs w:val="7"/>
                <w:color w:val="auto"/>
              </w:rPr>
              <w:t>3300 ENTERPRISE</w:t>
            </w:r>
          </w:p>
        </w:tc>
        <w:tc>
          <w:tcPr>
            <w:tcW w:w="76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line="63" w:lineRule="exact"/>
              <w:rPr>
                <w:sz w:val="20"/>
                <w:szCs w:val="20"/>
                <w:color w:val="auto"/>
              </w:rPr>
            </w:pPr>
            <w:r>
              <w:rPr>
                <w:rFonts w:ascii="Arial" w:cs="Arial" w:eastAsia="Arial" w:hAnsi="Arial"/>
                <w:sz w:val="7"/>
                <w:szCs w:val="7"/>
                <w:color w:val="auto"/>
              </w:rPr>
              <w:t>BEACHWOOD</w:t>
            </w:r>
          </w:p>
        </w:tc>
        <w:tc>
          <w:tcPr>
            <w:tcW w:w="260" w:type="dxa"/>
            <w:vAlign w:val="bottom"/>
            <w:tcBorders>
              <w:right w:val="single" w:sz="8" w:color="auto"/>
            </w:tcBorders>
          </w:tcPr>
          <w:p>
            <w:pPr>
              <w:spacing w:after="0" w:line="63" w:lineRule="exact"/>
              <w:rPr>
                <w:sz w:val="20"/>
                <w:szCs w:val="20"/>
                <w:color w:val="auto"/>
              </w:rPr>
            </w:pPr>
            <w:r>
              <w:rPr>
                <w:rFonts w:ascii="Arial" w:cs="Arial" w:eastAsia="Arial" w:hAnsi="Arial"/>
                <w:sz w:val="7"/>
                <w:szCs w:val="7"/>
                <w:color w:val="auto"/>
              </w:rPr>
              <w:t>OH</w:t>
            </w:r>
          </w:p>
        </w:tc>
        <w:tc>
          <w:tcPr>
            <w:tcW w:w="480" w:type="dxa"/>
            <w:vAlign w:val="bottom"/>
            <w:tcBorders>
              <w:right w:val="single" w:sz="8" w:color="auto"/>
            </w:tcBorders>
          </w:tcPr>
          <w:p>
            <w:pPr>
              <w:spacing w:after="0" w:line="63" w:lineRule="exact"/>
              <w:rPr>
                <w:sz w:val="20"/>
                <w:szCs w:val="20"/>
                <w:color w:val="auto"/>
              </w:rPr>
            </w:pPr>
            <w:r>
              <w:rPr>
                <w:rFonts w:ascii="Arial" w:cs="Arial" w:eastAsia="Arial" w:hAnsi="Arial"/>
                <w:sz w:val="7"/>
                <w:szCs w:val="7"/>
                <w:color w:val="auto"/>
              </w:rPr>
              <w:t>44122</w:t>
            </w:r>
          </w:p>
        </w:tc>
        <w:tc>
          <w:tcPr>
            <w:tcW w:w="7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CONSUMER</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SQUARE, UNIT 43</w:t>
            </w: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SQUARE LLC</w:t>
            </w:r>
          </w:p>
        </w:tc>
        <w:tc>
          <w:tcPr>
            <w:tcW w:w="102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PARKWAY</w:t>
            </w:r>
          </w:p>
        </w:tc>
        <w:tc>
          <w:tcPr>
            <w:tcW w:w="76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9623</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WEST RIDGE</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1717 SW</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TOPEKA</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KS</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66604</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TOPEKA MALL ASSOCIATES, LP</w:t>
            </w:r>
          </w:p>
        </w:tc>
        <w:tc>
          <w:tcPr>
            <w:tcW w:w="102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M.S.MANAGEMENT</w:t>
            </w: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225 WEST</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INDIANAPOLIS</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IN</w:t>
            </w:r>
          </w:p>
        </w:tc>
        <w:tc>
          <w:tcPr>
            <w:tcW w:w="4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46204-3438</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317-636-1600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MALL</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WANAMAKER</w:t>
            </w: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ASSOCIATES INC</w:t>
            </w: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WASHINGTON</w:t>
            </w:r>
          </w:p>
        </w:tc>
        <w:tc>
          <w:tcPr>
            <w:tcW w:w="76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9624</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3200 PLANK</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FREDERICKSBURG</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VA</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22407</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COMMERCE GROUP., INC</w:t>
            </w:r>
          </w:p>
        </w:tc>
        <w:tc>
          <w:tcPr>
            <w:tcW w:w="102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1280 W. NEWPORT</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DEERFIELD BEACH</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FL</w:t>
            </w:r>
          </w:p>
        </w:tc>
        <w:tc>
          <w:tcPr>
            <w:tcW w:w="4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33442</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954-360-7713</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ROAD</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CENTER DRIVE</w:t>
            </w:r>
          </w:p>
        </w:tc>
        <w:tc>
          <w:tcPr>
            <w:tcW w:w="76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9625</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19419 GULF</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WEBSTER</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TX</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77598</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PASSAGE REALTY, INC</w:t>
            </w:r>
          </w:p>
        </w:tc>
        <w:tc>
          <w:tcPr>
            <w:tcW w:w="10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PRESIDENT</w:t>
            </w:r>
          </w:p>
        </w:tc>
        <w:tc>
          <w:tcPr>
            <w:tcW w:w="10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COVENTRY DEVELOPMENT</w:t>
            </w: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70 EAST 55TH</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NEW YORK</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NY</w:t>
            </w:r>
          </w:p>
        </w:tc>
        <w:tc>
          <w:tcPr>
            <w:tcW w:w="4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10022</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281-461-3860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FREEWAY</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CORP</w:t>
            </w: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STREET, 11TH FL</w:t>
            </w:r>
          </w:p>
        </w:tc>
        <w:tc>
          <w:tcPr>
            <w:tcW w:w="76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9627</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622 WEST</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JOHNSON CREEK</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WI</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53038</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PREMIUM OUTLET PARTNERS, LP</w:t>
            </w:r>
          </w:p>
        </w:tc>
        <w:tc>
          <w:tcPr>
            <w:tcW w:w="10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PREMIUM OUTLETS</w:t>
            </w:r>
          </w:p>
        </w:tc>
        <w:tc>
          <w:tcPr>
            <w:tcW w:w="10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SIMON PROPERTY GROUP</w:t>
            </w: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JOHNSON CREEK</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225 W.</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INDIANAPOLIS</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IN</w:t>
            </w:r>
          </w:p>
        </w:tc>
        <w:tc>
          <w:tcPr>
            <w:tcW w:w="4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46204-3438</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973-364-6526</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LINMAR LANE</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PREMIUM OUTLETS</w:t>
            </w:r>
          </w:p>
        </w:tc>
        <w:tc>
          <w:tcPr>
            <w:tcW w:w="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WASHINGTON</w:t>
            </w:r>
          </w:p>
        </w:tc>
        <w:tc>
          <w:tcPr>
            <w:tcW w:w="78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9629</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ALBERTVILLE</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6500 LABEAUX</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ALBERTVILLE</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MN</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55301</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PREMIUM OUTLET PARTNERS, LP</w:t>
            </w:r>
          </w:p>
        </w:tc>
        <w:tc>
          <w:tcPr>
            <w:tcW w:w="102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ALBERTVILLE PREMIUM</w:t>
            </w: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225 W.</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105 EISENHOWER</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INDIANAPOLIS</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IN</w:t>
            </w:r>
          </w:p>
        </w:tc>
        <w:tc>
          <w:tcPr>
            <w:tcW w:w="4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46204</w:t>
            </w:r>
          </w:p>
        </w:tc>
        <w:tc>
          <w:tcPr>
            <w:tcW w:w="7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STORE, LLC</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PREMIUM</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AVENUE, SUITE</w:t>
            </w: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OUTLETS</w:t>
            </w: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WASHINGTON</w:t>
            </w:r>
          </w:p>
        </w:tc>
        <w:tc>
          <w:tcPr>
            <w:tcW w:w="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PKWY</w:t>
            </w:r>
          </w:p>
        </w:tc>
        <w:tc>
          <w:tcPr>
            <w:tcW w:w="78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9630</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2601 SOUTH</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FOLEY</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AL</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36535</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COROC/RIVIERA LLC</w:t>
            </w:r>
          </w:p>
        </w:tc>
        <w:tc>
          <w:tcPr>
            <w:tcW w:w="10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LEGAL DEPT</w:t>
            </w:r>
          </w:p>
        </w:tc>
        <w:tc>
          <w:tcPr>
            <w:tcW w:w="106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TANGER</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3200 NORTHLINE</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GREENSBORO</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NC</w:t>
            </w:r>
          </w:p>
        </w:tc>
        <w:tc>
          <w:tcPr>
            <w:tcW w:w="4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27408</w:t>
            </w:r>
          </w:p>
        </w:tc>
        <w:tc>
          <w:tcPr>
            <w:tcW w:w="7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MCKENZIE</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PROPERTIES LP</w:t>
            </w:r>
          </w:p>
        </w:tc>
        <w:tc>
          <w:tcPr>
            <w:tcW w:w="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AVE, SUITE 360</w:t>
            </w:r>
          </w:p>
        </w:tc>
        <w:tc>
          <w:tcPr>
            <w:tcW w:w="78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9631</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VACAVILLE</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101 NUT TREE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VACAVILLE</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CA</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95687</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SPG FINANCE II, LLC</w:t>
            </w:r>
          </w:p>
        </w:tc>
        <w:tc>
          <w:tcPr>
            <w:tcW w:w="10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PREMIUM OUTLETS</w:t>
            </w:r>
          </w:p>
        </w:tc>
        <w:tc>
          <w:tcPr>
            <w:tcW w:w="10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SIMON PROPERTY GROUP</w:t>
            </w: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VACAVILLE</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225 WEST</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INDIANAPOLIS</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IN</w:t>
            </w:r>
          </w:p>
        </w:tc>
        <w:tc>
          <w:tcPr>
            <w:tcW w:w="4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46204-3438</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317-685-7234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STORE, LLC</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PREMIUM</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ROAD, #101 J</w:t>
            </w: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PREMIUM OUTLETS</w:t>
            </w:r>
          </w:p>
        </w:tc>
        <w:tc>
          <w:tcPr>
            <w:tcW w:w="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WASHINGTON</w:t>
            </w:r>
          </w:p>
        </w:tc>
        <w:tc>
          <w:tcPr>
            <w:tcW w:w="78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9632</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ST. AUGUSTINE</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ST. AUGUSTINE</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FL</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32092</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PREMIUM OUTLET PARTNERS, LP</w:t>
            </w:r>
          </w:p>
        </w:tc>
        <w:tc>
          <w:tcPr>
            <w:tcW w:w="10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PREMIUM OUTLETS</w:t>
            </w:r>
          </w:p>
        </w:tc>
        <w:tc>
          <w:tcPr>
            <w:tcW w:w="10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SIMON PROPERTY GROUP</w:t>
            </w: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ST AUGUSTINE</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225 WEST</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INDIANAPOLIS</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IN</w:t>
            </w:r>
          </w:p>
        </w:tc>
        <w:tc>
          <w:tcPr>
            <w:tcW w:w="4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46204-3438</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(973) 228-6111</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PREMIUM</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PREMIUM OUTLETS</w:t>
            </w:r>
          </w:p>
        </w:tc>
        <w:tc>
          <w:tcPr>
            <w:tcW w:w="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WASHINGTON</w:t>
            </w:r>
          </w:p>
        </w:tc>
        <w:tc>
          <w:tcPr>
            <w:tcW w:w="78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9633</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112-A TANGER</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WILLIAMSBURG</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IA</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52361</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TANGER PROPERTIES LP</w:t>
            </w:r>
          </w:p>
        </w:tc>
        <w:tc>
          <w:tcPr>
            <w:tcW w:w="10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LEGAL DEPT</w:t>
            </w:r>
          </w:p>
        </w:tc>
        <w:tc>
          <w:tcPr>
            <w:tcW w:w="106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3200 NORTHLINE</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GREENSBORO</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NC</w:t>
            </w:r>
          </w:p>
        </w:tc>
        <w:tc>
          <w:tcPr>
            <w:tcW w:w="4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27408</w:t>
            </w:r>
          </w:p>
        </w:tc>
        <w:tc>
          <w:tcPr>
            <w:tcW w:w="7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DRIVE</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AVE., SUITE 360</w:t>
            </w:r>
          </w:p>
        </w:tc>
        <w:tc>
          <w:tcPr>
            <w:tcW w:w="76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9635</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1863</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GETTYSBURG</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PA</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17325</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GETTYSBURG OUTLET CENTER CMBS,</w:t>
            </w:r>
          </w:p>
        </w:tc>
        <w:tc>
          <w:tcPr>
            <w:tcW w:w="10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HORIZON GROUP</w:t>
            </w:r>
          </w:p>
        </w:tc>
        <w:tc>
          <w:tcPr>
            <w:tcW w:w="106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5000 HAKES DRIVE,</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MUSKEGON</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MI</w:t>
            </w:r>
          </w:p>
        </w:tc>
        <w:tc>
          <w:tcPr>
            <w:tcW w:w="4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49441</w:t>
            </w:r>
          </w:p>
        </w:tc>
        <w:tc>
          <w:tcPr>
            <w:tcW w:w="7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GETTYSBURG</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LLC</w:t>
            </w:r>
          </w:p>
        </w:tc>
        <w:tc>
          <w:tcPr>
            <w:tcW w:w="1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PROPERTIES, LP</w:t>
            </w:r>
          </w:p>
        </w:tc>
        <w:tc>
          <w:tcPr>
            <w:tcW w:w="106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SUITE 500</w:t>
            </w:r>
          </w:p>
        </w:tc>
        <w:tc>
          <w:tcPr>
            <w:tcW w:w="76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9640</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13000 FOLSOM</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FOLSOM</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CA</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95630</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SIMON FINANCING PARTNERSHIP, LP</w:t>
            </w:r>
          </w:p>
        </w:tc>
        <w:tc>
          <w:tcPr>
            <w:tcW w:w="10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PREMIUM OUTLETS</w:t>
            </w:r>
          </w:p>
        </w:tc>
        <w:tc>
          <w:tcPr>
            <w:tcW w:w="10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SIMON PROPERTY GROUP</w:t>
            </w: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FOLSOM PREMIUM</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225 W.</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INDIANAPOLIS</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IN</w:t>
            </w:r>
          </w:p>
        </w:tc>
        <w:tc>
          <w:tcPr>
            <w:tcW w:w="4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46204</w:t>
            </w:r>
          </w:p>
        </w:tc>
        <w:tc>
          <w:tcPr>
            <w:tcW w:w="7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STORE, LLC</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BOULEVARD</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OUTLETS</w:t>
            </w:r>
          </w:p>
        </w:tc>
        <w:tc>
          <w:tcPr>
            <w:tcW w:w="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WASHINGTON</w:t>
            </w:r>
          </w:p>
        </w:tc>
        <w:tc>
          <w:tcPr>
            <w:tcW w:w="78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9642</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550 PREMIUM</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HAGERSTOWN</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MD</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21740</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OUTLET VILLAGE OF HAGERSTOWN</w:t>
            </w:r>
          </w:p>
        </w:tc>
        <w:tc>
          <w:tcPr>
            <w:tcW w:w="10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ID#10316219968</w:t>
            </w:r>
          </w:p>
        </w:tc>
        <w:tc>
          <w:tcPr>
            <w:tcW w:w="10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PREMIUM OUTLETS</w:t>
            </w: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C/O SIMON</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225 W.</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INDIANAPOLIS</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IN</w:t>
            </w:r>
          </w:p>
        </w:tc>
        <w:tc>
          <w:tcPr>
            <w:tcW w:w="4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46204-3438</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(317) 636-1600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OUTLETS</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LP</w:t>
            </w:r>
          </w:p>
        </w:tc>
        <w:tc>
          <w:tcPr>
            <w:tcW w:w="102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PROPERTY GROUP</w:t>
            </w:r>
          </w:p>
        </w:tc>
        <w:tc>
          <w:tcPr>
            <w:tcW w:w="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WASHINGTON</w:t>
            </w:r>
          </w:p>
        </w:tc>
        <w:tc>
          <w:tcPr>
            <w:tcW w:w="78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9643</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1911 LEESBURG</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GROVE CITY</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PA</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16127</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GROVE CITY FACTORY SHOPS, LP</w:t>
            </w:r>
          </w:p>
        </w:tc>
        <w:tc>
          <w:tcPr>
            <w:tcW w:w="10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PREMIUM OUTLETS</w:t>
            </w:r>
          </w:p>
        </w:tc>
        <w:tc>
          <w:tcPr>
            <w:tcW w:w="10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SIMON PROPERTY GROUP</w:t>
            </w: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225 W.</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INDIANAPOLIS</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IN</w:t>
            </w:r>
          </w:p>
        </w:tc>
        <w:tc>
          <w:tcPr>
            <w:tcW w:w="4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46204</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(317) 363-1600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GROVE CITY</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WASHINGTON</w:t>
            </w:r>
          </w:p>
        </w:tc>
        <w:tc>
          <w:tcPr>
            <w:tcW w:w="76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9644</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GLENWOOD</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7 GLENWOOD</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CLINTON</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CT</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6413</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MGF, INC</w:t>
            </w:r>
          </w:p>
        </w:tc>
        <w:tc>
          <w:tcPr>
            <w:tcW w:w="102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1557 LAKE</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WINDERMERE</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FL</w:t>
            </w:r>
          </w:p>
        </w:tc>
        <w:tc>
          <w:tcPr>
            <w:tcW w:w="4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34786</w:t>
            </w:r>
          </w:p>
        </w:tc>
        <w:tc>
          <w:tcPr>
            <w:tcW w:w="7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VILLAGE</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ROAD, SUITE E</w:t>
            </w: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WHITNEY DRIVE</w:t>
            </w:r>
          </w:p>
        </w:tc>
        <w:tc>
          <w:tcPr>
            <w:tcW w:w="76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9665</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4540 OSAGE</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OSAGE BEACH</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MO</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65065</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PREMIUM OUTLET PARTNERS, LP</w:t>
            </w:r>
          </w:p>
        </w:tc>
        <w:tc>
          <w:tcPr>
            <w:tcW w:w="10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PREMIUM OUTLETS</w:t>
            </w:r>
          </w:p>
        </w:tc>
        <w:tc>
          <w:tcPr>
            <w:tcW w:w="10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SIMON PROPERTY GROUP</w:t>
            </w: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OSAGE BEACH</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225 W.</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INDIANAPOLIS</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IN</w:t>
            </w:r>
          </w:p>
        </w:tc>
        <w:tc>
          <w:tcPr>
            <w:tcW w:w="4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46204-3438</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973-364-6526</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BEACH PARKWAY,</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OUTLET</w:t>
            </w:r>
          </w:p>
        </w:tc>
        <w:tc>
          <w:tcPr>
            <w:tcW w:w="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WASHINGTON</w:t>
            </w:r>
          </w:p>
        </w:tc>
        <w:tc>
          <w:tcPr>
            <w:tcW w:w="78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9668</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MIDWAY</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18701 COASTAL</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REHOBOTH</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DE</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19971-</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MIDWAY SHOPPES, LLC</w:t>
            </w:r>
          </w:p>
        </w:tc>
        <w:tc>
          <w:tcPr>
            <w:tcW w:w="102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30373</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SALISBURY</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MD</w:t>
            </w:r>
          </w:p>
        </w:tc>
        <w:tc>
          <w:tcPr>
            <w:tcW w:w="4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21804</w:t>
            </w:r>
          </w:p>
        </w:tc>
        <w:tc>
          <w:tcPr>
            <w:tcW w:w="7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GALLERIA</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HIGHWAY UNIT 3</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BEACH</w:t>
            </w: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6190</w:t>
            </w: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SOUTHAMPTON</w:t>
            </w:r>
          </w:p>
        </w:tc>
        <w:tc>
          <w:tcPr>
            <w:tcW w:w="76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9670</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10737 FACTORY</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GULFPORT</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MS</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39503</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GULFPORT FACTORY SHOPS LP</w:t>
            </w:r>
          </w:p>
        </w:tc>
        <w:tc>
          <w:tcPr>
            <w:tcW w:w="10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PREMIUM OUTLETS</w:t>
            </w:r>
          </w:p>
        </w:tc>
        <w:tc>
          <w:tcPr>
            <w:tcW w:w="10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SIMON PROPERTY GROUP</w:t>
            </w: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7968CASMA1/</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225 W.</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INDIANAPOLIS</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IN</w:t>
            </w:r>
          </w:p>
        </w:tc>
        <w:tc>
          <w:tcPr>
            <w:tcW w:w="4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46204</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(317) 636-1600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SHOPS</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WASHINGTON</w:t>
            </w:r>
          </w:p>
        </w:tc>
        <w:tc>
          <w:tcPr>
            <w:tcW w:w="78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9683</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537 MONMOUTH</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JACKSON</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NJ</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8527</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PREMIUM OUTLET PARTNERS, LP</w:t>
            </w:r>
          </w:p>
        </w:tc>
        <w:tc>
          <w:tcPr>
            <w:tcW w:w="10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PREMIUM OUTLETS</w:t>
            </w:r>
          </w:p>
        </w:tc>
        <w:tc>
          <w:tcPr>
            <w:tcW w:w="10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SIMON PROPERTY GROUP</w:t>
            </w: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JACKSON PREMIUM</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225 WEST</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INDIANAPOLIS</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IN</w:t>
            </w:r>
          </w:p>
        </w:tc>
        <w:tc>
          <w:tcPr>
            <w:tcW w:w="4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46204-3438</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973-364-6526</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RD SPACE 322</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OUTLETS</w:t>
            </w:r>
          </w:p>
        </w:tc>
        <w:tc>
          <w:tcPr>
            <w:tcW w:w="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WASHINGTON</w:t>
            </w:r>
          </w:p>
        </w:tc>
        <w:tc>
          <w:tcPr>
            <w:tcW w:w="78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9685</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AZALEA</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4827 FIRESTONE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SOUTH GATE</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CA</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90280-</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AZALEA JOINT VENTURE, LLC</w:t>
            </w:r>
          </w:p>
        </w:tc>
        <w:tc>
          <w:tcPr>
            <w:tcW w:w="10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LEGAL DEPT</w:t>
            </w:r>
          </w:p>
        </w:tc>
        <w:tc>
          <w:tcPr>
            <w:tcW w:w="10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FEDERAL REALTY</w:t>
            </w: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1626 EAST</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ROCKVILLE</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MD</w:t>
            </w:r>
          </w:p>
        </w:tc>
        <w:tc>
          <w:tcPr>
            <w:tcW w:w="4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20852-4041</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310-652-1177</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STORE, LLC</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SHOPPING</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BLVD.</w:t>
            </w: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3473</w:t>
            </w: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INVESTMENT TRUST</w:t>
            </w: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JEFFERSON STREET</w:t>
            </w:r>
          </w:p>
        </w:tc>
        <w:tc>
          <w:tcPr>
            <w:tcW w:w="76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9686</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1740</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MICHIGAN CITY</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IN</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46360</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LIGHTHOUSE PLACE PREMIUM</w:t>
            </w:r>
          </w:p>
        </w:tc>
        <w:tc>
          <w:tcPr>
            <w:tcW w:w="10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PREMIUM OUTLETS</w:t>
            </w:r>
          </w:p>
        </w:tc>
        <w:tc>
          <w:tcPr>
            <w:tcW w:w="10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SIMON PROPERTY GROUP</w:t>
            </w: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225 WEST</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105 EISENHOWER</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INDIANAPOLIS</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IN</w:t>
            </w:r>
          </w:p>
        </w:tc>
        <w:tc>
          <w:tcPr>
            <w:tcW w:w="4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46204-3438</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(973) 228-6111</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LIGHTHOUSE</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OUTLETS</w:t>
            </w:r>
          </w:p>
        </w:tc>
        <w:tc>
          <w:tcPr>
            <w:tcW w:w="102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WASHINGTON</w:t>
            </w:r>
          </w:p>
        </w:tc>
        <w:tc>
          <w:tcPr>
            <w:tcW w:w="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PARKWAY</w:t>
            </w:r>
          </w:p>
        </w:tc>
        <w:tc>
          <w:tcPr>
            <w:tcW w:w="78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9693</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4401 NORTH IH</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ROUND ROCK</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TX</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78664</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ROUND ROCK PREMIUM OUTLETS, LP</w:t>
            </w:r>
          </w:p>
        </w:tc>
        <w:tc>
          <w:tcPr>
            <w:tcW w:w="10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PREMIUM OUTLETS</w:t>
            </w:r>
          </w:p>
        </w:tc>
        <w:tc>
          <w:tcPr>
            <w:tcW w:w="10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SIMON PROPERTY GROUP</w:t>
            </w: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225 W.</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105 EISENHOWER</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INDIANAPOLIS</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IN</w:t>
            </w:r>
          </w:p>
        </w:tc>
        <w:tc>
          <w:tcPr>
            <w:tcW w:w="4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46204-3438</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(973) 228-6111</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35 SUITE 869</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WASHINGTON</w:t>
            </w:r>
          </w:p>
        </w:tc>
        <w:tc>
          <w:tcPr>
            <w:tcW w:w="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PARKWAY</w:t>
            </w:r>
          </w:p>
        </w:tc>
        <w:tc>
          <w:tcPr>
            <w:tcW w:w="78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9696</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18 LIGHTCAP</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POTTSTOWN</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PA</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19464</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PHILADELPHIA PREMIUM OUTLETS,</w:t>
            </w:r>
          </w:p>
        </w:tc>
        <w:tc>
          <w:tcPr>
            <w:tcW w:w="10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PREMIUM OUTLETS</w:t>
            </w:r>
          </w:p>
        </w:tc>
        <w:tc>
          <w:tcPr>
            <w:tcW w:w="10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SIMON PROPERTY GROUP</w:t>
            </w: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225 WEST</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INDIANAPOLIS</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IN</w:t>
            </w:r>
          </w:p>
        </w:tc>
        <w:tc>
          <w:tcPr>
            <w:tcW w:w="4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46204-3438</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317-685-7342</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ROAD SUITE 167</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LLC</w:t>
            </w:r>
          </w:p>
        </w:tc>
        <w:tc>
          <w:tcPr>
            <w:tcW w:w="102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WASHINGTON</w:t>
            </w:r>
          </w:p>
        </w:tc>
        <w:tc>
          <w:tcPr>
            <w:tcW w:w="76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9698</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2200 TANGER</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WASHINGTON</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PA</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15301</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TANGER PROPERTIES LP</w:t>
            </w:r>
          </w:p>
        </w:tc>
        <w:tc>
          <w:tcPr>
            <w:tcW w:w="10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LEGAL DEPT</w:t>
            </w:r>
          </w:p>
        </w:tc>
        <w:tc>
          <w:tcPr>
            <w:tcW w:w="106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3200 NORTHLINE</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GREENSBORO</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NC</w:t>
            </w:r>
          </w:p>
        </w:tc>
        <w:tc>
          <w:tcPr>
            <w:tcW w:w="4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27408</w:t>
            </w:r>
          </w:p>
        </w:tc>
        <w:tc>
          <w:tcPr>
            <w:tcW w:w="7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BLVD SUITE 725</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AVE., SUITE 360</w:t>
            </w:r>
          </w:p>
        </w:tc>
        <w:tc>
          <w:tcPr>
            <w:tcW w:w="76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9701</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6041 TOPANGA</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WOODLAND HILLS</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CA</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91367-</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EMANUEL M. RIDER, TRUSTEE</w:t>
            </w:r>
          </w:p>
        </w:tc>
        <w:tc>
          <w:tcPr>
            <w:tcW w:w="102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C/O RICHARD J.</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4640 ADMIRALTY</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MARINA DEL REY</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CA</w:t>
            </w:r>
          </w:p>
        </w:tc>
        <w:tc>
          <w:tcPr>
            <w:tcW w:w="4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90292</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310-827-3808</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STORE, LLC</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CANYON BLVD</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LAUTER &amp; CO., LLP</w:t>
            </w:r>
          </w:p>
        </w:tc>
        <w:tc>
          <w:tcPr>
            <w:tcW w:w="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WAY, SUITE 700</w:t>
            </w:r>
          </w:p>
        </w:tc>
        <w:tc>
          <w:tcPr>
            <w:tcW w:w="78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9703</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16129 S.</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LAWNDALE</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CA</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90260-</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MIRACLE PROPERTIES ,A CALIFORNIA</w:t>
            </w:r>
          </w:p>
        </w:tc>
        <w:tc>
          <w:tcPr>
            <w:tcW w:w="10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RANDALL KRAUSE</w:t>
            </w:r>
          </w:p>
        </w:tc>
        <w:tc>
          <w:tcPr>
            <w:tcW w:w="106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17137 RANCHO</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ENCINO</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CA</w:t>
            </w:r>
          </w:p>
        </w:tc>
        <w:tc>
          <w:tcPr>
            <w:tcW w:w="4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91316</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818-789-2404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STORE, LLC</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HAWTHORNE</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PARTNERSHIP</w:t>
            </w:r>
          </w:p>
        </w:tc>
        <w:tc>
          <w:tcPr>
            <w:tcW w:w="102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STREET</w:t>
            </w:r>
          </w:p>
        </w:tc>
        <w:tc>
          <w:tcPr>
            <w:tcW w:w="76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9704</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SAN BRUNO</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1202 EL CAMINO</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SAN BRUNO</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CA</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94066</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SAN BRUNO TOWNE CENTER</w:t>
            </w:r>
          </w:p>
        </w:tc>
        <w:tc>
          <w:tcPr>
            <w:tcW w:w="102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JLL (JONES LANG</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5645 SILVER CREEK</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SAN JOSE</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CA</w:t>
            </w:r>
          </w:p>
        </w:tc>
        <w:tc>
          <w:tcPr>
            <w:tcW w:w="4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95138</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408-238-4300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STORE, LLC</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TOWNE CENTER</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REAL</w:t>
            </w: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LaSALLE AMERICAS,</w:t>
            </w:r>
          </w:p>
        </w:tc>
        <w:tc>
          <w:tcPr>
            <w:tcW w:w="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VALLEY ROAD,</w:t>
            </w:r>
          </w:p>
        </w:tc>
        <w:tc>
          <w:tcPr>
            <w:tcW w:w="78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9705</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319 S.</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SAN JOSE</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CA</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95128</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MOSCOVITZ PROPERTIES</w:t>
            </w:r>
          </w:p>
        </w:tc>
        <w:tc>
          <w:tcPr>
            <w:tcW w:w="102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C/O ROBERT L</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188 KING STREET</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SAN FRANCISCO</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CA</w:t>
            </w:r>
          </w:p>
        </w:tc>
        <w:tc>
          <w:tcPr>
            <w:tcW w:w="4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94107</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415-726-1900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RBT, LLC</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WINCHESTER</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SOCKOLOV</w:t>
            </w:r>
          </w:p>
        </w:tc>
        <w:tc>
          <w:tcPr>
            <w:tcW w:w="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#303</w:t>
            </w:r>
          </w:p>
        </w:tc>
        <w:tc>
          <w:tcPr>
            <w:tcW w:w="78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9708</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651 CONTRA</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PLEASANT HILL</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CA</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94523</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PH SEKA PROPERTIES, LLC</w:t>
            </w:r>
          </w:p>
        </w:tc>
        <w:tc>
          <w:tcPr>
            <w:tcW w:w="102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23 RAILROAD AVE</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DANVILLE</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CA</w:t>
            </w:r>
          </w:p>
        </w:tc>
        <w:tc>
          <w:tcPr>
            <w:tcW w:w="4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94526</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925-570-4252</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STORE, LLC</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COSTA BLVD.</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#1083</w:t>
            </w:r>
          </w:p>
        </w:tc>
        <w:tc>
          <w:tcPr>
            <w:tcW w:w="76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9714</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4935-B NORTH</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FRESNO</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CA</w:t>
            </w:r>
          </w:p>
        </w:tc>
        <w:tc>
          <w:tcPr>
            <w:tcW w:w="360" w:type="dxa"/>
            <w:vAlign w:val="bottom"/>
            <w:tcBorders>
              <w:right w:val="single" w:sz="8" w:color="auto"/>
            </w:tcBorders>
          </w:tcPr>
          <w:p>
            <w:pPr>
              <w:spacing w:after="0"/>
              <w:rPr>
                <w:sz w:val="6"/>
                <w:szCs w:val="6"/>
                <w:color w:val="auto"/>
              </w:rPr>
            </w:pP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SHAWSTONE TIC</w:t>
            </w:r>
          </w:p>
        </w:tc>
        <w:tc>
          <w:tcPr>
            <w:tcW w:w="102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SIEGEL &amp; COMPANY</w:t>
            </w: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5305 N. FRESNO</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FRESNO</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CA</w:t>
            </w:r>
          </w:p>
        </w:tc>
        <w:tc>
          <w:tcPr>
            <w:tcW w:w="4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93710</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559-438-0733</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STORE, LLC</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BLACKSTONE</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STREET #108</w:t>
            </w:r>
          </w:p>
        </w:tc>
        <w:tc>
          <w:tcPr>
            <w:tcW w:w="76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9715</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798 INLAND</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SAN BERNARDINO</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CA</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92408</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H/INLAND ENTERPRISES</w:t>
            </w:r>
          </w:p>
        </w:tc>
        <w:tc>
          <w:tcPr>
            <w:tcW w:w="10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#5274 A/B</w:t>
            </w:r>
          </w:p>
        </w:tc>
        <w:tc>
          <w:tcPr>
            <w:tcW w:w="10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CHARLES DUNN REAL</w:t>
            </w: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800 W.6TH STREET</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SUITE #600</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LOS ANGELES</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CA</w:t>
            </w:r>
          </w:p>
        </w:tc>
        <w:tc>
          <w:tcPr>
            <w:tcW w:w="4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90017</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213-683-0500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STORE, LLC</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CENTER DRIVE</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ESTATE SERVICES INC</w:t>
            </w: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9716</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1705 E.</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PHOENIX</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AZ</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85016</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LOU REGESTER FURNITURE CO INC</w:t>
            </w:r>
          </w:p>
        </w:tc>
        <w:tc>
          <w:tcPr>
            <w:tcW w:w="102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C/O JOHN</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PO BOX 44331</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PHOENIX</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AZ</w:t>
            </w:r>
          </w:p>
        </w:tc>
        <w:tc>
          <w:tcPr>
            <w:tcW w:w="4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85064-4331</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(602) 277-7481</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STORE, LLC</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CAMELBACK</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REGESTER</w:t>
            </w:r>
          </w:p>
        </w:tc>
        <w:tc>
          <w:tcPr>
            <w:tcW w:w="76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9718</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1911 SANTA</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SANTA ROSA</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CA</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95407-</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KAREN LYNN BASSO</w:t>
            </w:r>
          </w:p>
        </w:tc>
        <w:tc>
          <w:tcPr>
            <w:tcW w:w="102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PO BOX 1635</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WINDSOR</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CA</w:t>
            </w:r>
          </w:p>
        </w:tc>
        <w:tc>
          <w:tcPr>
            <w:tcW w:w="4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95492</w:t>
            </w:r>
          </w:p>
        </w:tc>
        <w:tc>
          <w:tcPr>
            <w:tcW w:w="7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STORE, LLC</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ROSA AVENUE</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9720</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1381 W. SUNSET</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HENDERSON</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NV</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89014</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CH RETAIL FUND I/LAS VEGAS</w:t>
            </w:r>
          </w:p>
        </w:tc>
        <w:tc>
          <w:tcPr>
            <w:tcW w:w="10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ASSET MANAGER-SUNSET</w:t>
            </w:r>
          </w:p>
        </w:tc>
        <w:tc>
          <w:tcPr>
            <w:tcW w:w="106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3819 MAPLE AVE</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DALLAS</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TX</w:t>
            </w:r>
          </w:p>
        </w:tc>
        <w:tc>
          <w:tcPr>
            <w:tcW w:w="4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75219</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214-661-8000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ROAD, SUITE 140</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SUNSET, LLC</w:t>
            </w:r>
          </w:p>
        </w:tc>
        <w:tc>
          <w:tcPr>
            <w:tcW w:w="102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9723</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13766 Jamboree</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IRVINE</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CA</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92602</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TIC INVESTMENTSCOMPANY</w:t>
            </w:r>
          </w:p>
        </w:tc>
        <w:tc>
          <w:tcPr>
            <w:tcW w:w="102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THE IRVINE COMPANY LLC</w:t>
            </w: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101 INNOVATION</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IRVINE</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CA</w:t>
            </w:r>
          </w:p>
        </w:tc>
        <w:tc>
          <w:tcPr>
            <w:tcW w:w="4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92671</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949-720-3100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STORE, LLC</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Road</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DRIVE</w:t>
            </w:r>
          </w:p>
        </w:tc>
        <w:tc>
          <w:tcPr>
            <w:tcW w:w="76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3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20" w:right="179" w:bottom="1440" w:gutter="0" w:footer="0" w:header="0"/>
        </w:sectPr>
      </w:pPr>
    </w:p>
    <w:bookmarkStart w:id="163" w:name="page164"/>
    <w:bookmarkEnd w:id="163"/>
    <w:tbl>
      <w:tblPr>
        <w:tblLayout w:type="fixed"/>
        <w:tblInd w:w="10" w:type="dxa"/>
        <w:tblCellMar>
          <w:top w:w="0" w:type="dxa"/>
          <w:left w:w="0" w:type="dxa"/>
          <w:bottom w:w="0" w:type="dxa"/>
          <w:right w:w="0" w:type="dxa"/>
        </w:tblCellMar>
      </w:tblPr>
      <w:tr>
        <w:trPr>
          <w:trHeight w:val="81"/>
        </w:trPr>
        <w:tc>
          <w:tcPr>
            <w:tcW w:w="360" w:type="dxa"/>
            <w:vAlign w:val="bottom"/>
            <w:tcBorders>
              <w:top w:val="single" w:sz="8" w:color="auto"/>
              <w:left w:val="single" w:sz="8" w:color="auto"/>
              <w:right w:val="single" w:sz="8" w:color="auto"/>
            </w:tcBorders>
          </w:tcPr>
          <w:p>
            <w:pPr>
              <w:spacing w:after="0"/>
              <w:rPr>
                <w:sz w:val="7"/>
                <w:szCs w:val="7"/>
                <w:color w:val="auto"/>
              </w:rPr>
            </w:pPr>
          </w:p>
        </w:tc>
        <w:tc>
          <w:tcPr>
            <w:tcW w:w="780" w:type="dxa"/>
            <w:vAlign w:val="bottom"/>
            <w:tcBorders>
              <w:top w:val="single" w:sz="8" w:color="auto"/>
              <w:right w:val="single" w:sz="8" w:color="auto"/>
            </w:tcBorders>
          </w:tcPr>
          <w:p>
            <w:pPr>
              <w:spacing w:after="0"/>
              <w:rPr>
                <w:sz w:val="7"/>
                <w:szCs w:val="7"/>
                <w:color w:val="auto"/>
              </w:rPr>
            </w:pPr>
          </w:p>
        </w:tc>
        <w:tc>
          <w:tcPr>
            <w:tcW w:w="780" w:type="dxa"/>
            <w:vAlign w:val="bottom"/>
            <w:tcBorders>
              <w:top w:val="single" w:sz="8" w:color="auto"/>
              <w:right w:val="single" w:sz="8" w:color="auto"/>
            </w:tcBorders>
          </w:tcPr>
          <w:p>
            <w:pPr>
              <w:spacing w:after="0"/>
              <w:rPr>
                <w:sz w:val="7"/>
                <w:szCs w:val="7"/>
                <w:color w:val="auto"/>
              </w:rPr>
            </w:pPr>
          </w:p>
        </w:tc>
        <w:tc>
          <w:tcPr>
            <w:tcW w:w="780" w:type="dxa"/>
            <w:vAlign w:val="bottom"/>
            <w:tcBorders>
              <w:top w:val="single" w:sz="8" w:color="auto"/>
              <w:right w:val="single" w:sz="8" w:color="auto"/>
            </w:tcBorders>
          </w:tcPr>
          <w:p>
            <w:pPr>
              <w:spacing w:after="0"/>
              <w:rPr>
                <w:sz w:val="7"/>
                <w:szCs w:val="7"/>
                <w:color w:val="auto"/>
              </w:rPr>
            </w:pPr>
          </w:p>
        </w:tc>
        <w:tc>
          <w:tcPr>
            <w:tcW w:w="780" w:type="dxa"/>
            <w:vAlign w:val="bottom"/>
            <w:tcBorders>
              <w:top w:val="single" w:sz="8" w:color="auto"/>
              <w:right w:val="single" w:sz="8" w:color="auto"/>
            </w:tcBorders>
          </w:tcPr>
          <w:p>
            <w:pPr>
              <w:spacing w:after="0"/>
              <w:rPr>
                <w:sz w:val="7"/>
                <w:szCs w:val="7"/>
                <w:color w:val="auto"/>
              </w:rPr>
            </w:pPr>
          </w:p>
        </w:tc>
        <w:tc>
          <w:tcPr>
            <w:tcW w:w="300" w:type="dxa"/>
            <w:vAlign w:val="bottom"/>
            <w:tcBorders>
              <w:top w:val="single" w:sz="8" w:color="auto"/>
              <w:right w:val="single" w:sz="8" w:color="auto"/>
            </w:tcBorders>
          </w:tcPr>
          <w:p>
            <w:pPr>
              <w:spacing w:after="0"/>
              <w:rPr>
                <w:sz w:val="7"/>
                <w:szCs w:val="7"/>
                <w:color w:val="auto"/>
              </w:rPr>
            </w:pPr>
          </w:p>
        </w:tc>
        <w:tc>
          <w:tcPr>
            <w:tcW w:w="3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7"/>
                <w:szCs w:val="7"/>
                <w:b w:val="1"/>
                <w:bCs w:val="1"/>
                <w:color w:val="auto"/>
              </w:rPr>
              <w:t>Store</w:t>
            </w:r>
          </w:p>
        </w:tc>
        <w:tc>
          <w:tcPr>
            <w:tcW w:w="1440" w:type="dxa"/>
            <w:vAlign w:val="bottom"/>
            <w:tcBorders>
              <w:top w:val="single" w:sz="8" w:color="auto"/>
              <w:right w:val="single" w:sz="8" w:color="auto"/>
            </w:tcBorders>
          </w:tcPr>
          <w:p>
            <w:pPr>
              <w:spacing w:after="0"/>
              <w:rPr>
                <w:sz w:val="7"/>
                <w:szCs w:val="7"/>
                <w:color w:val="auto"/>
              </w:rPr>
            </w:pPr>
          </w:p>
        </w:tc>
        <w:tc>
          <w:tcPr>
            <w:tcW w:w="1040" w:type="dxa"/>
            <w:vAlign w:val="bottom"/>
            <w:tcBorders>
              <w:top w:val="single" w:sz="8" w:color="auto"/>
              <w:right w:val="single" w:sz="8" w:color="auto"/>
            </w:tcBorders>
          </w:tcPr>
          <w:p>
            <w:pPr>
              <w:spacing w:after="0"/>
              <w:rPr>
                <w:sz w:val="7"/>
                <w:szCs w:val="7"/>
                <w:color w:val="auto"/>
              </w:rPr>
            </w:pPr>
          </w:p>
        </w:tc>
        <w:tc>
          <w:tcPr>
            <w:tcW w:w="1020" w:type="dxa"/>
            <w:vAlign w:val="bottom"/>
            <w:tcBorders>
              <w:top w:val="single" w:sz="8" w:color="auto"/>
              <w:right w:val="single" w:sz="8" w:color="auto"/>
            </w:tcBorders>
          </w:tcPr>
          <w:p>
            <w:pPr>
              <w:spacing w:after="0"/>
              <w:rPr>
                <w:sz w:val="7"/>
                <w:szCs w:val="7"/>
                <w:color w:val="auto"/>
              </w:rPr>
            </w:pPr>
          </w:p>
        </w:tc>
        <w:tc>
          <w:tcPr>
            <w:tcW w:w="780" w:type="dxa"/>
            <w:vAlign w:val="bottom"/>
            <w:tcBorders>
              <w:top w:val="single" w:sz="8" w:color="auto"/>
              <w:left w:val="single" w:sz="8" w:color="auto"/>
              <w:right w:val="single" w:sz="8" w:color="auto"/>
            </w:tcBorders>
          </w:tcPr>
          <w:p>
            <w:pPr>
              <w:spacing w:after="0"/>
              <w:rPr>
                <w:sz w:val="7"/>
                <w:szCs w:val="7"/>
                <w:color w:val="auto"/>
              </w:rPr>
            </w:pPr>
          </w:p>
        </w:tc>
        <w:tc>
          <w:tcPr>
            <w:tcW w:w="800" w:type="dxa"/>
            <w:vAlign w:val="bottom"/>
            <w:tcBorders>
              <w:top w:val="single" w:sz="8" w:color="auto"/>
              <w:right w:val="single" w:sz="8" w:color="auto"/>
            </w:tcBorders>
          </w:tcPr>
          <w:p>
            <w:pPr>
              <w:spacing w:after="0"/>
              <w:rPr>
                <w:sz w:val="7"/>
                <w:szCs w:val="7"/>
                <w:color w:val="auto"/>
              </w:rPr>
            </w:pPr>
          </w:p>
        </w:tc>
        <w:tc>
          <w:tcPr>
            <w:tcW w:w="760" w:type="dxa"/>
            <w:vAlign w:val="bottom"/>
            <w:tcBorders>
              <w:top w:val="single" w:sz="8" w:color="auto"/>
              <w:left w:val="single" w:sz="8" w:color="auto"/>
              <w:right w:val="single" w:sz="8" w:color="auto"/>
            </w:tcBorders>
          </w:tcPr>
          <w:p>
            <w:pPr>
              <w:spacing w:after="0"/>
              <w:rPr>
                <w:sz w:val="7"/>
                <w:szCs w:val="7"/>
                <w:color w:val="auto"/>
              </w:rPr>
            </w:pPr>
          </w:p>
        </w:tc>
        <w:tc>
          <w:tcPr>
            <w:tcW w:w="260" w:type="dxa"/>
            <w:vAlign w:val="bottom"/>
            <w:tcBorders>
              <w:top w:val="single" w:sz="8" w:color="auto"/>
              <w:right w:val="single" w:sz="8" w:color="auto"/>
            </w:tcBorders>
          </w:tcPr>
          <w:p>
            <w:pPr>
              <w:spacing w:after="0"/>
              <w:rPr>
                <w:sz w:val="7"/>
                <w:szCs w:val="7"/>
                <w:color w:val="auto"/>
              </w:rPr>
            </w:pPr>
          </w:p>
        </w:tc>
        <w:tc>
          <w:tcPr>
            <w:tcW w:w="520" w:type="dxa"/>
            <w:vAlign w:val="bottom"/>
            <w:tcBorders>
              <w:top w:val="single" w:sz="8" w:color="auto"/>
              <w:right w:val="single" w:sz="8" w:color="auto"/>
            </w:tcBorders>
          </w:tcPr>
          <w:p>
            <w:pPr>
              <w:spacing w:after="0"/>
              <w:rPr>
                <w:sz w:val="7"/>
                <w:szCs w:val="7"/>
                <w:color w:val="auto"/>
              </w:rPr>
            </w:pPr>
          </w:p>
        </w:tc>
        <w:tc>
          <w:tcPr>
            <w:tcW w:w="740" w:type="dxa"/>
            <w:vAlign w:val="bottom"/>
            <w:tcBorders>
              <w:top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7"/>
                <w:szCs w:val="7"/>
                <w:b w:val="1"/>
                <w:bCs w:val="1"/>
                <w:color w:val="auto"/>
              </w:rPr>
              <w:t>Store</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b w:val="1"/>
                <w:bCs w:val="1"/>
                <w:color w:val="auto"/>
              </w:rPr>
              <w:t>Store Legal Entity</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w w:val="97"/>
              </w:rPr>
              <w:t>Store Street Address</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w w:val="97"/>
              </w:rPr>
              <w:t>Store Street Address</w:t>
            </w:r>
          </w:p>
        </w:tc>
        <w:tc>
          <w:tcPr>
            <w:tcW w:w="78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rPr>
              <w:t>Store</w:t>
            </w:r>
          </w:p>
        </w:tc>
        <w:tc>
          <w:tcPr>
            <w:tcW w:w="360" w:type="dxa"/>
            <w:vAlign w:val="bottom"/>
            <w:tcBorders>
              <w:right w:val="single" w:sz="8" w:color="auto"/>
            </w:tcBorders>
          </w:tcPr>
          <w:p>
            <w:pPr>
              <w:ind w:left="80"/>
              <w:spacing w:after="0"/>
              <w:rPr>
                <w:sz w:val="20"/>
                <w:szCs w:val="20"/>
                <w:color w:val="auto"/>
              </w:rPr>
            </w:pPr>
            <w:r>
              <w:rPr>
                <w:rFonts w:ascii="Arial" w:cs="Arial" w:eastAsia="Arial" w:hAnsi="Arial"/>
                <w:sz w:val="7"/>
                <w:szCs w:val="7"/>
                <w:b w:val="1"/>
                <w:bCs w:val="1"/>
                <w:color w:val="auto"/>
              </w:rPr>
              <w:t>Postal</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Name</w:t>
            </w: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Attention To</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In Care Of</w:t>
            </w:r>
          </w:p>
        </w:tc>
        <w:tc>
          <w:tcPr>
            <w:tcW w:w="780" w:type="dxa"/>
            <w:vAlign w:val="bottom"/>
            <w:tcBorders>
              <w:left w:val="single" w:sz="8" w:color="auto"/>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Street 1</w:t>
            </w:r>
          </w:p>
        </w:tc>
        <w:tc>
          <w:tcPr>
            <w:tcW w:w="8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Street 2</w:t>
            </w:r>
          </w:p>
        </w:tc>
        <w:tc>
          <w:tcPr>
            <w:tcW w:w="760" w:type="dxa"/>
            <w:vAlign w:val="bottom"/>
            <w:tcBorders>
              <w:left w:val="single" w:sz="8" w:color="auto"/>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City</w:t>
            </w:r>
          </w:p>
        </w:tc>
        <w:tc>
          <w:tcPr>
            <w:tcW w:w="260" w:type="dxa"/>
            <w:vAlign w:val="bottom"/>
            <w:tcBorders>
              <w:right w:val="single" w:sz="8" w:color="auto"/>
            </w:tcBorders>
          </w:tcPr>
          <w:p>
            <w:pPr>
              <w:spacing w:after="0"/>
              <w:rPr>
                <w:sz w:val="20"/>
                <w:szCs w:val="20"/>
                <w:color w:val="auto"/>
              </w:rPr>
            </w:pPr>
            <w:r>
              <w:rPr>
                <w:rFonts w:ascii="Arial" w:cs="Arial" w:eastAsia="Arial" w:hAnsi="Arial"/>
                <w:sz w:val="7"/>
                <w:szCs w:val="7"/>
                <w:b w:val="1"/>
                <w:bCs w:val="1"/>
                <w:color w:val="auto"/>
              </w:rPr>
              <w:t>LL</w:t>
            </w:r>
          </w:p>
        </w:tc>
        <w:tc>
          <w:tcPr>
            <w:tcW w:w="5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Zip</w:t>
            </w:r>
          </w:p>
        </w:tc>
        <w:tc>
          <w:tcPr>
            <w:tcW w:w="740" w:type="dxa"/>
            <w:vAlign w:val="bottom"/>
            <w:tcBorders>
              <w:right w:val="single" w:sz="8" w:color="auto"/>
            </w:tcBorders>
          </w:tcPr>
          <w:p>
            <w:pPr>
              <w:spacing w:after="0"/>
              <w:rPr>
                <w:sz w:val="20"/>
                <w:szCs w:val="20"/>
                <w:color w:val="auto"/>
              </w:rPr>
            </w:pPr>
            <w:r>
              <w:rPr>
                <w:rFonts w:ascii="Arial" w:cs="Arial" w:eastAsia="Arial" w:hAnsi="Arial"/>
                <w:sz w:val="7"/>
                <w:szCs w:val="7"/>
                <w:b w:val="1"/>
                <w:bCs w:val="1"/>
                <w:color w:val="auto"/>
              </w:rPr>
              <w:t>LL Phone Number</w:t>
            </w: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rPr>
              <w:t>Store City</w:t>
            </w:r>
          </w:p>
        </w:tc>
        <w:tc>
          <w:tcPr>
            <w:tcW w:w="300" w:type="dxa"/>
            <w:vAlign w:val="bottom"/>
            <w:tcBorders>
              <w:right w:val="single" w:sz="8" w:color="auto"/>
            </w:tcBorders>
            <w:vMerge w:val="continue"/>
          </w:tcPr>
          <w:p>
            <w:pPr>
              <w:spacing w:after="0"/>
              <w:rPr>
                <w:sz w:val="4"/>
                <w:szCs w:val="4"/>
                <w:color w:val="auto"/>
              </w:rPr>
            </w:pPr>
          </w:p>
        </w:tc>
        <w:tc>
          <w:tcPr>
            <w:tcW w:w="36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b w:val="1"/>
                <w:bCs w:val="1"/>
                <w:color w:val="auto"/>
              </w:rPr>
              <w:t>Code</w:t>
            </w:r>
          </w:p>
        </w:tc>
        <w:tc>
          <w:tcPr>
            <w:tcW w:w="1440" w:type="dxa"/>
            <w:vAlign w:val="bottom"/>
            <w:tcBorders>
              <w:right w:val="single" w:sz="8" w:color="auto"/>
            </w:tcBorders>
            <w:vMerge w:val="continue"/>
          </w:tcPr>
          <w:p>
            <w:pPr>
              <w:spacing w:after="0"/>
              <w:rPr>
                <w:sz w:val="4"/>
                <w:szCs w:val="4"/>
                <w:color w:val="auto"/>
              </w:rPr>
            </w:pPr>
          </w:p>
        </w:tc>
        <w:tc>
          <w:tcPr>
            <w:tcW w:w="10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vMerge w:val="continue"/>
          </w:tcPr>
          <w:p>
            <w:pPr>
              <w:spacing w:after="0"/>
              <w:rPr>
                <w:sz w:val="4"/>
                <w:szCs w:val="4"/>
                <w:color w:val="auto"/>
              </w:rPr>
            </w:pPr>
          </w:p>
        </w:tc>
        <w:tc>
          <w:tcPr>
            <w:tcW w:w="780" w:type="dxa"/>
            <w:vAlign w:val="bottom"/>
            <w:tcBorders>
              <w:left w:val="single" w:sz="8" w:color="auto"/>
              <w:right w:val="single" w:sz="8" w:color="auto"/>
            </w:tcBorders>
            <w:vMerge w:val="continue"/>
          </w:tcPr>
          <w:p>
            <w:pPr>
              <w:spacing w:after="0"/>
              <w:rPr>
                <w:sz w:val="4"/>
                <w:szCs w:val="4"/>
                <w:color w:val="auto"/>
              </w:rPr>
            </w:pPr>
          </w:p>
        </w:tc>
        <w:tc>
          <w:tcPr>
            <w:tcW w:w="800" w:type="dxa"/>
            <w:vAlign w:val="bottom"/>
            <w:tcBorders>
              <w:right w:val="single" w:sz="8" w:color="auto"/>
            </w:tcBorders>
            <w:vMerge w:val="continue"/>
          </w:tcPr>
          <w:p>
            <w:pPr>
              <w:spacing w:after="0"/>
              <w:rPr>
                <w:sz w:val="4"/>
                <w:szCs w:val="4"/>
                <w:color w:val="auto"/>
              </w:rPr>
            </w:pPr>
          </w:p>
        </w:tc>
        <w:tc>
          <w:tcPr>
            <w:tcW w:w="760" w:type="dxa"/>
            <w:vAlign w:val="bottom"/>
            <w:tcBorders>
              <w:left w:val="single" w:sz="8" w:color="auto"/>
              <w:right w:val="single" w:sz="8" w:color="auto"/>
            </w:tcBorders>
            <w:vMerge w:val="continue"/>
          </w:tcPr>
          <w:p>
            <w:pPr>
              <w:spacing w:after="0"/>
              <w:rPr>
                <w:sz w:val="4"/>
                <w:szCs w:val="4"/>
                <w:color w:val="auto"/>
              </w:rPr>
            </w:pPr>
          </w:p>
        </w:tc>
        <w:tc>
          <w:tcPr>
            <w:tcW w:w="2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State</w:t>
            </w:r>
          </w:p>
        </w:tc>
        <w:tc>
          <w:tcPr>
            <w:tcW w:w="520" w:type="dxa"/>
            <w:vAlign w:val="bottom"/>
            <w:tcBorders>
              <w:right w:val="single" w:sz="8" w:color="auto"/>
            </w:tcBorders>
            <w:vMerge w:val="continue"/>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3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7"/>
                <w:szCs w:val="7"/>
                <w:b w:val="1"/>
                <w:bCs w:val="1"/>
                <w:color w:val="auto"/>
              </w:rPr>
              <w:t>#</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b w:val="1"/>
                <w:bCs w:val="1"/>
                <w:color w:val="auto"/>
              </w:rPr>
              <w:t>Name</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rPr>
              <w:t>#1</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rPr>
              <w:t>#2</w:t>
            </w:r>
          </w:p>
        </w:tc>
        <w:tc>
          <w:tcPr>
            <w:tcW w:w="780" w:type="dxa"/>
            <w:vAlign w:val="bottom"/>
            <w:tcBorders>
              <w:right w:val="single" w:sz="8" w:color="auto"/>
            </w:tcBorders>
            <w:vMerge w:val="continue"/>
          </w:tcPr>
          <w:p>
            <w:pPr>
              <w:spacing w:after="0"/>
              <w:rPr>
                <w:sz w:val="4"/>
                <w:szCs w:val="4"/>
                <w:color w:val="auto"/>
              </w:rPr>
            </w:pPr>
          </w:p>
        </w:tc>
        <w:tc>
          <w:tcPr>
            <w:tcW w:w="30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rPr>
              <w:t>State</w:t>
            </w:r>
          </w:p>
        </w:tc>
        <w:tc>
          <w:tcPr>
            <w:tcW w:w="360" w:type="dxa"/>
            <w:vAlign w:val="bottom"/>
            <w:tcBorders>
              <w:right w:val="single" w:sz="8" w:color="auto"/>
            </w:tcBorders>
            <w:vMerge w:val="continue"/>
          </w:tcPr>
          <w:p>
            <w:pPr>
              <w:spacing w:after="0"/>
              <w:rPr>
                <w:sz w:val="4"/>
                <w:szCs w:val="4"/>
                <w:color w:val="auto"/>
              </w:rPr>
            </w:pPr>
          </w:p>
        </w:tc>
        <w:tc>
          <w:tcPr>
            <w:tcW w:w="144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78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760" w:type="dxa"/>
            <w:vAlign w:val="bottom"/>
            <w:tcBorders>
              <w:left w:val="single" w:sz="8" w:color="auto"/>
              <w:right w:val="single" w:sz="8" w:color="auto"/>
            </w:tcBorders>
          </w:tcPr>
          <w:p>
            <w:pPr>
              <w:spacing w:after="0"/>
              <w:rPr>
                <w:sz w:val="4"/>
                <w:szCs w:val="4"/>
                <w:color w:val="auto"/>
              </w:rPr>
            </w:pPr>
          </w:p>
        </w:tc>
        <w:tc>
          <w:tcPr>
            <w:tcW w:w="260" w:type="dxa"/>
            <w:vAlign w:val="bottom"/>
            <w:tcBorders>
              <w:right w:val="single" w:sz="8" w:color="auto"/>
            </w:tcBorders>
            <w:vMerge w:val="continue"/>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36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780" w:type="dxa"/>
            <w:vAlign w:val="bottom"/>
            <w:tcBorders>
              <w:bottom w:val="single" w:sz="8" w:color="auto"/>
              <w:right w:val="single" w:sz="8" w:color="auto"/>
            </w:tcBorders>
            <w:vMerge w:val="continue"/>
          </w:tcPr>
          <w:p>
            <w:pPr>
              <w:spacing w:after="0"/>
              <w:rPr>
                <w:sz w:val="5"/>
                <w:szCs w:val="5"/>
                <w:color w:val="auto"/>
              </w:rPr>
            </w:pPr>
          </w:p>
        </w:tc>
        <w:tc>
          <w:tcPr>
            <w:tcW w:w="780" w:type="dxa"/>
            <w:vAlign w:val="bottom"/>
            <w:tcBorders>
              <w:bottom w:val="single" w:sz="8" w:color="auto"/>
              <w:right w:val="single" w:sz="8" w:color="auto"/>
            </w:tcBorders>
            <w:vMerge w:val="continue"/>
          </w:tcPr>
          <w:p>
            <w:pPr>
              <w:spacing w:after="0"/>
              <w:rPr>
                <w:sz w:val="5"/>
                <w:szCs w:val="5"/>
                <w:color w:val="auto"/>
              </w:rPr>
            </w:pPr>
          </w:p>
        </w:tc>
        <w:tc>
          <w:tcPr>
            <w:tcW w:w="780" w:type="dxa"/>
            <w:vAlign w:val="bottom"/>
            <w:tcBorders>
              <w:bottom w:val="single" w:sz="8" w:color="auto"/>
              <w:right w:val="single" w:sz="8" w:color="auto"/>
            </w:tcBorders>
            <w:vMerge w:val="continue"/>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300" w:type="dxa"/>
            <w:vAlign w:val="bottom"/>
            <w:tcBorders>
              <w:bottom w:val="single" w:sz="8" w:color="auto"/>
              <w:right w:val="single" w:sz="8" w:color="auto"/>
            </w:tcBorders>
            <w:vMerge w:val="continue"/>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780" w:type="dxa"/>
            <w:vAlign w:val="bottom"/>
            <w:tcBorders>
              <w:left w:val="single" w:sz="8" w:color="auto"/>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760" w:type="dxa"/>
            <w:vAlign w:val="bottom"/>
            <w:tcBorders>
              <w:left w:val="single" w:sz="8" w:color="auto"/>
              <w:bottom w:val="single" w:sz="8" w:color="auto"/>
              <w:right w:val="single" w:sz="8" w:color="auto"/>
            </w:tcBorders>
          </w:tcPr>
          <w:p>
            <w:pPr>
              <w:spacing w:after="0"/>
              <w:rPr>
                <w:sz w:val="5"/>
                <w:szCs w:val="5"/>
                <w:color w:val="auto"/>
              </w:rPr>
            </w:pPr>
          </w:p>
        </w:tc>
        <w:tc>
          <w:tcPr>
            <w:tcW w:w="26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360" w:type="dxa"/>
            <w:vAlign w:val="bottom"/>
            <w:tcBorders>
              <w:left w:val="single" w:sz="8" w:color="auto"/>
              <w:right w:val="single" w:sz="8" w:color="auto"/>
            </w:tcBorders>
          </w:tcPr>
          <w:p>
            <w:pPr>
              <w:jc w:val="right"/>
              <w:ind w:right="44"/>
              <w:spacing w:after="0" w:line="74" w:lineRule="exact"/>
              <w:rPr>
                <w:sz w:val="20"/>
                <w:szCs w:val="20"/>
                <w:color w:val="auto"/>
              </w:rPr>
            </w:pPr>
            <w:r>
              <w:rPr>
                <w:rFonts w:ascii="Arial" w:cs="Arial" w:eastAsia="Arial" w:hAnsi="Arial"/>
                <w:sz w:val="7"/>
                <w:szCs w:val="7"/>
                <w:color w:val="auto"/>
              </w:rPr>
              <w:t>9727</w:t>
            </w:r>
          </w:p>
        </w:tc>
        <w:tc>
          <w:tcPr>
            <w:tcW w:w="780" w:type="dxa"/>
            <w:vAlign w:val="bottom"/>
            <w:tcBorders>
              <w:right w:val="single" w:sz="8" w:color="auto"/>
            </w:tcBorders>
          </w:tcPr>
          <w:p>
            <w:pPr>
              <w:ind w:left="80"/>
              <w:spacing w:after="0" w:line="74"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4" w:lineRule="exact"/>
              <w:rPr>
                <w:sz w:val="20"/>
                <w:szCs w:val="20"/>
                <w:color w:val="auto"/>
              </w:rPr>
            </w:pPr>
            <w:r>
              <w:rPr>
                <w:rFonts w:ascii="Arial" w:cs="Arial" w:eastAsia="Arial" w:hAnsi="Arial"/>
                <w:sz w:val="7"/>
                <w:szCs w:val="7"/>
                <w:color w:val="auto"/>
              </w:rPr>
              <w:t>5756 PACIFIC</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4" w:lineRule="exact"/>
              <w:rPr>
                <w:sz w:val="20"/>
                <w:szCs w:val="20"/>
                <w:color w:val="auto"/>
              </w:rPr>
            </w:pPr>
            <w:r>
              <w:rPr>
                <w:rFonts w:ascii="Arial" w:cs="Arial" w:eastAsia="Arial" w:hAnsi="Arial"/>
                <w:sz w:val="7"/>
                <w:szCs w:val="7"/>
                <w:color w:val="auto"/>
              </w:rPr>
              <w:t>STOCKTON</w:t>
            </w:r>
          </w:p>
        </w:tc>
        <w:tc>
          <w:tcPr>
            <w:tcW w:w="300" w:type="dxa"/>
            <w:vAlign w:val="bottom"/>
            <w:tcBorders>
              <w:right w:val="single" w:sz="8" w:color="auto"/>
            </w:tcBorders>
          </w:tcPr>
          <w:p>
            <w:pPr>
              <w:ind w:left="60"/>
              <w:spacing w:after="0" w:line="74" w:lineRule="exact"/>
              <w:rPr>
                <w:sz w:val="20"/>
                <w:szCs w:val="20"/>
                <w:color w:val="auto"/>
              </w:rPr>
            </w:pPr>
            <w:r>
              <w:rPr>
                <w:rFonts w:ascii="Arial" w:cs="Arial" w:eastAsia="Arial" w:hAnsi="Arial"/>
                <w:sz w:val="7"/>
                <w:szCs w:val="7"/>
                <w:color w:val="auto"/>
              </w:rPr>
              <w:t>CA</w:t>
            </w:r>
          </w:p>
        </w:tc>
        <w:tc>
          <w:tcPr>
            <w:tcW w:w="360" w:type="dxa"/>
            <w:vAlign w:val="bottom"/>
            <w:tcBorders>
              <w:right w:val="single" w:sz="8" w:color="auto"/>
            </w:tcBorders>
          </w:tcPr>
          <w:p>
            <w:pPr>
              <w:ind w:left="80"/>
              <w:spacing w:after="0" w:line="74" w:lineRule="exact"/>
              <w:rPr>
                <w:sz w:val="20"/>
                <w:szCs w:val="20"/>
                <w:color w:val="auto"/>
              </w:rPr>
            </w:pPr>
            <w:r>
              <w:rPr>
                <w:rFonts w:ascii="Arial" w:cs="Arial" w:eastAsia="Arial" w:hAnsi="Arial"/>
                <w:sz w:val="7"/>
                <w:szCs w:val="7"/>
                <w:color w:val="auto"/>
              </w:rPr>
              <w:t>95207</w:t>
            </w:r>
          </w:p>
        </w:tc>
        <w:tc>
          <w:tcPr>
            <w:tcW w:w="1440" w:type="dxa"/>
            <w:vAlign w:val="bottom"/>
            <w:tcBorders>
              <w:right w:val="single" w:sz="8" w:color="auto"/>
            </w:tcBorders>
          </w:tcPr>
          <w:p>
            <w:pPr>
              <w:spacing w:after="0" w:line="74" w:lineRule="exact"/>
              <w:rPr>
                <w:sz w:val="20"/>
                <w:szCs w:val="20"/>
                <w:color w:val="auto"/>
              </w:rPr>
            </w:pPr>
            <w:r>
              <w:rPr>
                <w:rFonts w:ascii="Arial" w:cs="Arial" w:eastAsia="Arial" w:hAnsi="Arial"/>
                <w:sz w:val="7"/>
                <w:szCs w:val="7"/>
                <w:color w:val="auto"/>
              </w:rPr>
              <w:t>STONE BROTHERS &amp; ASSOC</w:t>
            </w:r>
          </w:p>
        </w:tc>
        <w:tc>
          <w:tcPr>
            <w:tcW w:w="104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4" w:lineRule="exact"/>
              <w:rPr>
                <w:sz w:val="20"/>
                <w:szCs w:val="20"/>
                <w:color w:val="auto"/>
              </w:rPr>
            </w:pPr>
            <w:r>
              <w:rPr>
                <w:rFonts w:ascii="Arial" w:cs="Arial" w:eastAsia="Arial" w:hAnsi="Arial"/>
                <w:sz w:val="7"/>
                <w:szCs w:val="7"/>
                <w:color w:val="auto"/>
              </w:rPr>
              <w:t>-</w:t>
            </w:r>
          </w:p>
        </w:tc>
        <w:tc>
          <w:tcPr>
            <w:tcW w:w="800" w:type="dxa"/>
            <w:vAlign w:val="bottom"/>
            <w:tcBorders>
              <w:right w:val="single" w:sz="8" w:color="auto"/>
            </w:tcBorders>
          </w:tcPr>
          <w:p>
            <w:pPr>
              <w:spacing w:after="0" w:line="74" w:lineRule="exact"/>
              <w:rPr>
                <w:sz w:val="20"/>
                <w:szCs w:val="20"/>
                <w:color w:val="auto"/>
              </w:rPr>
            </w:pPr>
            <w:r>
              <w:rPr>
                <w:rFonts w:ascii="Arial" w:cs="Arial" w:eastAsia="Arial" w:hAnsi="Arial"/>
                <w:sz w:val="7"/>
                <w:szCs w:val="7"/>
                <w:color w:val="auto"/>
              </w:rPr>
              <w:t>5250 CLAREMONT</w:t>
            </w:r>
          </w:p>
        </w:tc>
        <w:tc>
          <w:tcPr>
            <w:tcW w:w="760" w:type="dxa"/>
            <w:vAlign w:val="bottom"/>
            <w:tcBorders>
              <w:right w:val="single" w:sz="8" w:color="auto"/>
            </w:tcBorders>
          </w:tcPr>
          <w:p>
            <w:pPr>
              <w:spacing w:after="0" w:line="74" w:lineRule="exact"/>
              <w:rPr>
                <w:sz w:val="20"/>
                <w:szCs w:val="20"/>
                <w:color w:val="auto"/>
              </w:rPr>
            </w:pPr>
            <w:r>
              <w:rPr>
                <w:rFonts w:ascii="Arial" w:cs="Arial" w:eastAsia="Arial" w:hAnsi="Arial"/>
                <w:sz w:val="7"/>
                <w:szCs w:val="7"/>
                <w:color w:val="auto"/>
              </w:rPr>
              <w:t>STOCKTON</w:t>
            </w:r>
          </w:p>
        </w:tc>
        <w:tc>
          <w:tcPr>
            <w:tcW w:w="260" w:type="dxa"/>
            <w:vAlign w:val="bottom"/>
            <w:tcBorders>
              <w:right w:val="single" w:sz="8" w:color="auto"/>
            </w:tcBorders>
          </w:tcPr>
          <w:p>
            <w:pPr>
              <w:spacing w:after="0" w:line="74" w:lineRule="exact"/>
              <w:rPr>
                <w:sz w:val="20"/>
                <w:szCs w:val="20"/>
                <w:color w:val="auto"/>
              </w:rPr>
            </w:pPr>
            <w:r>
              <w:rPr>
                <w:rFonts w:ascii="Arial" w:cs="Arial" w:eastAsia="Arial" w:hAnsi="Arial"/>
                <w:sz w:val="7"/>
                <w:szCs w:val="7"/>
                <w:color w:val="auto"/>
              </w:rPr>
              <w:t>CA</w:t>
            </w:r>
          </w:p>
        </w:tc>
        <w:tc>
          <w:tcPr>
            <w:tcW w:w="520" w:type="dxa"/>
            <w:vAlign w:val="bottom"/>
            <w:tcBorders>
              <w:right w:val="single" w:sz="8" w:color="auto"/>
            </w:tcBorders>
          </w:tcPr>
          <w:p>
            <w:pPr>
              <w:spacing w:after="0" w:line="74" w:lineRule="exact"/>
              <w:rPr>
                <w:sz w:val="20"/>
                <w:szCs w:val="20"/>
                <w:color w:val="auto"/>
              </w:rPr>
            </w:pPr>
            <w:r>
              <w:rPr>
                <w:rFonts w:ascii="Arial" w:cs="Arial" w:eastAsia="Arial" w:hAnsi="Arial"/>
                <w:sz w:val="7"/>
                <w:szCs w:val="7"/>
                <w:color w:val="auto"/>
              </w:rPr>
              <w:t>95207</w:t>
            </w:r>
          </w:p>
        </w:tc>
        <w:tc>
          <w:tcPr>
            <w:tcW w:w="740" w:type="dxa"/>
            <w:vAlign w:val="bottom"/>
            <w:tcBorders>
              <w:right w:val="single" w:sz="8" w:color="auto"/>
            </w:tcBorders>
          </w:tcPr>
          <w:p>
            <w:pPr>
              <w:spacing w:after="0" w:line="74" w:lineRule="exact"/>
              <w:rPr>
                <w:sz w:val="20"/>
                <w:szCs w:val="20"/>
                <w:color w:val="auto"/>
              </w:rPr>
            </w:pPr>
            <w:r>
              <w:rPr>
                <w:rFonts w:ascii="Arial" w:cs="Arial" w:eastAsia="Arial" w:hAnsi="Arial"/>
                <w:sz w:val="7"/>
                <w:szCs w:val="7"/>
                <w:color w:val="auto"/>
              </w:rPr>
              <w:t>(209) 478-1791</w:t>
            </w:r>
          </w:p>
        </w:tc>
        <w:tc>
          <w:tcPr>
            <w:tcW w:w="0" w:type="dxa"/>
            <w:vAlign w:val="bottom"/>
          </w:tcPr>
          <w:p>
            <w:pPr>
              <w:spacing w:after="0"/>
              <w:rPr>
                <w:sz w:val="1"/>
                <w:szCs w:val="1"/>
                <w:color w:val="auto"/>
              </w:rPr>
            </w:pPr>
          </w:p>
        </w:tc>
      </w:tr>
      <w:tr>
        <w:trPr>
          <w:trHeight w:val="90"/>
        </w:trPr>
        <w:tc>
          <w:tcPr>
            <w:tcW w:w="360" w:type="dxa"/>
            <w:vAlign w:val="bottom"/>
            <w:tcBorders>
              <w:left w:val="single" w:sz="8" w:color="auto"/>
              <w:right w:val="single" w:sz="8" w:color="auto"/>
            </w:tcBorders>
          </w:tcPr>
          <w:p>
            <w:pPr>
              <w:spacing w:after="0"/>
              <w:rPr>
                <w:sz w:val="7"/>
                <w:szCs w:val="7"/>
                <w:color w:val="auto"/>
              </w:rPr>
            </w:pPr>
          </w:p>
        </w:tc>
        <w:tc>
          <w:tcPr>
            <w:tcW w:w="780" w:type="dxa"/>
            <w:vAlign w:val="bottom"/>
            <w:tcBorders>
              <w:right w:val="single" w:sz="8" w:color="auto"/>
            </w:tcBorders>
          </w:tcPr>
          <w:p>
            <w:pPr>
              <w:ind w:left="80"/>
              <w:spacing w:after="0"/>
              <w:rPr>
                <w:sz w:val="20"/>
                <w:szCs w:val="20"/>
                <w:color w:val="auto"/>
              </w:rPr>
            </w:pPr>
            <w:r>
              <w:rPr>
                <w:rFonts w:ascii="Arial" w:cs="Arial" w:eastAsia="Arial" w:hAnsi="Arial"/>
                <w:sz w:val="7"/>
                <w:szCs w:val="7"/>
                <w:color w:val="auto"/>
              </w:rPr>
              <w:t>STORE, LLC</w:t>
            </w:r>
          </w:p>
        </w:tc>
        <w:tc>
          <w:tcPr>
            <w:tcW w:w="780" w:type="dxa"/>
            <w:vAlign w:val="bottom"/>
            <w:tcBorders>
              <w:right w:val="single" w:sz="8" w:color="auto"/>
            </w:tcBorders>
          </w:tcPr>
          <w:p>
            <w:pPr>
              <w:ind w:left="60"/>
              <w:spacing w:after="0"/>
              <w:rPr>
                <w:sz w:val="20"/>
                <w:szCs w:val="20"/>
                <w:color w:val="auto"/>
              </w:rPr>
            </w:pPr>
            <w:r>
              <w:rPr>
                <w:rFonts w:ascii="Arial" w:cs="Arial" w:eastAsia="Arial" w:hAnsi="Arial"/>
                <w:sz w:val="7"/>
                <w:szCs w:val="7"/>
                <w:color w:val="auto"/>
              </w:rPr>
              <w:t>AVENUE</w:t>
            </w:r>
          </w:p>
        </w:tc>
        <w:tc>
          <w:tcPr>
            <w:tcW w:w="7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1440" w:type="dxa"/>
            <w:vAlign w:val="bottom"/>
            <w:tcBorders>
              <w:right w:val="single" w:sz="8" w:color="auto"/>
            </w:tcBorders>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7"/>
                <w:szCs w:val="7"/>
                <w:color w:val="auto"/>
              </w:rPr>
              <w:t>AVE</w:t>
            </w:r>
          </w:p>
        </w:tc>
        <w:tc>
          <w:tcPr>
            <w:tcW w:w="760" w:type="dxa"/>
            <w:vAlign w:val="bottom"/>
            <w:tcBorders>
              <w:right w:val="single" w:sz="8" w:color="auto"/>
            </w:tcBorders>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36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360" w:type="dxa"/>
            <w:vAlign w:val="bottom"/>
            <w:tcBorders>
              <w:left w:val="single" w:sz="8" w:color="auto"/>
              <w:right w:val="single" w:sz="8" w:color="auto"/>
            </w:tcBorders>
          </w:tcPr>
          <w:p>
            <w:pPr>
              <w:jc w:val="right"/>
              <w:ind w:right="44"/>
              <w:spacing w:after="0" w:line="63" w:lineRule="exact"/>
              <w:rPr>
                <w:sz w:val="20"/>
                <w:szCs w:val="20"/>
                <w:color w:val="auto"/>
              </w:rPr>
            </w:pPr>
            <w:r>
              <w:rPr>
                <w:rFonts w:ascii="Arial" w:cs="Arial" w:eastAsia="Arial" w:hAnsi="Arial"/>
                <w:sz w:val="7"/>
                <w:szCs w:val="7"/>
                <w:color w:val="auto"/>
              </w:rPr>
              <w:t>9728</w:t>
            </w:r>
          </w:p>
        </w:tc>
        <w:tc>
          <w:tcPr>
            <w:tcW w:w="780" w:type="dxa"/>
            <w:vAlign w:val="bottom"/>
            <w:tcBorders>
              <w:right w:val="single" w:sz="8" w:color="auto"/>
            </w:tcBorders>
          </w:tcPr>
          <w:p>
            <w:pPr>
              <w:ind w:left="80"/>
              <w:spacing w:after="0" w:line="63"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63" w:lineRule="exact"/>
              <w:rPr>
                <w:sz w:val="20"/>
                <w:szCs w:val="20"/>
                <w:color w:val="auto"/>
              </w:rPr>
            </w:pPr>
            <w:r>
              <w:rPr>
                <w:rFonts w:ascii="Arial" w:cs="Arial" w:eastAsia="Arial" w:hAnsi="Arial"/>
                <w:sz w:val="7"/>
                <w:szCs w:val="7"/>
                <w:color w:val="auto"/>
              </w:rPr>
              <w:t>EVERGREEN</w:t>
            </w:r>
          </w:p>
        </w:tc>
        <w:tc>
          <w:tcPr>
            <w:tcW w:w="780" w:type="dxa"/>
            <w:vAlign w:val="bottom"/>
            <w:tcBorders>
              <w:right w:val="single" w:sz="8" w:color="auto"/>
            </w:tcBorders>
          </w:tcPr>
          <w:p>
            <w:pPr>
              <w:ind w:left="80"/>
              <w:spacing w:after="0" w:line="63" w:lineRule="exact"/>
              <w:rPr>
                <w:sz w:val="20"/>
                <w:szCs w:val="20"/>
                <w:color w:val="auto"/>
              </w:rPr>
            </w:pPr>
            <w:r>
              <w:rPr>
                <w:rFonts w:ascii="Arial" w:cs="Arial" w:eastAsia="Arial" w:hAnsi="Arial"/>
                <w:sz w:val="7"/>
                <w:szCs w:val="7"/>
                <w:color w:val="auto"/>
              </w:rPr>
              <w:t>5015 TACOMA</w:t>
            </w:r>
          </w:p>
        </w:tc>
        <w:tc>
          <w:tcPr>
            <w:tcW w:w="780" w:type="dxa"/>
            <w:vAlign w:val="bottom"/>
            <w:tcBorders>
              <w:right w:val="single" w:sz="8" w:color="auto"/>
            </w:tcBorders>
          </w:tcPr>
          <w:p>
            <w:pPr>
              <w:ind w:left="60"/>
              <w:spacing w:after="0" w:line="63" w:lineRule="exact"/>
              <w:rPr>
                <w:sz w:val="20"/>
                <w:szCs w:val="20"/>
                <w:color w:val="auto"/>
              </w:rPr>
            </w:pPr>
            <w:r>
              <w:rPr>
                <w:rFonts w:ascii="Arial" w:cs="Arial" w:eastAsia="Arial" w:hAnsi="Arial"/>
                <w:sz w:val="7"/>
                <w:szCs w:val="7"/>
                <w:color w:val="auto"/>
              </w:rPr>
              <w:t>TACOMA</w:t>
            </w:r>
          </w:p>
        </w:tc>
        <w:tc>
          <w:tcPr>
            <w:tcW w:w="300" w:type="dxa"/>
            <w:vAlign w:val="bottom"/>
            <w:tcBorders>
              <w:right w:val="single" w:sz="8" w:color="auto"/>
            </w:tcBorders>
          </w:tcPr>
          <w:p>
            <w:pPr>
              <w:ind w:left="60"/>
              <w:spacing w:after="0" w:line="63" w:lineRule="exact"/>
              <w:rPr>
                <w:sz w:val="20"/>
                <w:szCs w:val="20"/>
                <w:color w:val="auto"/>
              </w:rPr>
            </w:pPr>
            <w:r>
              <w:rPr>
                <w:rFonts w:ascii="Arial" w:cs="Arial" w:eastAsia="Arial" w:hAnsi="Arial"/>
                <w:sz w:val="7"/>
                <w:szCs w:val="7"/>
                <w:color w:val="auto"/>
              </w:rPr>
              <w:t>WA</w:t>
            </w:r>
          </w:p>
        </w:tc>
        <w:tc>
          <w:tcPr>
            <w:tcW w:w="360" w:type="dxa"/>
            <w:vAlign w:val="bottom"/>
            <w:tcBorders>
              <w:right w:val="single" w:sz="8" w:color="auto"/>
            </w:tcBorders>
          </w:tcPr>
          <w:p>
            <w:pPr>
              <w:ind w:left="80"/>
              <w:spacing w:after="0" w:line="63" w:lineRule="exact"/>
              <w:rPr>
                <w:sz w:val="20"/>
                <w:szCs w:val="20"/>
                <w:color w:val="auto"/>
              </w:rPr>
            </w:pPr>
            <w:r>
              <w:rPr>
                <w:rFonts w:ascii="Arial" w:cs="Arial" w:eastAsia="Arial" w:hAnsi="Arial"/>
                <w:sz w:val="7"/>
                <w:szCs w:val="7"/>
                <w:color w:val="auto"/>
              </w:rPr>
              <w:t>98409</w:t>
            </w:r>
          </w:p>
        </w:tc>
        <w:tc>
          <w:tcPr>
            <w:tcW w:w="1440" w:type="dxa"/>
            <w:vAlign w:val="bottom"/>
            <w:tcBorders>
              <w:right w:val="single" w:sz="8" w:color="auto"/>
            </w:tcBorders>
          </w:tcPr>
          <w:p>
            <w:pPr>
              <w:spacing w:after="0" w:line="63" w:lineRule="exact"/>
              <w:rPr>
                <w:sz w:val="20"/>
                <w:szCs w:val="20"/>
                <w:color w:val="auto"/>
              </w:rPr>
            </w:pPr>
            <w:r>
              <w:rPr>
                <w:rFonts w:ascii="Arial" w:cs="Arial" w:eastAsia="Arial" w:hAnsi="Arial"/>
                <w:sz w:val="7"/>
                <w:szCs w:val="7"/>
                <w:color w:val="auto"/>
              </w:rPr>
              <w:t>EVERGREEN PLAZA 1, LLC</w:t>
            </w:r>
          </w:p>
        </w:tc>
        <w:tc>
          <w:tcPr>
            <w:tcW w:w="1040" w:type="dxa"/>
            <w:vAlign w:val="bottom"/>
            <w:tcBorders>
              <w:right w:val="single" w:sz="8" w:color="auto"/>
            </w:tcBorders>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line="63" w:lineRule="exact"/>
              <w:rPr>
                <w:sz w:val="20"/>
                <w:szCs w:val="20"/>
                <w:color w:val="auto"/>
              </w:rPr>
            </w:pPr>
            <w:r>
              <w:rPr>
                <w:rFonts w:ascii="Arial" w:cs="Arial" w:eastAsia="Arial" w:hAnsi="Arial"/>
                <w:sz w:val="7"/>
                <w:szCs w:val="7"/>
                <w:color w:val="auto"/>
              </w:rPr>
              <w:t>8050 84TH AVE SE</w:t>
            </w:r>
          </w:p>
        </w:tc>
        <w:tc>
          <w:tcPr>
            <w:tcW w:w="80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tcPr>
          <w:p>
            <w:pPr>
              <w:spacing w:after="0" w:line="63" w:lineRule="exact"/>
              <w:rPr>
                <w:sz w:val="20"/>
                <w:szCs w:val="20"/>
                <w:color w:val="auto"/>
              </w:rPr>
            </w:pPr>
            <w:r>
              <w:rPr>
                <w:rFonts w:ascii="Arial" w:cs="Arial" w:eastAsia="Arial" w:hAnsi="Arial"/>
                <w:sz w:val="7"/>
                <w:szCs w:val="7"/>
                <w:color w:val="auto"/>
              </w:rPr>
              <w:t>MERCER ISLAND</w:t>
            </w:r>
          </w:p>
        </w:tc>
        <w:tc>
          <w:tcPr>
            <w:tcW w:w="260" w:type="dxa"/>
            <w:vAlign w:val="bottom"/>
            <w:tcBorders>
              <w:right w:val="single" w:sz="8" w:color="auto"/>
            </w:tcBorders>
          </w:tcPr>
          <w:p>
            <w:pPr>
              <w:spacing w:after="0" w:line="63" w:lineRule="exact"/>
              <w:rPr>
                <w:sz w:val="20"/>
                <w:szCs w:val="20"/>
                <w:color w:val="auto"/>
              </w:rPr>
            </w:pPr>
            <w:r>
              <w:rPr>
                <w:rFonts w:ascii="Arial" w:cs="Arial" w:eastAsia="Arial" w:hAnsi="Arial"/>
                <w:sz w:val="7"/>
                <w:szCs w:val="7"/>
                <w:color w:val="auto"/>
              </w:rPr>
              <w:t>WA</w:t>
            </w:r>
          </w:p>
        </w:tc>
        <w:tc>
          <w:tcPr>
            <w:tcW w:w="520" w:type="dxa"/>
            <w:vAlign w:val="bottom"/>
            <w:tcBorders>
              <w:right w:val="single" w:sz="8" w:color="auto"/>
            </w:tcBorders>
          </w:tcPr>
          <w:p>
            <w:pPr>
              <w:spacing w:after="0" w:line="63" w:lineRule="exact"/>
              <w:rPr>
                <w:sz w:val="20"/>
                <w:szCs w:val="20"/>
                <w:color w:val="auto"/>
              </w:rPr>
            </w:pPr>
            <w:r>
              <w:rPr>
                <w:rFonts w:ascii="Arial" w:cs="Arial" w:eastAsia="Arial" w:hAnsi="Arial"/>
                <w:sz w:val="7"/>
                <w:szCs w:val="7"/>
                <w:color w:val="auto"/>
              </w:rPr>
              <w:t>98040</w:t>
            </w:r>
          </w:p>
        </w:tc>
        <w:tc>
          <w:tcPr>
            <w:tcW w:w="740" w:type="dxa"/>
            <w:vAlign w:val="bottom"/>
            <w:tcBorders>
              <w:right w:val="single" w:sz="8" w:color="auto"/>
            </w:tcBorders>
          </w:tcPr>
          <w:p>
            <w:pPr>
              <w:spacing w:after="0" w:line="63" w:lineRule="exact"/>
              <w:rPr>
                <w:sz w:val="20"/>
                <w:szCs w:val="20"/>
                <w:color w:val="auto"/>
              </w:rPr>
            </w:pPr>
            <w:r>
              <w:rPr>
                <w:rFonts w:ascii="Arial" w:cs="Arial" w:eastAsia="Arial" w:hAnsi="Arial"/>
                <w:sz w:val="7"/>
                <w:szCs w:val="7"/>
                <w:color w:val="auto"/>
              </w:rPr>
              <w:t>253-584-8408</w:t>
            </w: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PLAZA</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MALL</w:t>
            </w: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9731</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4211 PARADISE</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LAS VEGAS</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NV</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89169</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SACA DEVELOPMENT, LLC</w:t>
            </w:r>
          </w:p>
        </w:tc>
        <w:tc>
          <w:tcPr>
            <w:tcW w:w="104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77 CADILLAC</w:t>
            </w:r>
          </w:p>
        </w:tc>
        <w:tc>
          <w:tcPr>
            <w:tcW w:w="80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SACRAMENTO</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CA</w:t>
            </w:r>
          </w:p>
        </w:tc>
        <w:tc>
          <w:tcPr>
            <w:tcW w:w="5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95825</w:t>
            </w:r>
          </w:p>
        </w:tc>
        <w:tc>
          <w:tcPr>
            <w:tcW w:w="7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916-920-0400</w:t>
            </w: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ROAD</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DRIVE, SUITE 150</w:t>
            </w: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9733</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K-MART CTR/882</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SAN JOSE</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CA</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95123-</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SAMPSON FAMILY TRUST</w:t>
            </w:r>
          </w:p>
        </w:tc>
        <w:tc>
          <w:tcPr>
            <w:tcW w:w="104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8225 Vineyard Dr.</w:t>
            </w: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PO BOX 1887</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PASO ROBLES</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CA</w:t>
            </w:r>
          </w:p>
        </w:tc>
        <w:tc>
          <w:tcPr>
            <w:tcW w:w="5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93446</w:t>
            </w:r>
          </w:p>
        </w:tc>
        <w:tc>
          <w:tcPr>
            <w:tcW w:w="7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(805) 239-4373</w:t>
            </w: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STORE, LLC</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BLOSSOM HILL</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9737</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15099 HESPERIAN</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SAN LEANDRO</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CA</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94578-</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HALCYON PLACE L.P.</w:t>
            </w:r>
          </w:p>
        </w:tc>
        <w:tc>
          <w:tcPr>
            <w:tcW w:w="104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3650 MT. DIABLO</w:t>
            </w: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PO BOX 1059</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LAFAYETTE</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CA</w:t>
            </w:r>
          </w:p>
        </w:tc>
        <w:tc>
          <w:tcPr>
            <w:tcW w:w="5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94549</w:t>
            </w:r>
          </w:p>
        </w:tc>
        <w:tc>
          <w:tcPr>
            <w:tcW w:w="7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(925) 283-6559</w:t>
            </w: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STORE, LLC</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BLVD</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BLVD STE 103</w:t>
            </w: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9739</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4055 N.ORACLE</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TUCSON</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AZ</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85705</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RICK MCGARREY</w:t>
            </w:r>
          </w:p>
        </w:tc>
        <w:tc>
          <w:tcPr>
            <w:tcW w:w="104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2920 N. SANTA</w:t>
            </w:r>
          </w:p>
        </w:tc>
        <w:tc>
          <w:tcPr>
            <w:tcW w:w="80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TUCSON</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AZ</w:t>
            </w:r>
          </w:p>
        </w:tc>
        <w:tc>
          <w:tcPr>
            <w:tcW w:w="5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85712</w:t>
            </w:r>
          </w:p>
        </w:tc>
        <w:tc>
          <w:tcPr>
            <w:tcW w:w="7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(520) 323-6326</w:t>
            </w: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STORE, LLC</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ROAD</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ROSA PLACE</w:t>
            </w: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9744</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WESTFIELD PALM</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72-840 HIGHWAY</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PALM DESERT</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CA</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92260</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WEA PALM DESERT LLC</w:t>
            </w:r>
          </w:p>
        </w:tc>
        <w:tc>
          <w:tcPr>
            <w:tcW w:w="10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LEGAL DEPARTMENT</w:t>
            </w:r>
          </w:p>
        </w:tc>
        <w:tc>
          <w:tcPr>
            <w:tcW w:w="102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WESTFIELD, LLC</w:t>
            </w: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2049 CENTURY</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LOS ANGELES</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CA</w:t>
            </w:r>
          </w:p>
        </w:tc>
        <w:tc>
          <w:tcPr>
            <w:tcW w:w="5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90067</w:t>
            </w:r>
          </w:p>
        </w:tc>
        <w:tc>
          <w:tcPr>
            <w:tcW w:w="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STORE, LLC</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DESERT</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111</w:t>
            </w: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PARK EAST, 41ST</w:t>
            </w: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9745</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17600 COLLIER</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LAKE ELSINORE</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CA</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92530</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MOHR AFFINITY, LLC, DBA</w:t>
            </w:r>
          </w:p>
        </w:tc>
        <w:tc>
          <w:tcPr>
            <w:tcW w:w="104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LAKE ELSINORE</w:t>
            </w: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13457 BROOKS</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BALDWIN PARK</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CA</w:t>
            </w:r>
          </w:p>
        </w:tc>
        <w:tc>
          <w:tcPr>
            <w:tcW w:w="5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91706</w:t>
            </w:r>
          </w:p>
        </w:tc>
        <w:tc>
          <w:tcPr>
            <w:tcW w:w="7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(626) 814-9556</w:t>
            </w: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STORE, LLC</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AVENUE SUITE</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OUTLETS</w:t>
            </w: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DRIVE</w:t>
            </w: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9746</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4439</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LAKEWOOD</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CA</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90712</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MACERICH PROPERTY MANAGEMENT</w:t>
            </w:r>
          </w:p>
        </w:tc>
        <w:tc>
          <w:tcPr>
            <w:tcW w:w="10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LEGAL DEPARTMENT</w:t>
            </w:r>
          </w:p>
        </w:tc>
        <w:tc>
          <w:tcPr>
            <w:tcW w:w="102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AGENT FOR</w:t>
            </w: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401 WILSHIRE</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SANTA MONICA</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CA</w:t>
            </w:r>
          </w:p>
        </w:tc>
        <w:tc>
          <w:tcPr>
            <w:tcW w:w="5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90401</w:t>
            </w:r>
          </w:p>
        </w:tc>
        <w:tc>
          <w:tcPr>
            <w:tcW w:w="7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310-394-6000</w:t>
            </w: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STORE, LLC</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CANDLEWOOD</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COMPANY, LLC</w:t>
            </w:r>
          </w:p>
        </w:tc>
        <w:tc>
          <w:tcPr>
            <w:tcW w:w="10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MACERICH</w:t>
            </w: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BLVD, SUITE 700</w:t>
            </w: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9747</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2990 MIDWAY</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SAN DIEGO</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CA</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92110-</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THE EARP CORPORATION</w:t>
            </w:r>
          </w:p>
        </w:tc>
        <w:tc>
          <w:tcPr>
            <w:tcW w:w="10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JOHN DE STOUT JR</w:t>
            </w:r>
          </w:p>
        </w:tc>
        <w:tc>
          <w:tcPr>
            <w:tcW w:w="10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CAPITAL ASSET</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4323 MISSION BAY</w:t>
            </w:r>
          </w:p>
        </w:tc>
        <w:tc>
          <w:tcPr>
            <w:tcW w:w="80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SAN DIEGO</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CA</w:t>
            </w:r>
          </w:p>
        </w:tc>
        <w:tc>
          <w:tcPr>
            <w:tcW w:w="5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92109</w:t>
            </w:r>
          </w:p>
        </w:tc>
        <w:tc>
          <w:tcPr>
            <w:tcW w:w="7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760-720-1400</w:t>
            </w: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STORE, LLC</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DRIVE</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MANAGEMENT</w:t>
            </w: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DR. UNIT G</w:t>
            </w: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9752</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12125 N. PARKER</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Portland</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OR</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97217</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JANTZEN BEACH CENTER 1767, LLC</w:t>
            </w:r>
          </w:p>
        </w:tc>
        <w:tc>
          <w:tcPr>
            <w:tcW w:w="10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LEGAL DEPT</w:t>
            </w:r>
          </w:p>
        </w:tc>
        <w:tc>
          <w:tcPr>
            <w:tcW w:w="10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ACCT#SORP1767/LDXL/ME</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1621-B SOUTH</w:t>
            </w:r>
          </w:p>
        </w:tc>
        <w:tc>
          <w:tcPr>
            <w:tcW w:w="80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VISTA</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CA</w:t>
            </w:r>
          </w:p>
        </w:tc>
        <w:tc>
          <w:tcPr>
            <w:tcW w:w="5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92081-5498</w:t>
            </w:r>
          </w:p>
        </w:tc>
        <w:tc>
          <w:tcPr>
            <w:tcW w:w="7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503-336-9203</w:t>
            </w: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STORE, LLC</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AVENUE</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00</w:t>
            </w: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MELROSE DRIVE</w:t>
            </w: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9761</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Meadowood</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5595 S. Virginia</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Reno</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NV</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89520</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SHANKER NEVADA LLC</w:t>
            </w:r>
          </w:p>
        </w:tc>
        <w:tc>
          <w:tcPr>
            <w:tcW w:w="104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EUGENE BURGER</w:t>
            </w: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5011 MEADOWOOD</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RENO</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NV</w:t>
            </w:r>
          </w:p>
        </w:tc>
        <w:tc>
          <w:tcPr>
            <w:tcW w:w="5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89502</w:t>
            </w:r>
          </w:p>
        </w:tc>
        <w:tc>
          <w:tcPr>
            <w:tcW w:w="7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(775) 827-7809</w:t>
            </w: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Market Place</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Street, Suite A</w:t>
            </w: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MANAGEMENT</w:t>
            </w: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MALL WAY, SUITE</w:t>
            </w: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9768</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25640 THE OLD</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STEVENSON</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CA</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91381</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VALENCIA MARKETPLACE I, LLC</w:t>
            </w:r>
          </w:p>
        </w:tc>
        <w:tc>
          <w:tcPr>
            <w:tcW w:w="104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JG MANAGEMENT</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5743 CORSA AVE.,</w:t>
            </w:r>
          </w:p>
        </w:tc>
        <w:tc>
          <w:tcPr>
            <w:tcW w:w="80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WESTLAKE VILLAGE</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CA</w:t>
            </w:r>
          </w:p>
        </w:tc>
        <w:tc>
          <w:tcPr>
            <w:tcW w:w="5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91362</w:t>
            </w:r>
          </w:p>
        </w:tc>
        <w:tc>
          <w:tcPr>
            <w:tcW w:w="7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(805) 374-1700</w:t>
            </w: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STORE, LLC</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ROAD</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RANCH</w:t>
            </w: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COMPANY INC.</w:t>
            </w: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SUITE 200</w:t>
            </w: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9769</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MAIN STREET AT</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440 BARRETT</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KENNESAW</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GA</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30144-</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OTAY MAIN STREET LLC</w:t>
            </w:r>
          </w:p>
        </w:tc>
        <w:tc>
          <w:tcPr>
            <w:tcW w:w="10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PROPERTY MANAGER</w:t>
            </w:r>
          </w:p>
        </w:tc>
        <w:tc>
          <w:tcPr>
            <w:tcW w:w="102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WESTWOOD</w:t>
            </w: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440 ERNEST</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KENNESAW</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GA</w:t>
            </w:r>
          </w:p>
        </w:tc>
        <w:tc>
          <w:tcPr>
            <w:tcW w:w="5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30144</w:t>
            </w:r>
          </w:p>
        </w:tc>
        <w:tc>
          <w:tcPr>
            <w:tcW w:w="7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(214) 346-0030</w:t>
            </w: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TOWN CENTER</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PARKWAY, SUITE</w:t>
            </w: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4918</w:t>
            </w:r>
          </w:p>
        </w:tc>
        <w:tc>
          <w:tcPr>
            <w:tcW w:w="144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FINANCIAL CORP</w:t>
            </w: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BARRETT PARKWAY,</w:t>
            </w: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9775</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2108 SOUTH</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JONESBORO</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AR</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72401</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PHILLIPS INVESTMENTS INC.</w:t>
            </w:r>
          </w:p>
        </w:tc>
        <w:tc>
          <w:tcPr>
            <w:tcW w:w="104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P.O. BOX 19298</w:t>
            </w:r>
          </w:p>
        </w:tc>
        <w:tc>
          <w:tcPr>
            <w:tcW w:w="80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JONESBORO</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AR</w:t>
            </w:r>
          </w:p>
        </w:tc>
        <w:tc>
          <w:tcPr>
            <w:tcW w:w="5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72403</w:t>
            </w:r>
          </w:p>
        </w:tc>
        <w:tc>
          <w:tcPr>
            <w:tcW w:w="7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(870) 932-1449</w:t>
            </w: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CARAWAY</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9777</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19110A EAST</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INDEPENDENCE</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MO</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64057</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BEST BUY STORES LP</w:t>
            </w:r>
          </w:p>
        </w:tc>
        <w:tc>
          <w:tcPr>
            <w:tcW w:w="104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BEST BUY</w:t>
            </w: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7601 PENN AVE</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RICHFIELD</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MN</w:t>
            </w:r>
          </w:p>
        </w:tc>
        <w:tc>
          <w:tcPr>
            <w:tcW w:w="5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55423-3645</w:t>
            </w:r>
          </w:p>
        </w:tc>
        <w:tc>
          <w:tcPr>
            <w:tcW w:w="7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(612) 291-1000</w:t>
            </w: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39TH STREET</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CORPORATE</w:t>
            </w: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SOUTH</w:t>
            </w: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9778</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jc w:val="right"/>
              <w:ind w:right="4"/>
              <w:spacing w:after="0" w:line="71" w:lineRule="exact"/>
              <w:rPr>
                <w:sz w:val="20"/>
                <w:szCs w:val="20"/>
                <w:color w:val="auto"/>
              </w:rPr>
            </w:pPr>
            <w:r>
              <w:rPr>
                <w:rFonts w:ascii="Arial" w:cs="Arial" w:eastAsia="Arial" w:hAnsi="Arial"/>
                <w:sz w:val="7"/>
                <w:szCs w:val="7"/>
                <w:color w:val="auto"/>
              </w:rPr>
              <w:t>Chandler Festival</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2830 West</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CHANDLER</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AZ</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85224</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CHANDLER FESTIVAL SPE LLC</w:t>
            </w:r>
          </w:p>
        </w:tc>
        <w:tc>
          <w:tcPr>
            <w:tcW w:w="104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BIG RED PORTFOLIO, LLC</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ONE EAST</w:t>
            </w:r>
          </w:p>
        </w:tc>
        <w:tc>
          <w:tcPr>
            <w:tcW w:w="80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PHOENIX</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AZ</w:t>
            </w:r>
          </w:p>
        </w:tc>
        <w:tc>
          <w:tcPr>
            <w:tcW w:w="5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85004</w:t>
            </w:r>
          </w:p>
        </w:tc>
        <w:tc>
          <w:tcPr>
            <w:tcW w:w="7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480-947-7772</w:t>
            </w: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STORE, LLC</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Chandler</w:t>
            </w: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WASHINGTON, STE.</w:t>
            </w: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9780</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jc w:val="right"/>
              <w:spacing w:after="0" w:line="71" w:lineRule="exact"/>
              <w:rPr>
                <w:sz w:val="20"/>
                <w:szCs w:val="20"/>
                <w:color w:val="auto"/>
              </w:rPr>
            </w:pPr>
            <w:r>
              <w:rPr>
                <w:rFonts w:ascii="Arial" w:cs="Arial" w:eastAsia="Arial" w:hAnsi="Arial"/>
                <w:sz w:val="7"/>
                <w:szCs w:val="7"/>
                <w:color w:val="auto"/>
              </w:rPr>
              <w:t>Village at the Mall</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7634 Mall Road</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Florence</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KY</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41042-</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VILLAGE AT THE MALL HOLDINGS,</w:t>
            </w:r>
          </w:p>
        </w:tc>
        <w:tc>
          <w:tcPr>
            <w:tcW w:w="10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ACCOUNTS RECEIVABLE</w:t>
            </w:r>
          </w:p>
        </w:tc>
        <w:tc>
          <w:tcPr>
            <w:tcW w:w="10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LAMAR COMPANIES</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695 ROUTE 46</w:t>
            </w: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SUITE 210</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FAIRFIELD</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NJ</w:t>
            </w:r>
          </w:p>
        </w:tc>
        <w:tc>
          <w:tcPr>
            <w:tcW w:w="5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07004</w:t>
            </w:r>
          </w:p>
        </w:tc>
        <w:tc>
          <w:tcPr>
            <w:tcW w:w="7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502-921-0016</w:t>
            </w: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1404</w:t>
            </w:r>
          </w:p>
        </w:tc>
        <w:tc>
          <w:tcPr>
            <w:tcW w:w="1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LLC</w:t>
            </w:r>
          </w:p>
        </w:tc>
        <w:tc>
          <w:tcPr>
            <w:tcW w:w="10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9782</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SKIBO</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1934 SKIBO</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FAYETTEVILLE</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NC</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28314</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PHD@SKIBO II, LLC</w:t>
            </w:r>
          </w:p>
        </w:tc>
        <w:tc>
          <w:tcPr>
            <w:tcW w:w="104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ROB HICKS</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3930 MAX PL</w:t>
            </w:r>
          </w:p>
        </w:tc>
        <w:tc>
          <w:tcPr>
            <w:tcW w:w="80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BOYNTON BEACH</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FL</w:t>
            </w:r>
          </w:p>
        </w:tc>
        <w:tc>
          <w:tcPr>
            <w:tcW w:w="5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33436</w:t>
            </w:r>
          </w:p>
        </w:tc>
        <w:tc>
          <w:tcPr>
            <w:tcW w:w="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MARKETPLACE</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ROAD</w:t>
            </w: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9783</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3258 SILAS</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WINSTON-SALEM</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NC</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27103</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SILAS CREEK CROSSING</w:t>
            </w:r>
          </w:p>
        </w:tc>
        <w:tc>
          <w:tcPr>
            <w:tcW w:w="104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ZAREMBA GROUP,</w:t>
            </w: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14600 DETROIT</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LAKEWOOD</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OH</w:t>
            </w:r>
          </w:p>
        </w:tc>
        <w:tc>
          <w:tcPr>
            <w:tcW w:w="5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44107</w:t>
            </w:r>
          </w:p>
        </w:tc>
        <w:tc>
          <w:tcPr>
            <w:tcW w:w="7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(216) 221-6600</w:t>
            </w: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CREEK PARKWAY</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ASSOCIATES, LLC</w:t>
            </w:r>
          </w:p>
        </w:tc>
        <w:tc>
          <w:tcPr>
            <w:tcW w:w="10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LLC</w:t>
            </w: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AVE., SUITE 1500</w:t>
            </w: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9787</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LONG BEACH</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7615 CARSON</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LONG BEACH</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CA</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90808-</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CREA/PPC LONG BEACH TOWNE</w:t>
            </w:r>
          </w:p>
        </w:tc>
        <w:tc>
          <w:tcPr>
            <w:tcW w:w="104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VESTAR PROPERTY</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7575 CARSON BLVD</w:t>
            </w:r>
          </w:p>
        </w:tc>
        <w:tc>
          <w:tcPr>
            <w:tcW w:w="80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LONG BEACH</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CA</w:t>
            </w:r>
          </w:p>
        </w:tc>
        <w:tc>
          <w:tcPr>
            <w:tcW w:w="5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90808</w:t>
            </w:r>
          </w:p>
        </w:tc>
        <w:tc>
          <w:tcPr>
            <w:tcW w:w="7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562-938-1722</w:t>
            </w: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STORE, LLC</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TOWN CENTRE</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BLVD.</w:t>
            </w: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2367</w:t>
            </w:r>
          </w:p>
        </w:tc>
        <w:tc>
          <w:tcPr>
            <w:tcW w:w="1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CENTER PO, LLC</w:t>
            </w:r>
          </w:p>
        </w:tc>
        <w:tc>
          <w:tcPr>
            <w:tcW w:w="10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MANAGEMENT</w:t>
            </w:r>
          </w:p>
        </w:tc>
        <w:tc>
          <w:tcPr>
            <w:tcW w:w="78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9789</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Channel Islands</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1720 E Ventura</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OXNARD</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CA</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93036-</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CHANNEL ISLANDS MARKETPLACE, LP</w:t>
            </w:r>
          </w:p>
        </w:tc>
        <w:tc>
          <w:tcPr>
            <w:tcW w:w="104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SIERRA PROPERTY</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5290 OVERPASS</w:t>
            </w:r>
          </w:p>
        </w:tc>
        <w:tc>
          <w:tcPr>
            <w:tcW w:w="80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SANTA BARBARA</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CA</w:t>
            </w:r>
          </w:p>
        </w:tc>
        <w:tc>
          <w:tcPr>
            <w:tcW w:w="5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93111</w:t>
            </w:r>
          </w:p>
        </w:tc>
        <w:tc>
          <w:tcPr>
            <w:tcW w:w="7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805-692-1520</w:t>
            </w: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STORE, LLC</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Marketplace</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Blvd.</w:t>
            </w: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1827</w:t>
            </w:r>
          </w:p>
        </w:tc>
        <w:tc>
          <w:tcPr>
            <w:tcW w:w="144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MANAGEMENT</w:t>
            </w: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ROAD, BUILDING C</w:t>
            </w: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9791</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2101 W.</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COLUMBIA</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MO</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65203</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CROSSROADS WEST SHOPPING</w:t>
            </w:r>
          </w:p>
        </w:tc>
        <w:tc>
          <w:tcPr>
            <w:tcW w:w="104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C/O RAUL WALTERS</w:t>
            </w: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2 CITYPLACE</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ST. LOUIS</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MO</w:t>
            </w:r>
          </w:p>
        </w:tc>
        <w:tc>
          <w:tcPr>
            <w:tcW w:w="5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63141</w:t>
            </w:r>
          </w:p>
        </w:tc>
        <w:tc>
          <w:tcPr>
            <w:tcW w:w="7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314-584-1606</w:t>
            </w: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BROADWAY</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CENTER</w:t>
            </w:r>
          </w:p>
        </w:tc>
        <w:tc>
          <w:tcPr>
            <w:tcW w:w="10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PROPERTIES</w:t>
            </w: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DRIVE., SUITE 450</w:t>
            </w: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9793</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1392 TWIXT</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MARION</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IA</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52302</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COLLINS SQUARE, LLC</w:t>
            </w:r>
          </w:p>
        </w:tc>
        <w:tc>
          <w:tcPr>
            <w:tcW w:w="104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RRC DES MOINES, LLC</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3737 WOODLAND</w:t>
            </w: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SUITE 100</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WEST DES MOINES</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IA</w:t>
            </w:r>
          </w:p>
        </w:tc>
        <w:tc>
          <w:tcPr>
            <w:tcW w:w="5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50266</w:t>
            </w:r>
          </w:p>
        </w:tc>
        <w:tc>
          <w:tcPr>
            <w:tcW w:w="7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515-309-4002</w:t>
            </w: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TOWN ROAD</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d/b/a/NAI OPTIMUM</w:t>
            </w: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AVE</w:t>
            </w: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9798</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700 N. JOHNSON</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EL CAJON</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CA</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92020</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PACIFIC COAST COMMERCIAL</w:t>
            </w:r>
          </w:p>
        </w:tc>
        <w:tc>
          <w:tcPr>
            <w:tcW w:w="104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6050 SANTO ROAD</w:t>
            </w: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SUITE #200</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SAN DIEGO</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CA</w:t>
            </w:r>
          </w:p>
        </w:tc>
        <w:tc>
          <w:tcPr>
            <w:tcW w:w="5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92124</w:t>
            </w:r>
          </w:p>
        </w:tc>
        <w:tc>
          <w:tcPr>
            <w:tcW w:w="7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(858) 598-2860</w:t>
            </w: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STORE, LLC</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AVENUE SUITE 1</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9799</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90 RHL</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SOUTH</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WV</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25309</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THF ONC TWO DEVELOPMENT, LLC</w:t>
            </w:r>
          </w:p>
        </w:tc>
        <w:tc>
          <w:tcPr>
            <w:tcW w:w="104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THF MANANGEMENT, INC</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211 N. STADIUM</w:t>
            </w:r>
          </w:p>
        </w:tc>
        <w:tc>
          <w:tcPr>
            <w:tcW w:w="80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COLUMBIA</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MO</w:t>
            </w:r>
          </w:p>
        </w:tc>
        <w:tc>
          <w:tcPr>
            <w:tcW w:w="5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65203</w:t>
            </w:r>
          </w:p>
        </w:tc>
        <w:tc>
          <w:tcPr>
            <w:tcW w:w="7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314-739-4533</w:t>
            </w: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BOULEVARD</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CHARLESTON</w:t>
            </w: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BLVD., SUITE 201</w:t>
            </w: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9800</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9078 WESTVIEW</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LONE TREE</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CO</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80124</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SPRING VALLEY-CAMPO ROAD LLC</w:t>
            </w:r>
          </w:p>
        </w:tc>
        <w:tc>
          <w:tcPr>
            <w:tcW w:w="104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SAMUEL E. HOROWITZ</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714 MUIRLANDS</w:t>
            </w:r>
          </w:p>
        </w:tc>
        <w:tc>
          <w:tcPr>
            <w:tcW w:w="80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LA JOLLA</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CA</w:t>
            </w:r>
          </w:p>
        </w:tc>
        <w:tc>
          <w:tcPr>
            <w:tcW w:w="5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92037-6201</w:t>
            </w:r>
          </w:p>
        </w:tc>
        <w:tc>
          <w:tcPr>
            <w:tcW w:w="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STORE, LLC</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ROAD, SUITE 100</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VISTA WAY</w:t>
            </w: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9801</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10359 ULMERTON</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LARGO</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FL</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33771</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REAL GLOBAL INVESTMENTS, LLC</w:t>
            </w:r>
          </w:p>
        </w:tc>
        <w:tc>
          <w:tcPr>
            <w:tcW w:w="104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c/o BART R.</w:t>
            </w: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7232 W. SAND</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ORLANDO</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FL</w:t>
            </w:r>
          </w:p>
        </w:tc>
        <w:tc>
          <w:tcPr>
            <w:tcW w:w="5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32819</w:t>
            </w:r>
          </w:p>
        </w:tc>
        <w:tc>
          <w:tcPr>
            <w:tcW w:w="7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(321) 319-0459</w:t>
            </w: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ROAD</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SAUNDERS</w:t>
            </w: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LAKE ROAD, SUITE</w:t>
            </w: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9805</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MARKET SQUARE</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4014 MEDINA</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Akron</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OH</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44333</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MSA MONTROSE LP</w:t>
            </w:r>
          </w:p>
        </w:tc>
        <w:tc>
          <w:tcPr>
            <w:tcW w:w="104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HAMPTON PROPERTIES,</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2550 BATES ROAD</w:t>
            </w: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SUITE 110</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w:t>
            </w:r>
          </w:p>
        </w:tc>
        <w:tc>
          <w:tcPr>
            <w:tcW w:w="260" w:type="dxa"/>
            <w:vAlign w:val="bottom"/>
            <w:tcBorders>
              <w:right w:val="single" w:sz="8" w:color="auto"/>
            </w:tcBorders>
          </w:tcPr>
          <w:p>
            <w:pPr>
              <w:spacing w:after="0"/>
              <w:rPr>
                <w:sz w:val="6"/>
                <w:szCs w:val="6"/>
                <w:color w:val="auto"/>
              </w:rPr>
            </w:pPr>
          </w:p>
        </w:tc>
        <w:tc>
          <w:tcPr>
            <w:tcW w:w="5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H3S 1A7</w:t>
            </w:r>
          </w:p>
        </w:tc>
        <w:tc>
          <w:tcPr>
            <w:tcW w:w="7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514-344-1182</w:t>
            </w: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STORE, LLC</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AT MONTROSE</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ROAD</w:t>
            </w: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INC</w:t>
            </w:r>
          </w:p>
        </w:tc>
        <w:tc>
          <w:tcPr>
            <w:tcW w:w="78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9806</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PORTOFINO</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19075 I-45</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SHENANDOAH</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TX</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77385</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KRG PORTOFINO, LLC</w:t>
            </w:r>
          </w:p>
        </w:tc>
        <w:tc>
          <w:tcPr>
            <w:tcW w:w="104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KITE REALTY GROUP, LP</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30 SOUTH</w:t>
            </w: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SUITE 1100</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INDIANAPOLIS</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IN</w:t>
            </w:r>
          </w:p>
        </w:tc>
        <w:tc>
          <w:tcPr>
            <w:tcW w:w="5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46204</w:t>
            </w:r>
          </w:p>
        </w:tc>
        <w:tc>
          <w:tcPr>
            <w:tcW w:w="7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317-577-5600</w:t>
            </w: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SHOPPING</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SOUTH SUITE 800</w:t>
            </w: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MERIDIAN STREET</w:t>
            </w: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9808</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RIVERPOINT</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1730 W</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CHICAGO</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IL</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60614-</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FR RIVERPOINT, LLC</w:t>
            </w:r>
          </w:p>
        </w:tc>
        <w:tc>
          <w:tcPr>
            <w:tcW w:w="10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LEGAL DEPT</w:t>
            </w:r>
          </w:p>
        </w:tc>
        <w:tc>
          <w:tcPr>
            <w:tcW w:w="10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FEDERAL REALTY</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1626 EAST</w:t>
            </w:r>
          </w:p>
        </w:tc>
        <w:tc>
          <w:tcPr>
            <w:tcW w:w="80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ROCKVILLE</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MD</w:t>
            </w:r>
          </w:p>
        </w:tc>
        <w:tc>
          <w:tcPr>
            <w:tcW w:w="5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20852-4041</w:t>
            </w:r>
          </w:p>
        </w:tc>
        <w:tc>
          <w:tcPr>
            <w:tcW w:w="7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434-227-5172</w:t>
            </w: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STORE, LLC</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CENTER</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FULLERTON AVE</w:t>
            </w: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1961</w:t>
            </w:r>
          </w:p>
        </w:tc>
        <w:tc>
          <w:tcPr>
            <w:tcW w:w="144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INVESTMENT TRUST</w:t>
            </w: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JEFFERSON ST.</w:t>
            </w: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9810</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962 SOUTH</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ST. CHARLES</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IL</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60174</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DiCARLO LP</w:t>
            </w:r>
          </w:p>
        </w:tc>
        <w:tc>
          <w:tcPr>
            <w:tcW w:w="104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d/b/a FUNAI LLC</w:t>
            </w: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223 WEST SPRING</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TWIN LAKES</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WI</w:t>
            </w:r>
          </w:p>
        </w:tc>
        <w:tc>
          <w:tcPr>
            <w:tcW w:w="5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53181</w:t>
            </w:r>
          </w:p>
        </w:tc>
        <w:tc>
          <w:tcPr>
            <w:tcW w:w="7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630-947-2404</w:t>
            </w: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STORE, LLC</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RANDALL ROAD</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DR.</w:t>
            </w: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9813</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2306 WEST</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PHILADELPHIA</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PA</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19145</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CEDAR QUARTERMASTER, LLC</w:t>
            </w:r>
          </w:p>
        </w:tc>
        <w:tc>
          <w:tcPr>
            <w:tcW w:w="10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NANCY H. MOZZACHIO,</w:t>
            </w:r>
          </w:p>
        </w:tc>
        <w:tc>
          <w:tcPr>
            <w:tcW w:w="10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CEDAR REALTY TRUST, INC</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44 SOUTH BAYLES</w:t>
            </w: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SUITE 304</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PORT WASHINGTON</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NY</w:t>
            </w:r>
          </w:p>
        </w:tc>
        <w:tc>
          <w:tcPr>
            <w:tcW w:w="5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11050</w:t>
            </w:r>
          </w:p>
        </w:tc>
        <w:tc>
          <w:tcPr>
            <w:tcW w:w="7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516-944-4524</w:t>
            </w: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OREGON AVENUE</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COO</w:t>
            </w:r>
          </w:p>
        </w:tc>
        <w:tc>
          <w:tcPr>
            <w:tcW w:w="102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AVE</w:t>
            </w: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9817</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8015 CITRUS</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TAMPA</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FL</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33625</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CITRUS SPARK, LLC</w:t>
            </w:r>
          </w:p>
        </w:tc>
        <w:tc>
          <w:tcPr>
            <w:tcW w:w="104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JASON REZNIK</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3283 HARRINGTON</w:t>
            </w:r>
          </w:p>
        </w:tc>
        <w:tc>
          <w:tcPr>
            <w:tcW w:w="80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BOCA RATON</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FL</w:t>
            </w:r>
          </w:p>
        </w:tc>
        <w:tc>
          <w:tcPr>
            <w:tcW w:w="5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33469</w:t>
            </w:r>
          </w:p>
        </w:tc>
        <w:tc>
          <w:tcPr>
            <w:tcW w:w="7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917-674-8284</w:t>
            </w: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PARK DRIVE</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DRIVE</w:t>
            </w: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9818</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9522 Skokie</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Skokie</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IL</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60077-</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SKOKIE VENTURE, LLC</w:t>
            </w:r>
          </w:p>
        </w:tc>
        <w:tc>
          <w:tcPr>
            <w:tcW w:w="104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1535 N ELSTON</w:t>
            </w:r>
          </w:p>
        </w:tc>
        <w:tc>
          <w:tcPr>
            <w:tcW w:w="80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CHICAGO</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IL</w:t>
            </w:r>
          </w:p>
        </w:tc>
        <w:tc>
          <w:tcPr>
            <w:tcW w:w="5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60642-2421</w:t>
            </w:r>
          </w:p>
        </w:tc>
        <w:tc>
          <w:tcPr>
            <w:tcW w:w="7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773-489-0747</w:t>
            </w: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STORE, LLC</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Boulevard</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1313</w:t>
            </w:r>
          </w:p>
        </w:tc>
        <w:tc>
          <w:tcPr>
            <w:tcW w:w="144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AVE</w:t>
            </w: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9826</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2872 HIGHWAY</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HAZLET</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NJ</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7730</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JACKAPINO-TOLLEVSEN LLC</w:t>
            </w:r>
          </w:p>
        </w:tc>
        <w:tc>
          <w:tcPr>
            <w:tcW w:w="104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33 SCHANCK ROAD</w:t>
            </w:r>
          </w:p>
        </w:tc>
        <w:tc>
          <w:tcPr>
            <w:tcW w:w="80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HOLMDEL</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NJ</w:t>
            </w:r>
          </w:p>
        </w:tc>
        <w:tc>
          <w:tcPr>
            <w:tcW w:w="5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7733</w:t>
            </w:r>
          </w:p>
        </w:tc>
        <w:tc>
          <w:tcPr>
            <w:tcW w:w="7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cell-732-757-9062</w:t>
            </w: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35 SOUTH</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3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20" w:right="179" w:bottom="1440" w:gutter="0" w:footer="0" w:header="0"/>
        </w:sectPr>
      </w:pPr>
    </w:p>
    <w:bookmarkStart w:id="164" w:name="page165"/>
    <w:bookmarkEnd w:id="164"/>
    <w:tbl>
      <w:tblPr>
        <w:tblLayout w:type="fixed"/>
        <w:tblInd w:w="10" w:type="dxa"/>
        <w:tblCellMar>
          <w:top w:w="0" w:type="dxa"/>
          <w:left w:w="0" w:type="dxa"/>
          <w:bottom w:w="0" w:type="dxa"/>
          <w:right w:w="0" w:type="dxa"/>
        </w:tblCellMar>
      </w:tblPr>
      <w:tr>
        <w:trPr>
          <w:trHeight w:val="90"/>
        </w:trPr>
        <w:tc>
          <w:tcPr>
            <w:tcW w:w="360" w:type="dxa"/>
            <w:vAlign w:val="bottom"/>
            <w:tcBorders>
              <w:top w:val="single" w:sz="8" w:color="auto"/>
              <w:left w:val="single" w:sz="8" w:color="auto"/>
              <w:right w:val="single" w:sz="8" w:color="auto"/>
            </w:tcBorders>
          </w:tcPr>
          <w:p>
            <w:pPr>
              <w:spacing w:after="0"/>
              <w:rPr>
                <w:sz w:val="7"/>
                <w:szCs w:val="7"/>
                <w:color w:val="auto"/>
              </w:rPr>
            </w:pPr>
          </w:p>
        </w:tc>
        <w:tc>
          <w:tcPr>
            <w:tcW w:w="800" w:type="dxa"/>
            <w:vAlign w:val="bottom"/>
            <w:tcBorders>
              <w:top w:val="single" w:sz="8" w:color="auto"/>
              <w:right w:val="single" w:sz="8" w:color="auto"/>
            </w:tcBorders>
          </w:tcPr>
          <w:p>
            <w:pPr>
              <w:spacing w:after="0"/>
              <w:rPr>
                <w:sz w:val="7"/>
                <w:szCs w:val="7"/>
                <w:color w:val="auto"/>
              </w:rPr>
            </w:pPr>
          </w:p>
        </w:tc>
        <w:tc>
          <w:tcPr>
            <w:tcW w:w="800" w:type="dxa"/>
            <w:vAlign w:val="bottom"/>
            <w:tcBorders>
              <w:top w:val="single" w:sz="8" w:color="auto"/>
              <w:right w:val="single" w:sz="8" w:color="auto"/>
            </w:tcBorders>
          </w:tcPr>
          <w:p>
            <w:pPr>
              <w:spacing w:after="0"/>
              <w:rPr>
                <w:sz w:val="7"/>
                <w:szCs w:val="7"/>
                <w:color w:val="auto"/>
              </w:rPr>
            </w:pPr>
          </w:p>
        </w:tc>
        <w:tc>
          <w:tcPr>
            <w:tcW w:w="780" w:type="dxa"/>
            <w:vAlign w:val="bottom"/>
            <w:tcBorders>
              <w:top w:val="single" w:sz="8" w:color="auto"/>
              <w:right w:val="single" w:sz="8" w:color="auto"/>
            </w:tcBorders>
          </w:tcPr>
          <w:p>
            <w:pPr>
              <w:spacing w:after="0"/>
              <w:rPr>
                <w:sz w:val="7"/>
                <w:szCs w:val="7"/>
                <w:color w:val="auto"/>
              </w:rPr>
            </w:pPr>
          </w:p>
        </w:tc>
        <w:tc>
          <w:tcPr>
            <w:tcW w:w="780" w:type="dxa"/>
            <w:vAlign w:val="bottom"/>
            <w:tcBorders>
              <w:top w:val="single" w:sz="8" w:color="auto"/>
              <w:right w:val="single" w:sz="8" w:color="auto"/>
            </w:tcBorders>
          </w:tcPr>
          <w:p>
            <w:pPr>
              <w:spacing w:after="0"/>
              <w:rPr>
                <w:sz w:val="7"/>
                <w:szCs w:val="7"/>
                <w:color w:val="auto"/>
              </w:rPr>
            </w:pPr>
          </w:p>
        </w:tc>
        <w:tc>
          <w:tcPr>
            <w:tcW w:w="320" w:type="dxa"/>
            <w:vAlign w:val="bottom"/>
            <w:tcBorders>
              <w:top w:val="single" w:sz="8" w:color="auto"/>
              <w:right w:val="single" w:sz="8" w:color="auto"/>
            </w:tcBorders>
          </w:tcPr>
          <w:p>
            <w:pPr>
              <w:spacing w:after="0"/>
              <w:rPr>
                <w:sz w:val="7"/>
                <w:szCs w:val="7"/>
                <w:color w:val="auto"/>
              </w:rPr>
            </w:pPr>
          </w:p>
        </w:tc>
        <w:tc>
          <w:tcPr>
            <w:tcW w:w="3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7"/>
                <w:szCs w:val="7"/>
                <w:b w:val="1"/>
                <w:bCs w:val="1"/>
                <w:color w:val="auto"/>
              </w:rPr>
              <w:t>Store</w:t>
            </w:r>
          </w:p>
        </w:tc>
        <w:tc>
          <w:tcPr>
            <w:tcW w:w="1440" w:type="dxa"/>
            <w:vAlign w:val="bottom"/>
            <w:tcBorders>
              <w:top w:val="single" w:sz="8" w:color="auto"/>
              <w:right w:val="single" w:sz="8" w:color="auto"/>
            </w:tcBorders>
          </w:tcPr>
          <w:p>
            <w:pPr>
              <w:spacing w:after="0"/>
              <w:rPr>
                <w:sz w:val="7"/>
                <w:szCs w:val="7"/>
                <w:color w:val="auto"/>
              </w:rPr>
            </w:pPr>
          </w:p>
        </w:tc>
        <w:tc>
          <w:tcPr>
            <w:tcW w:w="1020" w:type="dxa"/>
            <w:vAlign w:val="bottom"/>
            <w:tcBorders>
              <w:top w:val="single" w:sz="8" w:color="auto"/>
              <w:right w:val="single" w:sz="8" w:color="auto"/>
            </w:tcBorders>
          </w:tcPr>
          <w:p>
            <w:pPr>
              <w:spacing w:after="0"/>
              <w:rPr>
                <w:sz w:val="7"/>
                <w:szCs w:val="7"/>
                <w:color w:val="auto"/>
              </w:rPr>
            </w:pPr>
          </w:p>
        </w:tc>
        <w:tc>
          <w:tcPr>
            <w:tcW w:w="1040" w:type="dxa"/>
            <w:vAlign w:val="bottom"/>
            <w:tcBorders>
              <w:top w:val="single" w:sz="8" w:color="auto"/>
              <w:right w:val="single" w:sz="8" w:color="auto"/>
            </w:tcBorders>
          </w:tcPr>
          <w:p>
            <w:pPr>
              <w:spacing w:after="0"/>
              <w:rPr>
                <w:sz w:val="7"/>
                <w:szCs w:val="7"/>
                <w:color w:val="auto"/>
              </w:rPr>
            </w:pPr>
          </w:p>
        </w:tc>
        <w:tc>
          <w:tcPr>
            <w:tcW w:w="780" w:type="dxa"/>
            <w:vAlign w:val="bottom"/>
            <w:tcBorders>
              <w:top w:val="single" w:sz="8" w:color="auto"/>
              <w:left w:val="single" w:sz="8" w:color="auto"/>
              <w:right w:val="single" w:sz="8" w:color="auto"/>
            </w:tcBorders>
          </w:tcPr>
          <w:p>
            <w:pPr>
              <w:spacing w:after="0"/>
              <w:rPr>
                <w:sz w:val="7"/>
                <w:szCs w:val="7"/>
                <w:color w:val="auto"/>
              </w:rPr>
            </w:pPr>
          </w:p>
        </w:tc>
        <w:tc>
          <w:tcPr>
            <w:tcW w:w="760" w:type="dxa"/>
            <w:vAlign w:val="bottom"/>
            <w:tcBorders>
              <w:top w:val="single" w:sz="8" w:color="auto"/>
              <w:right w:val="single" w:sz="8" w:color="auto"/>
            </w:tcBorders>
          </w:tcPr>
          <w:p>
            <w:pPr>
              <w:spacing w:after="0"/>
              <w:rPr>
                <w:sz w:val="7"/>
                <w:szCs w:val="7"/>
                <w:color w:val="auto"/>
              </w:rPr>
            </w:pPr>
          </w:p>
        </w:tc>
        <w:tc>
          <w:tcPr>
            <w:tcW w:w="780" w:type="dxa"/>
            <w:vAlign w:val="bottom"/>
            <w:tcBorders>
              <w:top w:val="single" w:sz="8" w:color="auto"/>
              <w:right w:val="single" w:sz="8" w:color="auto"/>
            </w:tcBorders>
          </w:tcPr>
          <w:p>
            <w:pPr>
              <w:spacing w:after="0"/>
              <w:rPr>
                <w:sz w:val="7"/>
                <w:szCs w:val="7"/>
                <w:color w:val="auto"/>
              </w:rPr>
            </w:pPr>
          </w:p>
        </w:tc>
        <w:tc>
          <w:tcPr>
            <w:tcW w:w="24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w:t>
            </w:r>
          </w:p>
        </w:tc>
        <w:tc>
          <w:tcPr>
            <w:tcW w:w="500" w:type="dxa"/>
            <w:vAlign w:val="bottom"/>
            <w:tcBorders>
              <w:top w:val="single" w:sz="8" w:color="auto"/>
              <w:right w:val="single" w:sz="8" w:color="auto"/>
            </w:tcBorders>
          </w:tcPr>
          <w:p>
            <w:pPr>
              <w:spacing w:after="0"/>
              <w:rPr>
                <w:sz w:val="7"/>
                <w:szCs w:val="7"/>
                <w:color w:val="auto"/>
              </w:rPr>
            </w:pPr>
          </w:p>
        </w:tc>
        <w:tc>
          <w:tcPr>
            <w:tcW w:w="72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Phone Number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7"/>
                <w:szCs w:val="7"/>
                <w:b w:val="1"/>
                <w:bCs w:val="1"/>
                <w:color w:val="auto"/>
              </w:rPr>
              <w:t>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b w:val="1"/>
                <w:bCs w:val="1"/>
                <w:color w:val="auto"/>
              </w:rPr>
              <w:t>Store Legal Entity</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b w:val="1"/>
                <w:bCs w:val="1"/>
                <w:color w:val="auto"/>
                <w:w w:val="97"/>
              </w:rPr>
              <w:t>Store Street Address</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w w:val="97"/>
              </w:rPr>
              <w:t>Store Street Address</w:t>
            </w:r>
          </w:p>
        </w:tc>
        <w:tc>
          <w:tcPr>
            <w:tcW w:w="780" w:type="dxa"/>
            <w:vAlign w:val="bottom"/>
            <w:tcBorders>
              <w:right w:val="single" w:sz="8" w:color="auto"/>
            </w:tcBorders>
          </w:tcPr>
          <w:p>
            <w:pPr>
              <w:spacing w:after="0"/>
              <w:rPr>
                <w:sz w:val="7"/>
                <w:szCs w:val="7"/>
                <w:color w:val="auto"/>
              </w:rPr>
            </w:pPr>
          </w:p>
        </w:tc>
        <w:tc>
          <w:tcPr>
            <w:tcW w:w="32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rPr>
              <w:t>Store</w:t>
            </w:r>
          </w:p>
        </w:tc>
        <w:tc>
          <w:tcPr>
            <w:tcW w:w="360" w:type="dxa"/>
            <w:vAlign w:val="bottom"/>
            <w:tcBorders>
              <w:right w:val="single" w:sz="8" w:color="auto"/>
            </w:tcBorders>
          </w:tcPr>
          <w:p>
            <w:pPr>
              <w:ind w:left="60"/>
              <w:spacing w:after="0"/>
              <w:rPr>
                <w:sz w:val="20"/>
                <w:szCs w:val="20"/>
                <w:color w:val="auto"/>
              </w:rPr>
            </w:pPr>
            <w:r>
              <w:rPr>
                <w:rFonts w:ascii="Arial" w:cs="Arial" w:eastAsia="Arial" w:hAnsi="Arial"/>
                <w:sz w:val="7"/>
                <w:szCs w:val="7"/>
                <w:b w:val="1"/>
                <w:bCs w:val="1"/>
                <w:color w:val="auto"/>
              </w:rPr>
              <w:t>Postal</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Name</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Attention To</w:t>
            </w: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In Care Of</w:t>
            </w:r>
          </w:p>
        </w:tc>
        <w:tc>
          <w:tcPr>
            <w:tcW w:w="780" w:type="dxa"/>
            <w:vAlign w:val="bottom"/>
            <w:tcBorders>
              <w:left w:val="single" w:sz="8" w:color="auto"/>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Street 1</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Street 2</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City</w:t>
            </w:r>
          </w:p>
        </w:tc>
        <w:tc>
          <w:tcPr>
            <w:tcW w:w="240" w:type="dxa"/>
            <w:vAlign w:val="bottom"/>
            <w:tcBorders>
              <w:right w:val="single" w:sz="8" w:color="auto"/>
            </w:tcBorders>
            <w:vMerge w:val="continue"/>
          </w:tcPr>
          <w:p>
            <w:pPr>
              <w:spacing w:after="0"/>
              <w:rPr>
                <w:sz w:val="7"/>
                <w:szCs w:val="7"/>
                <w:color w:val="auto"/>
              </w:rPr>
            </w:pP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Zip</w:t>
            </w:r>
          </w:p>
        </w:tc>
        <w:tc>
          <w:tcPr>
            <w:tcW w:w="72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vMerge w:val="continue"/>
          </w:tcPr>
          <w:p>
            <w:pPr>
              <w:spacing w:after="0"/>
              <w:rPr>
                <w:sz w:val="3"/>
                <w:szCs w:val="3"/>
                <w:color w:val="auto"/>
              </w:rPr>
            </w:pPr>
          </w:p>
        </w:tc>
        <w:tc>
          <w:tcPr>
            <w:tcW w:w="800" w:type="dxa"/>
            <w:vAlign w:val="bottom"/>
            <w:tcBorders>
              <w:right w:val="single" w:sz="8" w:color="auto"/>
            </w:tcBorders>
            <w:vMerge w:val="continue"/>
          </w:tcPr>
          <w:p>
            <w:pPr>
              <w:spacing w:after="0"/>
              <w:rPr>
                <w:sz w:val="3"/>
                <w:szCs w:val="3"/>
                <w:color w:val="auto"/>
              </w:rPr>
            </w:pPr>
          </w:p>
        </w:tc>
        <w:tc>
          <w:tcPr>
            <w:tcW w:w="80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vMerge w:val="continue"/>
          </w:tcPr>
          <w:p>
            <w:pPr>
              <w:spacing w:after="0"/>
              <w:rPr>
                <w:sz w:val="3"/>
                <w:szCs w:val="3"/>
                <w:color w:val="auto"/>
              </w:rPr>
            </w:pPr>
          </w:p>
        </w:tc>
        <w:tc>
          <w:tcPr>
            <w:tcW w:w="36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rPr>
              <w:t>Code</w:t>
            </w: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vMerge w:val="continue"/>
          </w:tcPr>
          <w:p>
            <w:pPr>
              <w:spacing w:after="0"/>
              <w:rPr>
                <w:sz w:val="3"/>
                <w:szCs w:val="3"/>
                <w:color w:val="auto"/>
              </w:rPr>
            </w:pPr>
          </w:p>
        </w:tc>
        <w:tc>
          <w:tcPr>
            <w:tcW w:w="780" w:type="dxa"/>
            <w:vAlign w:val="bottom"/>
            <w:tcBorders>
              <w:left w:val="single" w:sz="8" w:color="auto"/>
              <w:right w:val="single" w:sz="8" w:color="auto"/>
            </w:tcBorders>
            <w:vMerge w:val="continue"/>
          </w:tcPr>
          <w:p>
            <w:pPr>
              <w:spacing w:after="0"/>
              <w:rPr>
                <w:sz w:val="3"/>
                <w:szCs w:val="3"/>
                <w:color w:val="auto"/>
              </w:rPr>
            </w:pPr>
          </w:p>
        </w:tc>
        <w:tc>
          <w:tcPr>
            <w:tcW w:w="76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State</w:t>
            </w:r>
          </w:p>
        </w:tc>
        <w:tc>
          <w:tcPr>
            <w:tcW w:w="50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7"/>
        </w:trPr>
        <w:tc>
          <w:tcPr>
            <w:tcW w:w="3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7"/>
                <w:szCs w:val="7"/>
                <w:b w:val="1"/>
                <w:bCs w:val="1"/>
                <w:color w:val="auto"/>
              </w:rPr>
              <w:t>#</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b w:val="1"/>
                <w:bCs w:val="1"/>
                <w:color w:val="auto"/>
              </w:rPr>
              <w:t>Name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b w:val="1"/>
                <w:bCs w:val="1"/>
                <w:color w:val="auto"/>
              </w:rPr>
              <w:t>#1</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rPr>
              <w:t>#2</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rPr>
              <w:t>Store City</w:t>
            </w:r>
          </w:p>
        </w:tc>
        <w:tc>
          <w:tcPr>
            <w:tcW w:w="32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rPr>
              <w:t>State</w:t>
            </w:r>
          </w:p>
        </w:tc>
        <w:tc>
          <w:tcPr>
            <w:tcW w:w="360" w:type="dxa"/>
            <w:vAlign w:val="bottom"/>
            <w:tcBorders>
              <w:right w:val="single" w:sz="8" w:color="auto"/>
            </w:tcBorders>
            <w:vMerge w:val="continue"/>
          </w:tcPr>
          <w:p>
            <w:pPr>
              <w:spacing w:after="0"/>
              <w:rPr>
                <w:sz w:val="4"/>
                <w:szCs w:val="4"/>
                <w:color w:val="auto"/>
              </w:rPr>
            </w:pPr>
          </w:p>
        </w:tc>
        <w:tc>
          <w:tcPr>
            <w:tcW w:w="1440" w:type="dxa"/>
            <w:vAlign w:val="bottom"/>
            <w:tcBorders>
              <w:right w:val="single" w:sz="8" w:color="auto"/>
            </w:tcBorders>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80" w:type="dxa"/>
            <w:vAlign w:val="bottom"/>
            <w:tcBorders>
              <w:left w:val="single" w:sz="8" w:color="auto"/>
              <w:right w:val="single" w:sz="8" w:color="auto"/>
            </w:tcBorders>
          </w:tcPr>
          <w:p>
            <w:pPr>
              <w:spacing w:after="0"/>
              <w:rPr>
                <w:sz w:val="4"/>
                <w:szCs w:val="4"/>
                <w:color w:val="auto"/>
              </w:rPr>
            </w:pPr>
          </w:p>
        </w:tc>
        <w:tc>
          <w:tcPr>
            <w:tcW w:w="76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72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800" w:type="dxa"/>
            <w:vAlign w:val="bottom"/>
            <w:tcBorders>
              <w:bottom w:val="single" w:sz="8" w:color="auto"/>
              <w:right w:val="single" w:sz="8" w:color="auto"/>
            </w:tcBorders>
            <w:vMerge w:val="continue"/>
          </w:tcPr>
          <w:p>
            <w:pPr>
              <w:spacing w:after="0"/>
              <w:rPr>
                <w:sz w:val="5"/>
                <w:szCs w:val="5"/>
                <w:color w:val="auto"/>
              </w:rPr>
            </w:pPr>
          </w:p>
        </w:tc>
        <w:tc>
          <w:tcPr>
            <w:tcW w:w="800" w:type="dxa"/>
            <w:vAlign w:val="bottom"/>
            <w:tcBorders>
              <w:bottom w:val="single" w:sz="8" w:color="auto"/>
              <w:right w:val="single" w:sz="8" w:color="auto"/>
            </w:tcBorders>
            <w:vMerge w:val="continue"/>
          </w:tcPr>
          <w:p>
            <w:pPr>
              <w:spacing w:after="0"/>
              <w:rPr>
                <w:sz w:val="5"/>
                <w:szCs w:val="5"/>
                <w:color w:val="auto"/>
              </w:rPr>
            </w:pPr>
          </w:p>
        </w:tc>
        <w:tc>
          <w:tcPr>
            <w:tcW w:w="780" w:type="dxa"/>
            <w:vAlign w:val="bottom"/>
            <w:tcBorders>
              <w:bottom w:val="single" w:sz="8" w:color="auto"/>
              <w:right w:val="single" w:sz="8" w:color="auto"/>
            </w:tcBorders>
            <w:vMerge w:val="continue"/>
          </w:tcPr>
          <w:p>
            <w:pPr>
              <w:spacing w:after="0"/>
              <w:rPr>
                <w:sz w:val="5"/>
                <w:szCs w:val="5"/>
                <w:color w:val="auto"/>
              </w:rPr>
            </w:pPr>
          </w:p>
        </w:tc>
        <w:tc>
          <w:tcPr>
            <w:tcW w:w="780" w:type="dxa"/>
            <w:vAlign w:val="bottom"/>
            <w:tcBorders>
              <w:bottom w:val="single" w:sz="8" w:color="auto"/>
              <w:right w:val="single" w:sz="8" w:color="auto"/>
            </w:tcBorders>
            <w:vMerge w:val="continue"/>
          </w:tcPr>
          <w:p>
            <w:pPr>
              <w:spacing w:after="0"/>
              <w:rPr>
                <w:sz w:val="5"/>
                <w:szCs w:val="5"/>
                <w:color w:val="auto"/>
              </w:rPr>
            </w:pPr>
          </w:p>
        </w:tc>
        <w:tc>
          <w:tcPr>
            <w:tcW w:w="320" w:type="dxa"/>
            <w:vAlign w:val="bottom"/>
            <w:tcBorders>
              <w:bottom w:val="single" w:sz="8" w:color="auto"/>
              <w:right w:val="single" w:sz="8" w:color="auto"/>
            </w:tcBorders>
            <w:vMerge w:val="continue"/>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780" w:type="dxa"/>
            <w:vAlign w:val="bottom"/>
            <w:tcBorders>
              <w:left w:val="single" w:sz="8" w:color="auto"/>
              <w:bottom w:val="single" w:sz="8" w:color="auto"/>
              <w:right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360" w:type="dxa"/>
            <w:vAlign w:val="bottom"/>
            <w:tcBorders>
              <w:left w:val="single" w:sz="8" w:color="auto"/>
              <w:right w:val="single" w:sz="8" w:color="auto"/>
            </w:tcBorders>
          </w:tcPr>
          <w:p>
            <w:pPr>
              <w:jc w:val="right"/>
              <w:ind w:right="44"/>
              <w:spacing w:after="0" w:line="74" w:lineRule="exact"/>
              <w:rPr>
                <w:sz w:val="20"/>
                <w:szCs w:val="20"/>
                <w:color w:val="auto"/>
              </w:rPr>
            </w:pPr>
            <w:r>
              <w:rPr>
                <w:rFonts w:ascii="Arial" w:cs="Arial" w:eastAsia="Arial" w:hAnsi="Arial"/>
                <w:sz w:val="7"/>
                <w:szCs w:val="7"/>
                <w:color w:val="auto"/>
              </w:rPr>
              <w:t>9828</w:t>
            </w:r>
          </w:p>
        </w:tc>
        <w:tc>
          <w:tcPr>
            <w:tcW w:w="800" w:type="dxa"/>
            <w:vAlign w:val="bottom"/>
            <w:tcBorders>
              <w:right w:val="single" w:sz="8" w:color="auto"/>
            </w:tcBorders>
          </w:tcPr>
          <w:p>
            <w:pPr>
              <w:ind w:left="100"/>
              <w:spacing w:after="0" w:line="74"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4" w:lineRule="exact"/>
              <w:rPr>
                <w:sz w:val="20"/>
                <w:szCs w:val="20"/>
                <w:color w:val="auto"/>
              </w:rPr>
            </w:pPr>
            <w:r>
              <w:rPr>
                <w:rFonts w:ascii="Arial" w:cs="Arial" w:eastAsia="Arial" w:hAnsi="Arial"/>
                <w:sz w:val="7"/>
                <w:szCs w:val="7"/>
                <w:color w:val="auto"/>
              </w:rPr>
              <w:t>Temecula Place</w:t>
            </w:r>
          </w:p>
        </w:tc>
        <w:tc>
          <w:tcPr>
            <w:tcW w:w="780" w:type="dxa"/>
            <w:vAlign w:val="bottom"/>
            <w:tcBorders>
              <w:right w:val="single" w:sz="8" w:color="auto"/>
            </w:tcBorders>
          </w:tcPr>
          <w:p>
            <w:pPr>
              <w:ind w:left="60"/>
              <w:spacing w:after="0" w:line="74" w:lineRule="exact"/>
              <w:rPr>
                <w:sz w:val="20"/>
                <w:szCs w:val="20"/>
                <w:color w:val="auto"/>
              </w:rPr>
            </w:pPr>
            <w:r>
              <w:rPr>
                <w:rFonts w:ascii="Arial" w:cs="Arial" w:eastAsia="Arial" w:hAnsi="Arial"/>
                <w:sz w:val="7"/>
                <w:szCs w:val="7"/>
                <w:color w:val="auto"/>
              </w:rPr>
              <w:t>40620 Winchester</w:t>
            </w:r>
          </w:p>
        </w:tc>
        <w:tc>
          <w:tcPr>
            <w:tcW w:w="780" w:type="dxa"/>
            <w:vAlign w:val="bottom"/>
            <w:tcBorders>
              <w:right w:val="single" w:sz="8" w:color="auto"/>
            </w:tcBorders>
          </w:tcPr>
          <w:p>
            <w:pPr>
              <w:ind w:left="60"/>
              <w:spacing w:after="0" w:line="74" w:lineRule="exact"/>
              <w:rPr>
                <w:sz w:val="20"/>
                <w:szCs w:val="20"/>
                <w:color w:val="auto"/>
              </w:rPr>
            </w:pPr>
            <w:r>
              <w:rPr>
                <w:rFonts w:ascii="Arial" w:cs="Arial" w:eastAsia="Arial" w:hAnsi="Arial"/>
                <w:sz w:val="7"/>
                <w:szCs w:val="7"/>
                <w:color w:val="auto"/>
              </w:rPr>
              <w:t>Temecula</w:t>
            </w:r>
          </w:p>
        </w:tc>
        <w:tc>
          <w:tcPr>
            <w:tcW w:w="320" w:type="dxa"/>
            <w:vAlign w:val="bottom"/>
            <w:tcBorders>
              <w:right w:val="single" w:sz="8" w:color="auto"/>
            </w:tcBorders>
          </w:tcPr>
          <w:p>
            <w:pPr>
              <w:ind w:left="60"/>
              <w:spacing w:after="0" w:line="74" w:lineRule="exact"/>
              <w:rPr>
                <w:sz w:val="20"/>
                <w:szCs w:val="20"/>
                <w:color w:val="auto"/>
              </w:rPr>
            </w:pPr>
            <w:r>
              <w:rPr>
                <w:rFonts w:ascii="Arial" w:cs="Arial" w:eastAsia="Arial" w:hAnsi="Arial"/>
                <w:sz w:val="7"/>
                <w:szCs w:val="7"/>
                <w:color w:val="auto"/>
              </w:rPr>
              <w:t>CA</w:t>
            </w:r>
          </w:p>
        </w:tc>
        <w:tc>
          <w:tcPr>
            <w:tcW w:w="360" w:type="dxa"/>
            <w:vAlign w:val="bottom"/>
            <w:tcBorders>
              <w:right w:val="single" w:sz="8" w:color="auto"/>
            </w:tcBorders>
          </w:tcPr>
          <w:p>
            <w:pPr>
              <w:ind w:left="60"/>
              <w:spacing w:after="0" w:line="74" w:lineRule="exact"/>
              <w:rPr>
                <w:sz w:val="20"/>
                <w:szCs w:val="20"/>
                <w:color w:val="auto"/>
              </w:rPr>
            </w:pPr>
            <w:r>
              <w:rPr>
                <w:rFonts w:ascii="Arial" w:cs="Arial" w:eastAsia="Arial" w:hAnsi="Arial"/>
                <w:sz w:val="7"/>
                <w:szCs w:val="7"/>
                <w:color w:val="auto"/>
              </w:rPr>
              <w:t>92591</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TRAILHORSE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4" w:lineRule="exact"/>
              <w:rPr>
                <w:sz w:val="20"/>
                <w:szCs w:val="20"/>
                <w:color w:val="auto"/>
              </w:rPr>
            </w:pPr>
            <w:r>
              <w:rPr>
                <w:rFonts w:ascii="Arial" w:cs="Arial" w:eastAsia="Arial" w:hAnsi="Arial"/>
                <w:sz w:val="7"/>
                <w:szCs w:val="7"/>
                <w:color w:val="auto"/>
              </w:rPr>
              <w:t>2611 S. HWY. 101,</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CARDIFF</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CA</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92007</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858-546-3000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STORE, LLC</w:t>
            </w:r>
          </w:p>
        </w:tc>
        <w:tc>
          <w:tcPr>
            <w:tcW w:w="80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Road Ste A</w:t>
            </w: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205</w:t>
            </w:r>
          </w:p>
        </w:tc>
        <w:tc>
          <w:tcPr>
            <w:tcW w:w="76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2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
        </w:trPr>
        <w:tc>
          <w:tcPr>
            <w:tcW w:w="36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continue"/>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500" w:type="dxa"/>
            <w:vAlign w:val="bottom"/>
            <w:tcBorders>
              <w:right w:val="single" w:sz="8" w:color="auto"/>
            </w:tcBorders>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
        </w:trPr>
        <w:tc>
          <w:tcPr>
            <w:tcW w:w="36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360" w:type="dxa"/>
            <w:vAlign w:val="bottom"/>
            <w:tcBorders>
              <w:left w:val="single" w:sz="8" w:color="auto"/>
              <w:right w:val="single" w:sz="8" w:color="auto"/>
            </w:tcBorders>
          </w:tcPr>
          <w:p>
            <w:pPr>
              <w:jc w:val="right"/>
              <w:ind w:right="44"/>
              <w:spacing w:after="0" w:line="63" w:lineRule="exact"/>
              <w:rPr>
                <w:sz w:val="20"/>
                <w:szCs w:val="20"/>
                <w:color w:val="auto"/>
              </w:rPr>
            </w:pPr>
            <w:r>
              <w:rPr>
                <w:rFonts w:ascii="Arial" w:cs="Arial" w:eastAsia="Arial" w:hAnsi="Arial"/>
                <w:sz w:val="7"/>
                <w:szCs w:val="7"/>
                <w:color w:val="auto"/>
              </w:rPr>
              <w:t>9829</w:t>
            </w:r>
          </w:p>
        </w:tc>
        <w:tc>
          <w:tcPr>
            <w:tcW w:w="800" w:type="dxa"/>
            <w:vAlign w:val="bottom"/>
            <w:tcBorders>
              <w:right w:val="single" w:sz="8" w:color="auto"/>
            </w:tcBorders>
          </w:tcPr>
          <w:p>
            <w:pPr>
              <w:ind w:left="100"/>
              <w:spacing w:after="0" w:line="63"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63" w:lineRule="exact"/>
              <w:rPr>
                <w:sz w:val="20"/>
                <w:szCs w:val="20"/>
                <w:color w:val="auto"/>
              </w:rPr>
            </w:pPr>
            <w:r>
              <w:rPr>
                <w:rFonts w:ascii="Arial" w:cs="Arial" w:eastAsia="Arial" w:hAnsi="Arial"/>
                <w:sz w:val="7"/>
                <w:szCs w:val="7"/>
                <w:color w:val="auto"/>
              </w:rPr>
              <w:t>5240 ROUTE 30</w:t>
            </w:r>
          </w:p>
        </w:tc>
        <w:tc>
          <w:tcPr>
            <w:tcW w:w="78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ind w:left="60"/>
              <w:spacing w:after="0" w:line="63" w:lineRule="exact"/>
              <w:rPr>
                <w:sz w:val="20"/>
                <w:szCs w:val="20"/>
                <w:color w:val="auto"/>
              </w:rPr>
            </w:pPr>
            <w:r>
              <w:rPr>
                <w:rFonts w:ascii="Arial" w:cs="Arial" w:eastAsia="Arial" w:hAnsi="Arial"/>
                <w:sz w:val="7"/>
                <w:szCs w:val="7"/>
                <w:color w:val="auto"/>
              </w:rPr>
              <w:t>GREENSBURG</w:t>
            </w:r>
          </w:p>
        </w:tc>
        <w:tc>
          <w:tcPr>
            <w:tcW w:w="320" w:type="dxa"/>
            <w:vAlign w:val="bottom"/>
            <w:tcBorders>
              <w:right w:val="single" w:sz="8" w:color="auto"/>
            </w:tcBorders>
          </w:tcPr>
          <w:p>
            <w:pPr>
              <w:ind w:left="60"/>
              <w:spacing w:after="0" w:line="63" w:lineRule="exact"/>
              <w:rPr>
                <w:sz w:val="20"/>
                <w:szCs w:val="20"/>
                <w:color w:val="auto"/>
              </w:rPr>
            </w:pPr>
            <w:r>
              <w:rPr>
                <w:rFonts w:ascii="Arial" w:cs="Arial" w:eastAsia="Arial" w:hAnsi="Arial"/>
                <w:sz w:val="7"/>
                <w:szCs w:val="7"/>
                <w:color w:val="auto"/>
              </w:rPr>
              <w:t>PA</w:t>
            </w:r>
          </w:p>
        </w:tc>
        <w:tc>
          <w:tcPr>
            <w:tcW w:w="360" w:type="dxa"/>
            <w:vAlign w:val="bottom"/>
            <w:tcBorders>
              <w:right w:val="single" w:sz="8" w:color="auto"/>
            </w:tcBorders>
          </w:tcPr>
          <w:p>
            <w:pPr>
              <w:ind w:left="60"/>
              <w:spacing w:after="0" w:line="63" w:lineRule="exact"/>
              <w:rPr>
                <w:sz w:val="20"/>
                <w:szCs w:val="20"/>
                <w:color w:val="auto"/>
              </w:rPr>
            </w:pPr>
            <w:r>
              <w:rPr>
                <w:rFonts w:ascii="Arial" w:cs="Arial" w:eastAsia="Arial" w:hAnsi="Arial"/>
                <w:sz w:val="7"/>
                <w:szCs w:val="7"/>
                <w:color w:val="auto"/>
              </w:rPr>
              <w:t>15601</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CBL/WESTMORELAND MALL, LP</w:t>
            </w:r>
          </w:p>
        </w:tc>
        <w:tc>
          <w:tcPr>
            <w:tcW w:w="1020" w:type="dxa"/>
            <w:vAlign w:val="bottom"/>
            <w:tcBorders>
              <w:right w:val="single" w:sz="8" w:color="auto"/>
            </w:tcBorders>
          </w:tcPr>
          <w:p>
            <w:pPr>
              <w:spacing w:after="0"/>
              <w:rPr>
                <w:sz w:val="5"/>
                <w:szCs w:val="5"/>
                <w:color w:val="auto"/>
              </w:rPr>
            </w:pPr>
          </w:p>
        </w:tc>
        <w:tc>
          <w:tcPr>
            <w:tcW w:w="104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line="63" w:lineRule="exact"/>
              <w:rPr>
                <w:sz w:val="20"/>
                <w:szCs w:val="20"/>
                <w:color w:val="auto"/>
              </w:rPr>
            </w:pPr>
            <w:r>
              <w:rPr>
                <w:rFonts w:ascii="Arial" w:cs="Arial" w:eastAsia="Arial" w:hAnsi="Arial"/>
                <w:sz w:val="7"/>
                <w:szCs w:val="7"/>
                <w:color w:val="auto"/>
              </w:rPr>
              <w:t>CBL &amp; ASSO.MGMT,</w:t>
            </w:r>
          </w:p>
        </w:tc>
        <w:tc>
          <w:tcPr>
            <w:tcW w:w="760" w:type="dxa"/>
            <w:vAlign w:val="bottom"/>
            <w:tcBorders>
              <w:right w:val="single" w:sz="8" w:color="auto"/>
            </w:tcBorders>
          </w:tcPr>
          <w:p>
            <w:pPr>
              <w:spacing w:after="0" w:line="63" w:lineRule="exact"/>
              <w:rPr>
                <w:sz w:val="20"/>
                <w:szCs w:val="20"/>
                <w:color w:val="auto"/>
              </w:rPr>
            </w:pPr>
            <w:r>
              <w:rPr>
                <w:rFonts w:ascii="Arial" w:cs="Arial" w:eastAsia="Arial" w:hAnsi="Arial"/>
                <w:sz w:val="7"/>
                <w:szCs w:val="7"/>
                <w:color w:val="auto"/>
              </w:rPr>
              <w:t>2030 HAMILTON</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CHATTANOOGA</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TN</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37421-6000</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(423) 855-0001</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INC/CBL CENTER</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PLACE BLVD</w:t>
            </w: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2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9843</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17401</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TUKWILA</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WA</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98188</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WINNERS 3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117 EAST LOUISA</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SEATTLE</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WA</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98102</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(206) 257-9921</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SOUTHCENTER</w:t>
            </w:r>
          </w:p>
        </w:tc>
        <w:tc>
          <w:tcPr>
            <w:tcW w:w="7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STREET #230</w:t>
            </w:r>
          </w:p>
        </w:tc>
        <w:tc>
          <w:tcPr>
            <w:tcW w:w="76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2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9844</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464 N. ALAFAYA</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ORLANDO</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FL</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32828</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DENO P. DIKEOU</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543 WYMORE ROAD</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106</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MAITLAND</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FL</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32751</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(407) 830-4888</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TRAIL SUITE 109</w:t>
            </w:r>
          </w:p>
        </w:tc>
        <w:tc>
          <w:tcPr>
            <w:tcW w:w="7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NORTH</w:t>
            </w:r>
          </w:p>
        </w:tc>
        <w:tc>
          <w:tcPr>
            <w:tcW w:w="76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2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5"/>
        </w:trPr>
        <w:tc>
          <w:tcPr>
            <w:tcW w:w="360" w:type="dxa"/>
            <w:vAlign w:val="bottom"/>
            <w:tcBorders>
              <w:left w:val="single" w:sz="8" w:color="auto"/>
              <w:right w:val="single" w:sz="8" w:color="auto"/>
            </w:tcBorders>
          </w:tcPr>
          <w:p>
            <w:pPr>
              <w:jc w:val="right"/>
              <w:ind w:right="44"/>
              <w:spacing w:after="0"/>
              <w:rPr>
                <w:sz w:val="20"/>
                <w:szCs w:val="20"/>
                <w:color w:val="auto"/>
              </w:rPr>
            </w:pPr>
            <w:r>
              <w:rPr>
                <w:rFonts w:ascii="Arial" w:cs="Arial" w:eastAsia="Arial" w:hAnsi="Arial"/>
                <w:sz w:val="7"/>
                <w:szCs w:val="7"/>
                <w:color w:val="auto"/>
              </w:rPr>
              <w:t>9846</w:t>
            </w:r>
          </w:p>
        </w:tc>
        <w:tc>
          <w:tcPr>
            <w:tcW w:w="800" w:type="dxa"/>
            <w:vAlign w:val="bottom"/>
            <w:tcBorders>
              <w:right w:val="single" w:sz="8" w:color="auto"/>
            </w:tcBorders>
          </w:tcPr>
          <w:p>
            <w:pPr>
              <w:ind w:left="100"/>
              <w:spacing w:after="0"/>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rPr>
                <w:sz w:val="20"/>
                <w:szCs w:val="20"/>
                <w:color w:val="auto"/>
              </w:rPr>
            </w:pPr>
            <w:r>
              <w:rPr>
                <w:rFonts w:ascii="Arial" w:cs="Arial" w:eastAsia="Arial" w:hAnsi="Arial"/>
                <w:sz w:val="7"/>
                <w:szCs w:val="7"/>
                <w:color w:val="auto"/>
              </w:rPr>
              <w:t>444 ROUTE 211</w:t>
            </w:r>
          </w:p>
        </w:tc>
        <w:tc>
          <w:tcPr>
            <w:tcW w:w="78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ind w:left="60"/>
              <w:spacing w:after="0"/>
              <w:rPr>
                <w:sz w:val="20"/>
                <w:szCs w:val="20"/>
                <w:color w:val="auto"/>
              </w:rPr>
            </w:pPr>
            <w:r>
              <w:rPr>
                <w:rFonts w:ascii="Arial" w:cs="Arial" w:eastAsia="Arial" w:hAnsi="Arial"/>
                <w:sz w:val="7"/>
                <w:szCs w:val="7"/>
                <w:color w:val="auto"/>
              </w:rPr>
              <w:t>MIDDLETOWN</w:t>
            </w:r>
          </w:p>
        </w:tc>
        <w:tc>
          <w:tcPr>
            <w:tcW w:w="320" w:type="dxa"/>
            <w:vAlign w:val="bottom"/>
            <w:tcBorders>
              <w:right w:val="single" w:sz="8" w:color="auto"/>
            </w:tcBorders>
          </w:tcPr>
          <w:p>
            <w:pPr>
              <w:ind w:left="60"/>
              <w:spacing w:after="0"/>
              <w:rPr>
                <w:sz w:val="20"/>
                <w:szCs w:val="20"/>
                <w:color w:val="auto"/>
              </w:rPr>
            </w:pPr>
            <w:r>
              <w:rPr>
                <w:rFonts w:ascii="Arial" w:cs="Arial" w:eastAsia="Arial" w:hAnsi="Arial"/>
                <w:sz w:val="7"/>
                <w:szCs w:val="7"/>
                <w:color w:val="auto"/>
              </w:rPr>
              <w:t>NY</w:t>
            </w:r>
          </w:p>
        </w:tc>
        <w:tc>
          <w:tcPr>
            <w:tcW w:w="360" w:type="dxa"/>
            <w:vAlign w:val="bottom"/>
            <w:tcBorders>
              <w:right w:val="single" w:sz="8" w:color="auto"/>
            </w:tcBorders>
          </w:tcPr>
          <w:p>
            <w:pPr>
              <w:ind w:left="60"/>
              <w:spacing w:after="0"/>
              <w:rPr>
                <w:sz w:val="20"/>
                <w:szCs w:val="20"/>
                <w:color w:val="auto"/>
              </w:rPr>
            </w:pPr>
            <w:r>
              <w:rPr>
                <w:rFonts w:ascii="Arial" w:cs="Arial" w:eastAsia="Arial" w:hAnsi="Arial"/>
                <w:sz w:val="7"/>
                <w:szCs w:val="7"/>
                <w:color w:val="auto"/>
              </w:rPr>
              <w:t>10940</w:t>
            </w:r>
          </w:p>
        </w:tc>
        <w:tc>
          <w:tcPr>
            <w:tcW w:w="1440" w:type="dxa"/>
            <w:vAlign w:val="bottom"/>
            <w:tcBorders>
              <w:right w:val="single" w:sz="8" w:color="auto"/>
            </w:tcBorders>
          </w:tcPr>
          <w:p>
            <w:pPr>
              <w:ind w:left="20"/>
              <w:spacing w:after="0"/>
              <w:rPr>
                <w:sz w:val="20"/>
                <w:szCs w:val="20"/>
                <w:color w:val="auto"/>
              </w:rPr>
            </w:pPr>
            <w:r>
              <w:rPr>
                <w:rFonts w:ascii="Arial" w:cs="Arial" w:eastAsia="Arial" w:hAnsi="Arial"/>
                <w:sz w:val="7"/>
                <w:szCs w:val="7"/>
                <w:color w:val="auto"/>
              </w:rPr>
              <w:t>MIDDLETOWN I RESOURCES L.P.</w:t>
            </w:r>
          </w:p>
        </w:tc>
        <w:tc>
          <w:tcPr>
            <w:tcW w:w="1020" w:type="dxa"/>
            <w:vAlign w:val="bottom"/>
            <w:tcBorders>
              <w:right w:val="single" w:sz="8" w:color="auto"/>
            </w:tcBorders>
          </w:tcPr>
          <w:p>
            <w:pPr>
              <w:spacing w:after="0"/>
              <w:rPr>
                <w:sz w:val="9"/>
                <w:szCs w:val="9"/>
                <w:color w:val="auto"/>
              </w:rPr>
            </w:pPr>
          </w:p>
        </w:tc>
        <w:tc>
          <w:tcPr>
            <w:tcW w:w="1040" w:type="dxa"/>
            <w:vAlign w:val="bottom"/>
            <w:tcBorders>
              <w:right w:val="single" w:sz="8" w:color="auto"/>
            </w:tcBorders>
          </w:tcPr>
          <w:p>
            <w:pPr>
              <w:spacing w:after="0"/>
              <w:rPr>
                <w:sz w:val="20"/>
                <w:szCs w:val="20"/>
                <w:color w:val="auto"/>
              </w:rPr>
            </w:pPr>
            <w:r>
              <w:rPr>
                <w:rFonts w:ascii="Arial" w:cs="Arial" w:eastAsia="Arial" w:hAnsi="Arial"/>
                <w:sz w:val="7"/>
                <w:szCs w:val="7"/>
                <w:color w:val="auto"/>
              </w:rPr>
              <w:t>NATIONAL REALTY &amp;</w:t>
            </w:r>
          </w:p>
        </w:tc>
        <w:tc>
          <w:tcPr>
            <w:tcW w:w="780" w:type="dxa"/>
            <w:vAlign w:val="bottom"/>
            <w:tcBorders>
              <w:right w:val="single" w:sz="8" w:color="auto"/>
            </w:tcBorders>
          </w:tcPr>
          <w:p>
            <w:pPr>
              <w:spacing w:after="0"/>
              <w:rPr>
                <w:sz w:val="20"/>
                <w:szCs w:val="20"/>
                <w:color w:val="auto"/>
              </w:rPr>
            </w:pPr>
            <w:r>
              <w:rPr>
                <w:rFonts w:ascii="Arial" w:cs="Arial" w:eastAsia="Arial" w:hAnsi="Arial"/>
                <w:sz w:val="7"/>
                <w:szCs w:val="7"/>
                <w:color w:val="auto"/>
              </w:rPr>
              <w:t>-</w:t>
            </w:r>
          </w:p>
        </w:tc>
        <w:tc>
          <w:tcPr>
            <w:tcW w:w="760" w:type="dxa"/>
            <w:vAlign w:val="bottom"/>
            <w:tcBorders>
              <w:right w:val="single" w:sz="8" w:color="auto"/>
            </w:tcBorders>
          </w:tcPr>
          <w:p>
            <w:pPr>
              <w:spacing w:after="0"/>
              <w:rPr>
                <w:sz w:val="20"/>
                <w:szCs w:val="20"/>
                <w:color w:val="auto"/>
              </w:rPr>
            </w:pPr>
            <w:r>
              <w:rPr>
                <w:rFonts w:ascii="Arial" w:cs="Arial" w:eastAsia="Arial" w:hAnsi="Arial"/>
                <w:sz w:val="7"/>
                <w:szCs w:val="7"/>
                <w:color w:val="auto"/>
              </w:rPr>
              <w:t>3 MANHATTANVILLE</w:t>
            </w:r>
          </w:p>
        </w:tc>
        <w:tc>
          <w:tcPr>
            <w:tcW w:w="780" w:type="dxa"/>
            <w:vAlign w:val="bottom"/>
            <w:tcBorders>
              <w:right w:val="single" w:sz="8" w:color="auto"/>
            </w:tcBorders>
          </w:tcPr>
          <w:p>
            <w:pPr>
              <w:spacing w:after="0"/>
              <w:rPr>
                <w:sz w:val="20"/>
                <w:szCs w:val="20"/>
                <w:color w:val="auto"/>
              </w:rPr>
            </w:pPr>
            <w:r>
              <w:rPr>
                <w:rFonts w:ascii="Arial" w:cs="Arial" w:eastAsia="Arial" w:hAnsi="Arial"/>
                <w:sz w:val="7"/>
                <w:szCs w:val="7"/>
                <w:color w:val="auto"/>
              </w:rPr>
              <w:t>PURCHASE</w:t>
            </w:r>
          </w:p>
        </w:tc>
        <w:tc>
          <w:tcPr>
            <w:tcW w:w="240" w:type="dxa"/>
            <w:vAlign w:val="bottom"/>
            <w:tcBorders>
              <w:right w:val="single" w:sz="8" w:color="auto"/>
            </w:tcBorders>
          </w:tcPr>
          <w:p>
            <w:pPr>
              <w:spacing w:after="0"/>
              <w:rPr>
                <w:sz w:val="20"/>
                <w:szCs w:val="20"/>
                <w:color w:val="auto"/>
              </w:rPr>
            </w:pPr>
            <w:r>
              <w:rPr>
                <w:rFonts w:ascii="Arial" w:cs="Arial" w:eastAsia="Arial" w:hAnsi="Arial"/>
                <w:sz w:val="7"/>
                <w:szCs w:val="7"/>
                <w:color w:val="auto"/>
              </w:rPr>
              <w:t>NY</w:t>
            </w:r>
          </w:p>
        </w:tc>
        <w:tc>
          <w:tcPr>
            <w:tcW w:w="500" w:type="dxa"/>
            <w:vAlign w:val="bottom"/>
            <w:tcBorders>
              <w:right w:val="single" w:sz="8" w:color="auto"/>
            </w:tcBorders>
          </w:tcPr>
          <w:p>
            <w:pPr>
              <w:spacing w:after="0"/>
              <w:rPr>
                <w:sz w:val="20"/>
                <w:szCs w:val="20"/>
                <w:color w:val="auto"/>
              </w:rPr>
            </w:pPr>
            <w:r>
              <w:rPr>
                <w:rFonts w:ascii="Arial" w:cs="Arial" w:eastAsia="Arial" w:hAnsi="Arial"/>
                <w:sz w:val="7"/>
                <w:szCs w:val="7"/>
                <w:color w:val="auto"/>
              </w:rPr>
              <w:t>10577-2117</w:t>
            </w:r>
          </w:p>
        </w:tc>
        <w:tc>
          <w:tcPr>
            <w:tcW w:w="720" w:type="dxa"/>
            <w:vAlign w:val="bottom"/>
            <w:tcBorders>
              <w:right w:val="single" w:sz="8" w:color="auto"/>
            </w:tcBorders>
          </w:tcPr>
          <w:p>
            <w:pPr>
              <w:spacing w:after="0"/>
              <w:rPr>
                <w:sz w:val="20"/>
                <w:szCs w:val="20"/>
                <w:color w:val="auto"/>
              </w:rPr>
            </w:pPr>
            <w:r>
              <w:rPr>
                <w:rFonts w:ascii="Arial" w:cs="Arial" w:eastAsia="Arial" w:hAnsi="Arial"/>
                <w:sz w:val="7"/>
                <w:szCs w:val="7"/>
                <w:color w:val="auto"/>
              </w:rPr>
              <w:t>(914) 694-4444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360" w:type="dxa"/>
            <w:vAlign w:val="bottom"/>
            <w:tcBorders>
              <w:left w:val="single" w:sz="8" w:color="auto"/>
              <w:bottom w:val="single" w:sz="8" w:color="auto"/>
              <w:right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ind w:left="100"/>
              <w:spacing w:after="0" w:line="72" w:lineRule="exact"/>
              <w:rPr>
                <w:sz w:val="20"/>
                <w:szCs w:val="20"/>
                <w:color w:val="auto"/>
              </w:rPr>
            </w:pPr>
            <w:r>
              <w:rPr>
                <w:rFonts w:ascii="Arial" w:cs="Arial" w:eastAsia="Arial" w:hAnsi="Arial"/>
                <w:sz w:val="7"/>
                <w:szCs w:val="7"/>
                <w:color w:val="auto"/>
              </w:rPr>
              <w:t>RETAIL STORE,</w:t>
            </w:r>
          </w:p>
        </w:tc>
        <w:tc>
          <w:tcPr>
            <w:tcW w:w="800" w:type="dxa"/>
            <w:vAlign w:val="bottom"/>
            <w:tcBorders>
              <w:bottom w:val="single" w:sz="8" w:color="auto"/>
              <w:right w:val="single" w:sz="8" w:color="auto"/>
            </w:tcBorders>
          </w:tcPr>
          <w:p>
            <w:pPr>
              <w:ind w:left="80"/>
              <w:spacing w:after="0" w:line="72" w:lineRule="exact"/>
              <w:rPr>
                <w:sz w:val="20"/>
                <w:szCs w:val="20"/>
                <w:color w:val="auto"/>
              </w:rPr>
            </w:pPr>
            <w:r>
              <w:rPr>
                <w:rFonts w:ascii="Arial" w:cs="Arial" w:eastAsia="Arial" w:hAnsi="Arial"/>
                <w:sz w:val="7"/>
                <w:szCs w:val="7"/>
                <w:color w:val="auto"/>
              </w:rPr>
              <w:t>EAST</w:t>
            </w:r>
          </w:p>
        </w:tc>
        <w:tc>
          <w:tcPr>
            <w:tcW w:w="78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right w:val="single" w:sz="8" w:color="auto"/>
            </w:tcBorders>
          </w:tcPr>
          <w:p>
            <w:pPr>
              <w:spacing w:after="0"/>
              <w:rPr>
                <w:sz w:val="6"/>
                <w:szCs w:val="6"/>
                <w:color w:val="auto"/>
              </w:rPr>
            </w:pPr>
          </w:p>
        </w:tc>
        <w:tc>
          <w:tcPr>
            <w:tcW w:w="320" w:type="dxa"/>
            <w:vAlign w:val="bottom"/>
            <w:tcBorders>
              <w:bottom w:val="single" w:sz="8" w:color="auto"/>
              <w:right w:val="single" w:sz="8" w:color="auto"/>
            </w:tcBorders>
          </w:tcPr>
          <w:p>
            <w:pPr>
              <w:spacing w:after="0"/>
              <w:rPr>
                <w:sz w:val="6"/>
                <w:szCs w:val="6"/>
                <w:color w:val="auto"/>
              </w:rPr>
            </w:pPr>
          </w:p>
        </w:tc>
        <w:tc>
          <w:tcPr>
            <w:tcW w:w="360" w:type="dxa"/>
            <w:vAlign w:val="bottom"/>
            <w:tcBorders>
              <w:bottom w:val="single" w:sz="8" w:color="auto"/>
              <w:right w:val="single" w:sz="8" w:color="auto"/>
            </w:tcBorders>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1020" w:type="dxa"/>
            <w:vAlign w:val="bottom"/>
            <w:tcBorders>
              <w:bottom w:val="single" w:sz="8" w:color="auto"/>
              <w:right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line="72" w:lineRule="exact"/>
              <w:rPr>
                <w:sz w:val="20"/>
                <w:szCs w:val="20"/>
                <w:color w:val="auto"/>
              </w:rPr>
            </w:pPr>
            <w:r>
              <w:rPr>
                <w:rFonts w:ascii="Arial" w:cs="Arial" w:eastAsia="Arial" w:hAnsi="Arial"/>
                <w:sz w:val="7"/>
                <w:szCs w:val="7"/>
                <w:color w:val="auto"/>
              </w:rPr>
              <w:t>DEVELOPMENT CORP.</w:t>
            </w:r>
          </w:p>
        </w:tc>
        <w:tc>
          <w:tcPr>
            <w:tcW w:w="780" w:type="dxa"/>
            <w:vAlign w:val="bottom"/>
            <w:tcBorders>
              <w:bottom w:val="single" w:sz="8" w:color="auto"/>
              <w:right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line="72" w:lineRule="exact"/>
              <w:rPr>
                <w:sz w:val="20"/>
                <w:szCs w:val="20"/>
                <w:color w:val="auto"/>
              </w:rPr>
            </w:pPr>
            <w:r>
              <w:rPr>
                <w:rFonts w:ascii="Arial" w:cs="Arial" w:eastAsia="Arial" w:hAnsi="Arial"/>
                <w:sz w:val="7"/>
                <w:szCs w:val="7"/>
                <w:color w:val="auto"/>
              </w:rPr>
              <w:t>ROAD, SUITE 202</w:t>
            </w:r>
          </w:p>
        </w:tc>
        <w:tc>
          <w:tcPr>
            <w:tcW w:w="780" w:type="dxa"/>
            <w:vAlign w:val="bottom"/>
            <w:tcBorders>
              <w:bottom w:val="single" w:sz="8" w:color="auto"/>
              <w:right w:val="single" w:sz="8" w:color="auto"/>
            </w:tcBorders>
          </w:tcPr>
          <w:p>
            <w:pPr>
              <w:spacing w:after="0"/>
              <w:rPr>
                <w:sz w:val="6"/>
                <w:szCs w:val="6"/>
                <w:color w:val="auto"/>
              </w:rPr>
            </w:pPr>
          </w:p>
        </w:tc>
        <w:tc>
          <w:tcPr>
            <w:tcW w:w="240" w:type="dxa"/>
            <w:vAlign w:val="bottom"/>
            <w:tcBorders>
              <w:bottom w:val="single" w:sz="8" w:color="auto"/>
              <w:right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360" w:type="dxa"/>
            <w:vAlign w:val="bottom"/>
            <w:tcBorders>
              <w:left w:val="single" w:sz="8" w:color="auto"/>
              <w:right w:val="single" w:sz="8" w:color="auto"/>
            </w:tcBorders>
          </w:tcPr>
          <w:p>
            <w:pPr>
              <w:jc w:val="right"/>
              <w:ind w:right="44"/>
              <w:spacing w:after="0" w:line="63" w:lineRule="exact"/>
              <w:rPr>
                <w:sz w:val="20"/>
                <w:szCs w:val="20"/>
                <w:color w:val="auto"/>
              </w:rPr>
            </w:pPr>
            <w:r>
              <w:rPr>
                <w:rFonts w:ascii="Arial" w:cs="Arial" w:eastAsia="Arial" w:hAnsi="Arial"/>
                <w:sz w:val="7"/>
                <w:szCs w:val="7"/>
                <w:color w:val="auto"/>
              </w:rPr>
              <w:t>9847</w:t>
            </w:r>
          </w:p>
        </w:tc>
        <w:tc>
          <w:tcPr>
            <w:tcW w:w="800" w:type="dxa"/>
            <w:vAlign w:val="bottom"/>
            <w:tcBorders>
              <w:right w:val="single" w:sz="8" w:color="auto"/>
            </w:tcBorders>
          </w:tcPr>
          <w:p>
            <w:pPr>
              <w:ind w:left="100"/>
              <w:spacing w:after="0" w:line="63"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63" w:lineRule="exact"/>
              <w:rPr>
                <w:sz w:val="20"/>
                <w:szCs w:val="20"/>
                <w:color w:val="auto"/>
              </w:rPr>
            </w:pPr>
            <w:r>
              <w:rPr>
                <w:rFonts w:ascii="Arial" w:cs="Arial" w:eastAsia="Arial" w:hAnsi="Arial"/>
                <w:sz w:val="7"/>
                <w:szCs w:val="7"/>
                <w:color w:val="auto"/>
              </w:rPr>
              <w:t>1444 UNION</w:t>
            </w:r>
          </w:p>
        </w:tc>
        <w:tc>
          <w:tcPr>
            <w:tcW w:w="78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ind w:left="60"/>
              <w:spacing w:after="0" w:line="63" w:lineRule="exact"/>
              <w:rPr>
                <w:sz w:val="20"/>
                <w:szCs w:val="20"/>
                <w:color w:val="auto"/>
              </w:rPr>
            </w:pPr>
            <w:r>
              <w:rPr>
                <w:rFonts w:ascii="Arial" w:cs="Arial" w:eastAsia="Arial" w:hAnsi="Arial"/>
                <w:sz w:val="7"/>
                <w:szCs w:val="7"/>
                <w:color w:val="auto"/>
              </w:rPr>
              <w:t>NEW HYDE PARK</w:t>
            </w:r>
          </w:p>
        </w:tc>
        <w:tc>
          <w:tcPr>
            <w:tcW w:w="320" w:type="dxa"/>
            <w:vAlign w:val="bottom"/>
            <w:tcBorders>
              <w:right w:val="single" w:sz="8" w:color="auto"/>
            </w:tcBorders>
          </w:tcPr>
          <w:p>
            <w:pPr>
              <w:ind w:left="60"/>
              <w:spacing w:after="0" w:line="63" w:lineRule="exact"/>
              <w:rPr>
                <w:sz w:val="20"/>
                <w:szCs w:val="20"/>
                <w:color w:val="auto"/>
              </w:rPr>
            </w:pPr>
            <w:r>
              <w:rPr>
                <w:rFonts w:ascii="Arial" w:cs="Arial" w:eastAsia="Arial" w:hAnsi="Arial"/>
                <w:sz w:val="7"/>
                <w:szCs w:val="7"/>
                <w:color w:val="auto"/>
              </w:rPr>
              <w:t>NY</w:t>
            </w:r>
          </w:p>
        </w:tc>
        <w:tc>
          <w:tcPr>
            <w:tcW w:w="360" w:type="dxa"/>
            <w:vAlign w:val="bottom"/>
            <w:tcBorders>
              <w:right w:val="single" w:sz="8" w:color="auto"/>
            </w:tcBorders>
          </w:tcPr>
          <w:p>
            <w:pPr>
              <w:ind w:left="60"/>
              <w:spacing w:after="0" w:line="63" w:lineRule="exact"/>
              <w:rPr>
                <w:sz w:val="20"/>
                <w:szCs w:val="20"/>
                <w:color w:val="auto"/>
              </w:rPr>
            </w:pPr>
            <w:r>
              <w:rPr>
                <w:rFonts w:ascii="Arial" w:cs="Arial" w:eastAsia="Arial" w:hAnsi="Arial"/>
                <w:sz w:val="7"/>
                <w:szCs w:val="7"/>
                <w:color w:val="auto"/>
              </w:rPr>
              <w:t>11040</w:t>
            </w:r>
          </w:p>
        </w:tc>
        <w:tc>
          <w:tcPr>
            <w:tcW w:w="1440" w:type="dxa"/>
            <w:vAlign w:val="bottom"/>
            <w:tcBorders>
              <w:right w:val="single" w:sz="8" w:color="auto"/>
            </w:tcBorders>
          </w:tcPr>
          <w:p>
            <w:pPr>
              <w:ind w:left="20"/>
              <w:spacing w:after="0" w:line="63" w:lineRule="exact"/>
              <w:rPr>
                <w:sz w:val="20"/>
                <w:szCs w:val="20"/>
                <w:color w:val="auto"/>
              </w:rPr>
            </w:pPr>
            <w:r>
              <w:rPr>
                <w:rFonts w:ascii="Arial" w:cs="Arial" w:eastAsia="Arial" w:hAnsi="Arial"/>
                <w:sz w:val="7"/>
                <w:szCs w:val="7"/>
                <w:color w:val="auto"/>
              </w:rPr>
              <w:t>LAKE SUCCESS SHOPPING CENTER,</w:t>
            </w:r>
          </w:p>
        </w:tc>
        <w:tc>
          <w:tcPr>
            <w:tcW w:w="1020" w:type="dxa"/>
            <w:vAlign w:val="bottom"/>
            <w:tcBorders>
              <w:right w:val="single" w:sz="8" w:color="auto"/>
            </w:tcBorders>
          </w:tcPr>
          <w:p>
            <w:pPr>
              <w:spacing w:after="0"/>
              <w:rPr>
                <w:sz w:val="5"/>
                <w:szCs w:val="5"/>
                <w:color w:val="auto"/>
              </w:rPr>
            </w:pPr>
          </w:p>
        </w:tc>
        <w:tc>
          <w:tcPr>
            <w:tcW w:w="104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line="63" w:lineRule="exact"/>
              <w:rPr>
                <w:sz w:val="20"/>
                <w:szCs w:val="20"/>
                <w:color w:val="auto"/>
              </w:rPr>
            </w:pPr>
            <w:r>
              <w:rPr>
                <w:rFonts w:ascii="Arial" w:cs="Arial" w:eastAsia="Arial" w:hAnsi="Arial"/>
                <w:sz w:val="7"/>
                <w:szCs w:val="7"/>
                <w:color w:val="auto"/>
              </w:rPr>
              <w:t>1526-A UNION</w:t>
            </w:r>
          </w:p>
        </w:tc>
        <w:tc>
          <w:tcPr>
            <w:tcW w:w="76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NEW HYDE PARK</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NY</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11040</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718-343-1417</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TURNPIKE</w:t>
            </w:r>
          </w:p>
        </w:tc>
        <w:tc>
          <w:tcPr>
            <w:tcW w:w="7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LLC</w:t>
            </w: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TURNPIKE</w:t>
            </w:r>
          </w:p>
        </w:tc>
        <w:tc>
          <w:tcPr>
            <w:tcW w:w="76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2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vMerge w:val="continue"/>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9849</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ARROWHEAD</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7530 W. BELL RD,</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GLENDALE</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AZ</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85308</w:t>
            </w:r>
          </w:p>
        </w:tc>
        <w:tc>
          <w:tcPr>
            <w:tcW w:w="14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ARROWHEAD 75 BELL DEVELOPMENT,</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3131 EAST</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110</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PHOENIX</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AZ</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85016</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602-218-7625</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STORE, LLC</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TOWN CENTER</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STE 103</w:t>
            </w: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LLC</w:t>
            </w: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CAMELBACK ROAD</w:t>
            </w:r>
          </w:p>
        </w:tc>
        <w:tc>
          <w:tcPr>
            <w:tcW w:w="76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2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vMerge w:val="continue"/>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9850</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8864 S.E.</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CLACKAMAS</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OR</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97015</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PRK HOLDINGS IV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CH REALTY</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3333 NEW HYDE</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NEW HYDE PARK</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NY</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11042</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(516) 869-9000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SUNNYSIDE ROAD</w:t>
            </w:r>
          </w:p>
        </w:tc>
        <w:tc>
          <w:tcPr>
            <w:tcW w:w="7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III/CLACKAMAS,</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PARK RD, SUITE</w:t>
            </w: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2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9851</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12455 VICTORIA</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RANCHO</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CA</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91739</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FIT DEVELOPMENT, LP</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564 NORTH</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ROSEVILLE</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CA</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95661</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916-788-1703</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STORE, LLC</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GARDENS LANE</w:t>
            </w:r>
          </w:p>
        </w:tc>
        <w:tc>
          <w:tcPr>
            <w:tcW w:w="7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CUCAMONGA</w:t>
            </w: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SUNRISE AVE</w:t>
            </w:r>
          </w:p>
        </w:tc>
        <w:tc>
          <w:tcPr>
            <w:tcW w:w="76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2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9852</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BIG BEAVER</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2028 W. BIG</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TROY</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MI</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48083-</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BIG BEAVER CENTER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4036 TELEGRAPH</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201</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BLOOMFIELD HILLS</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MI</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48302</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248-593-6200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CENTER</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BEAVER ROAD</w:t>
            </w: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2301</w:t>
            </w: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ROAD</w:t>
            </w:r>
          </w:p>
        </w:tc>
        <w:tc>
          <w:tcPr>
            <w:tcW w:w="76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2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vMerge w:val="continue"/>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9856</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6170 SOUTH</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MURRAY</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UT</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84107</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DAHLE INVESTMENTS, LTD</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6190 S STATE</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B</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MURRAY</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UT</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84107</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(801) 747-3113</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STORE, LLC</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STATE STREET</w:t>
            </w:r>
          </w:p>
        </w:tc>
        <w:tc>
          <w:tcPr>
            <w:tcW w:w="7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76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2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9858</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MERIDIAN</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3427 E. FAIRVIEW</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MERIDIAN</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ID</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83642</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PT-USRIF MERIDIAN, LLC</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PROPERTY MANAGEMENT</w:t>
            </w:r>
          </w:p>
        </w:tc>
        <w:tc>
          <w:tcPr>
            <w:tcW w:w="10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PINE TREE COMMERCIAL</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40 SKOKIE BLVD</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NORTHBROOK</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IL</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60062</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847-574-3322</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STORE, LLC</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CROSSROADS</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AVENUE</w:t>
            </w: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vMerge w:val="continue"/>
          </w:tcPr>
          <w:p>
            <w:pPr>
              <w:spacing w:after="0"/>
              <w:rPr>
                <w:sz w:val="4"/>
                <w:szCs w:val="4"/>
                <w:color w:val="auto"/>
              </w:rPr>
            </w:pP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REALTY, LLC</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610</w:t>
            </w:r>
          </w:p>
        </w:tc>
        <w:tc>
          <w:tcPr>
            <w:tcW w:w="76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2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9859</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585 SOUTH 24</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BILLINGS</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MT</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59102</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DAHLE INVESTMENTS, LTD</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6190 S STATE,</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MURRAY</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UT</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84107</w:t>
            </w:r>
          </w:p>
        </w:tc>
        <w:tc>
          <w:tcPr>
            <w:tcW w:w="72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STORE, LLC</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WEST</w:t>
            </w:r>
          </w:p>
        </w:tc>
        <w:tc>
          <w:tcPr>
            <w:tcW w:w="7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B</w:t>
            </w:r>
          </w:p>
        </w:tc>
        <w:tc>
          <w:tcPr>
            <w:tcW w:w="76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2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9860</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2285 EAST</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GILBERT</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AZ</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85234</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DAHLE INVESTMENTS LTD</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6190 S STATE,</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MURRAY</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UT</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84107</w:t>
            </w:r>
          </w:p>
        </w:tc>
        <w:tc>
          <w:tcPr>
            <w:tcW w:w="72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STORE, LLC</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BASELINE ROAD</w:t>
            </w:r>
          </w:p>
        </w:tc>
        <w:tc>
          <w:tcPr>
            <w:tcW w:w="7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B</w:t>
            </w:r>
          </w:p>
        </w:tc>
        <w:tc>
          <w:tcPr>
            <w:tcW w:w="76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2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9862</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1505 POST ROAD</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WESTPORT</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CT</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6880</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TODD CORPORATION</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PETER GREEN</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132 B PARTRICK</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NORWALK</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CT</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6851</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(203) 438-0161</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RBT, LLC</w:t>
            </w:r>
          </w:p>
        </w:tc>
        <w:tc>
          <w:tcPr>
            <w:tcW w:w="80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AVE</w:t>
            </w:r>
          </w:p>
        </w:tc>
        <w:tc>
          <w:tcPr>
            <w:tcW w:w="76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2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9863</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2943 PRESTON</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FRISCO</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TX</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75034</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JAHCO STONEBRIAR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PO BOX 14586</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OKLAHOMA CITY</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OK</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73113</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405-486-7617</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ROAD SUITE 1450</w:t>
            </w:r>
          </w:p>
        </w:tc>
        <w:tc>
          <w:tcPr>
            <w:tcW w:w="7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76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2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9864</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14182 EAST</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AURORA</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CO</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80012</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WEINGARTEN MILLER AURORA II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WEINGARTEN</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PO BOX 924133</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HOUSTON</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TX</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77292</w:t>
            </w:r>
          </w:p>
        </w:tc>
        <w:tc>
          <w:tcPr>
            <w:tcW w:w="72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STORE, LLC</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CEDAR AVE</w:t>
            </w:r>
          </w:p>
        </w:tc>
        <w:tc>
          <w:tcPr>
            <w:tcW w:w="7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REALTY INVESTORS</w:t>
            </w:r>
          </w:p>
        </w:tc>
        <w:tc>
          <w:tcPr>
            <w:tcW w:w="76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2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9865</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4012 EASTGATE</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ORLANDO</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FL</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32839</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BRE DDR IVA MILLENIA FL, LLC</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EX VP-LEASING</w:t>
            </w: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DDR CORP</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3300 ENTERPRISE</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BEACHWOOD</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OH</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44122</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216-755-5500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DRIVE SUITE</w:t>
            </w:r>
          </w:p>
        </w:tc>
        <w:tc>
          <w:tcPr>
            <w:tcW w:w="7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vMerge w:val="continue"/>
          </w:tcPr>
          <w:p>
            <w:pPr>
              <w:spacing w:after="0"/>
              <w:rPr>
                <w:sz w:val="4"/>
                <w:szCs w:val="4"/>
                <w:color w:val="auto"/>
              </w:rPr>
            </w:pPr>
          </w:p>
        </w:tc>
        <w:tc>
          <w:tcPr>
            <w:tcW w:w="104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PARKWAY</w:t>
            </w:r>
          </w:p>
        </w:tc>
        <w:tc>
          <w:tcPr>
            <w:tcW w:w="76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2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9866</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429 S.</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BREA</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CA</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92821</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BPI BREA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6905 TELEGRAPH</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160</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BLOOMFIELD HILLS</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MI</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48301</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714-573-7780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STORE, LLC</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ASSOCIATED</w:t>
            </w:r>
          </w:p>
        </w:tc>
        <w:tc>
          <w:tcPr>
            <w:tcW w:w="7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ROAD</w:t>
            </w:r>
          </w:p>
        </w:tc>
        <w:tc>
          <w:tcPr>
            <w:tcW w:w="76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2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9867</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HUMBLEWOOD</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10010 FM 1960</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HUMBLE</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TX</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77338</w:t>
            </w:r>
          </w:p>
        </w:tc>
        <w:tc>
          <w:tcPr>
            <w:tcW w:w="14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INLAND WESTERN HUMBLE</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PRESIDENT/PROP MGMT</w:t>
            </w:r>
          </w:p>
        </w:tc>
        <w:tc>
          <w:tcPr>
            <w:tcW w:w="10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RPAI SOUTHWEST MGMT</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2021 SPRING ROAD</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200</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OAK BROOK</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IL</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60523</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630-634-4200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SHOPPING</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BYPASS ROAD</w:t>
            </w: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HUMBLEWOOD LP</w:t>
            </w:r>
          </w:p>
        </w:tc>
        <w:tc>
          <w:tcPr>
            <w:tcW w:w="1020" w:type="dxa"/>
            <w:vAlign w:val="bottom"/>
            <w:tcBorders>
              <w:right w:val="single" w:sz="8" w:color="auto"/>
            </w:tcBorders>
            <w:vMerge w:val="continue"/>
          </w:tcPr>
          <w:p>
            <w:pPr>
              <w:spacing w:after="0"/>
              <w:rPr>
                <w:sz w:val="4"/>
                <w:szCs w:val="4"/>
                <w:color w:val="auto"/>
              </w:rPr>
            </w:pP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LLC</w:t>
            </w:r>
          </w:p>
        </w:tc>
        <w:tc>
          <w:tcPr>
            <w:tcW w:w="780" w:type="dxa"/>
            <w:vAlign w:val="bottom"/>
            <w:tcBorders>
              <w:right w:val="single" w:sz="8" w:color="auto"/>
            </w:tcBorders>
            <w:vMerge w:val="continue"/>
          </w:tcPr>
          <w:p>
            <w:pPr>
              <w:spacing w:after="0"/>
              <w:rPr>
                <w:sz w:val="4"/>
                <w:szCs w:val="4"/>
                <w:color w:val="auto"/>
              </w:rPr>
            </w:pPr>
          </w:p>
        </w:tc>
        <w:tc>
          <w:tcPr>
            <w:tcW w:w="76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2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vMerge w:val="continue"/>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9868</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280 E</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HOMESTEAD</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PA</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15120</w:t>
            </w:r>
          </w:p>
        </w:tc>
        <w:tc>
          <w:tcPr>
            <w:tcW w:w="14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M&amp;J-BIG WATERFRONT MARKET</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M&amp;J WILKOW PROPERTIES,</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20 SOUTH CLARK</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3000</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CHICAGO</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IL</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60603</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312-726-9622</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WATERFRONT</w:t>
            </w:r>
          </w:p>
        </w:tc>
        <w:tc>
          <w:tcPr>
            <w:tcW w:w="7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AMITY, LLC</w:t>
            </w: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LLC</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STREET</w:t>
            </w:r>
          </w:p>
        </w:tc>
        <w:tc>
          <w:tcPr>
            <w:tcW w:w="76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2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vMerge w:val="continue"/>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9869</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GEMINI PLACE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1424 GEMINI</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COLUMBUS</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OH</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43240</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GPTC 3, LLC</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FRANZ A. GEIGER</w:t>
            </w: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NP LIMITED PARTNERSHIP</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8800 LYRA DRIVE</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550</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COLUMBUS</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OH</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43240</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614-841-1000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STORE, LLC</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TOWNE CENTER</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PLACE</w:t>
            </w: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vMerge w:val="continue"/>
          </w:tcPr>
          <w:p>
            <w:pPr>
              <w:spacing w:after="0"/>
              <w:rPr>
                <w:sz w:val="4"/>
                <w:szCs w:val="4"/>
                <w:color w:val="auto"/>
              </w:rPr>
            </w:pPr>
          </w:p>
        </w:tc>
        <w:tc>
          <w:tcPr>
            <w:tcW w:w="104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76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2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9870</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1640 CAMINO DEL</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Suite #180</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SAN DIEGO</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CA</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92108-</w:t>
            </w:r>
          </w:p>
        </w:tc>
        <w:tc>
          <w:tcPr>
            <w:tcW w:w="14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MISSION VALLEY SHOPPINGTOWN</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LEGAL DEPARTMENT</w:t>
            </w: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2049 CENTURY</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41ST FLOOR</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LOS ANGELES</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CA</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90067</w:t>
            </w:r>
          </w:p>
        </w:tc>
        <w:tc>
          <w:tcPr>
            <w:tcW w:w="72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STORE, LLC</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RIO NORTH</w:t>
            </w:r>
          </w:p>
        </w:tc>
        <w:tc>
          <w:tcPr>
            <w:tcW w:w="7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1506</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LLC</w:t>
            </w:r>
          </w:p>
        </w:tc>
        <w:tc>
          <w:tcPr>
            <w:tcW w:w="1020" w:type="dxa"/>
            <w:vAlign w:val="bottom"/>
            <w:tcBorders>
              <w:right w:val="single" w:sz="8" w:color="auto"/>
            </w:tcBorders>
            <w:vMerge w:val="continue"/>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PARK EAST</w:t>
            </w:r>
          </w:p>
        </w:tc>
        <w:tc>
          <w:tcPr>
            <w:tcW w:w="76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2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vMerge w:val="continue"/>
          </w:tcPr>
          <w:p>
            <w:pPr>
              <w:spacing w:after="0"/>
              <w:rPr>
                <w:sz w:val="3"/>
                <w:szCs w:val="3"/>
                <w:color w:val="auto"/>
              </w:rPr>
            </w:pPr>
          </w:p>
        </w:tc>
        <w:tc>
          <w:tcPr>
            <w:tcW w:w="1440" w:type="dxa"/>
            <w:vAlign w:val="bottom"/>
            <w:tcBorders>
              <w:bottom w:val="single" w:sz="8" w:color="auto"/>
              <w:right w:val="single" w:sz="8" w:color="auto"/>
            </w:tcBorders>
            <w:vMerge w:val="continue"/>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9871</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27079 CHAGRIN</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WOODMERE</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OH</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44122</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VILLAGE CHAGRIN PARTNERS, LLC</w:t>
            </w:r>
          </w:p>
        </w:tc>
        <w:tc>
          <w:tcPr>
            <w:tcW w:w="10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STERLING REALTY</w:t>
            </w: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P.O.BOX:341512</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DAYTON</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OH</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45424</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216-367-7579</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STORE, LLC</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BLVD</w:t>
            </w:r>
          </w:p>
        </w:tc>
        <w:tc>
          <w:tcPr>
            <w:tcW w:w="7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ADVISORS, INC</w:t>
            </w:r>
          </w:p>
        </w:tc>
        <w:tc>
          <w:tcPr>
            <w:tcW w:w="104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76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2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vMerge w:val="continue"/>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9872</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2194 RICHMOND</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STATEN ISLAND</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NY</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10314</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5K PROPERTY GROUP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2955 VETERANS</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STATEN ISLAND</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NY</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10309</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718-966-0303</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AVENUE</w:t>
            </w:r>
          </w:p>
        </w:tc>
        <w:tc>
          <w:tcPr>
            <w:tcW w:w="7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ROAD WEST, SUITE</w:t>
            </w:r>
          </w:p>
        </w:tc>
        <w:tc>
          <w:tcPr>
            <w:tcW w:w="76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2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9873</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127 N.</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EVANSVILLE</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IN</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47715</w:t>
            </w:r>
          </w:p>
        </w:tc>
        <w:tc>
          <w:tcPr>
            <w:tcW w:w="14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LLOYD CROSSING SHOPPING</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350</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INDIANAPOLIS</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IN</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46204</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317-599-4800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BURKHARDT</w:t>
            </w:r>
          </w:p>
        </w:tc>
        <w:tc>
          <w:tcPr>
            <w:tcW w:w="7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CENTER, LLC</w:t>
            </w: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MASSACHUSETTS</w:t>
            </w:r>
          </w:p>
        </w:tc>
        <w:tc>
          <w:tcPr>
            <w:tcW w:w="76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2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vMerge w:val="continue"/>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9874</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4243</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SUITE 108</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LAFAYETTE</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LA</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70508</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AMBASSADOR CROSSING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2415 W. ALABAMA</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205</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HOUSTON</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TX</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77098</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713-892-5600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AMBASSADOR</w:t>
            </w:r>
          </w:p>
        </w:tc>
        <w:tc>
          <w:tcPr>
            <w:tcW w:w="7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STREET</w:t>
            </w:r>
          </w:p>
        </w:tc>
        <w:tc>
          <w:tcPr>
            <w:tcW w:w="76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2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9875</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BARRYWOODS</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6511 NW BARRY</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KANSAS CITY</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MO</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64154</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EQUITY FUND ADVISORS, INC</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ASSET MANAGER</w:t>
            </w:r>
          </w:p>
        </w:tc>
        <w:tc>
          <w:tcPr>
            <w:tcW w:w="10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AMERICAN REALTY</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2325 E.</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1100</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PHOENIX</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AZ</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85016</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407-656-1658</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CROSSING</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ROAD</w:t>
            </w: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vMerge w:val="continue"/>
          </w:tcPr>
          <w:p>
            <w:pPr>
              <w:spacing w:after="0"/>
              <w:rPr>
                <w:sz w:val="4"/>
                <w:szCs w:val="4"/>
                <w:color w:val="auto"/>
              </w:rPr>
            </w:pP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CAPITAL PROPERTIES, INC</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CAMELBACK ROAD</w:t>
            </w:r>
          </w:p>
        </w:tc>
        <w:tc>
          <w:tcPr>
            <w:tcW w:w="76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2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9876</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438</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AUBURN</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MA</w:t>
            </w:r>
          </w:p>
        </w:tc>
        <w:tc>
          <w:tcPr>
            <w:tcW w:w="360" w:type="dxa"/>
            <w:vAlign w:val="bottom"/>
            <w:tcBorders>
              <w:right w:val="single" w:sz="8" w:color="auto"/>
            </w:tcBorders>
          </w:tcPr>
          <w:p>
            <w:pPr>
              <w:spacing w:after="0"/>
              <w:rPr>
                <w:sz w:val="6"/>
                <w:szCs w:val="6"/>
                <w:color w:val="auto"/>
              </w:rPr>
            </w:pP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THREE LAKES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SALTER &amp; KAHN, INC</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359 BOYLSTON</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BOSTON</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MA</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2116</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617-504-6934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SOUTHBRIDGE</w:t>
            </w:r>
          </w:p>
        </w:tc>
        <w:tc>
          <w:tcPr>
            <w:tcW w:w="7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STREET</w:t>
            </w:r>
          </w:p>
        </w:tc>
        <w:tc>
          <w:tcPr>
            <w:tcW w:w="76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2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9877</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MONROE STREET</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5200 MONROE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TOLEDO</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OH</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43623</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WONG PROPERTIES INC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P.O.BOX:5580</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TOLEDO</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OH</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43613</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419-517-8808</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STORE, LLC</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PLAZA</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STREET UNIT</w:t>
            </w: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76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2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9878</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189 SOUTH</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SALEM</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NH</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3079</w:t>
            </w:r>
          </w:p>
        </w:tc>
        <w:tc>
          <w:tcPr>
            <w:tcW w:w="14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PAUL GARABEDIAN, JR TRUSTEE OF</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352 S. BROADWAY</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SALEM</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NH</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3079</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603-898-2878</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STORE, LLC</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BROADWAY</w:t>
            </w:r>
          </w:p>
        </w:tc>
        <w:tc>
          <w:tcPr>
            <w:tcW w:w="7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THE GARABEDIAN FAMILY TRUST-B</w:t>
            </w: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76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2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vMerge w:val="continue"/>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9879</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1025 WOODRUFF</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MAGNOLIA PARK</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GREENVILLE</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SC</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29607</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MAGNOLIA PARK GREENVILLE,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20 SOUTH CLARK</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3000</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CHICAGO</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IL</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60603</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312-726-9622</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ROAD, F-101</w:t>
            </w:r>
          </w:p>
        </w:tc>
        <w:tc>
          <w:tcPr>
            <w:tcW w:w="7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STREET</w:t>
            </w:r>
          </w:p>
        </w:tc>
        <w:tc>
          <w:tcPr>
            <w:tcW w:w="76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2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9880</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3420 BUFORD</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SUITE C-550</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BUFORD</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GA</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30519</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PMGA, LLC</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LIVINGSTON PROPERTIES</w:t>
            </w: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1109 RUSSELL</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P.O.BOX:7078</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WARNER ROBINS</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GA</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478-923-4669</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DRIVE</w:t>
            </w:r>
          </w:p>
        </w:tc>
        <w:tc>
          <w:tcPr>
            <w:tcW w:w="7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vMerge w:val="continue"/>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PARKWAY</w:t>
            </w:r>
          </w:p>
        </w:tc>
        <w:tc>
          <w:tcPr>
            <w:tcW w:w="76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2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9881</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1830 SOUTH</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SUITE 114</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WAPPINGERS</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NY</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12590</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NINE MALL INVESTORS,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1680 ROUTE 23</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330</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WAYNE</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NJ</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7470</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973-696-9265</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ROAD</w:t>
            </w:r>
          </w:p>
        </w:tc>
        <w:tc>
          <w:tcPr>
            <w:tcW w:w="7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FALLS</w:t>
            </w: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NORTH</w:t>
            </w:r>
          </w:p>
        </w:tc>
        <w:tc>
          <w:tcPr>
            <w:tcW w:w="76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2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9882</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247 MID RIVERS</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MID RIVERS</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ST. PETERS</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MO</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63376</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THE GREWE LIMITED PARTNERSHIP</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9109 WATSON</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400</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ST. LOUIS</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MO</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63126</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314-962-6300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MALL DRIVE,</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PLAZA</w:t>
            </w: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ROAD</w:t>
            </w:r>
          </w:p>
        </w:tc>
        <w:tc>
          <w:tcPr>
            <w:tcW w:w="76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2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9883</w:t>
            </w:r>
          </w:p>
        </w:tc>
        <w:tc>
          <w:tcPr>
            <w:tcW w:w="800" w:type="dxa"/>
            <w:vAlign w:val="bottom"/>
            <w:tcBorders>
              <w:right w:val="single" w:sz="8" w:color="auto"/>
            </w:tcBorders>
          </w:tcPr>
          <w:p>
            <w:pPr>
              <w:ind w:left="100"/>
              <w:spacing w:after="0" w:line="71" w:lineRule="exact"/>
              <w:rPr>
                <w:sz w:val="20"/>
                <w:szCs w:val="20"/>
                <w:color w:val="auto"/>
              </w:rPr>
            </w:pPr>
            <w:r>
              <w:rPr>
                <w:rFonts w:ascii="Arial" w:cs="Arial" w:eastAsia="Arial" w:hAnsi="Arial"/>
                <w:sz w:val="7"/>
                <w:szCs w:val="7"/>
                <w:color w:val="auto"/>
              </w:rPr>
              <w:t>CASUAL MALE</w:t>
            </w:r>
          </w:p>
        </w:tc>
        <w:tc>
          <w:tcPr>
            <w:tcW w:w="80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13804 E INDIANA</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UNIT B</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SPOKANE VALLEY</w:t>
            </w:r>
          </w:p>
        </w:tc>
        <w:tc>
          <w:tcPr>
            <w:tcW w:w="32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WA</w:t>
            </w:r>
          </w:p>
        </w:tc>
        <w:tc>
          <w:tcPr>
            <w:tcW w:w="36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99216</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HANSON INDUSTRIES, INC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15807 E. INDIANA</w:t>
            </w:r>
          </w:p>
        </w:tc>
        <w:tc>
          <w:tcPr>
            <w:tcW w:w="7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SPOKANE VALLEY</w:t>
            </w:r>
          </w:p>
        </w:tc>
        <w:tc>
          <w:tcPr>
            <w:tcW w:w="2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WA</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99216</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509-922-5252</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7"/>
                <w:szCs w:val="7"/>
                <w:color w:val="auto"/>
              </w:rPr>
              <w:t>RETAIL STORE,</w:t>
            </w:r>
          </w:p>
        </w:tc>
        <w:tc>
          <w:tcPr>
            <w:tcW w:w="80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AVENUE</w:t>
            </w:r>
          </w:p>
        </w:tc>
        <w:tc>
          <w:tcPr>
            <w:tcW w:w="7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AVE.</w:t>
            </w:r>
          </w:p>
        </w:tc>
        <w:tc>
          <w:tcPr>
            <w:tcW w:w="76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72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vMerge w:val="continue"/>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3"/>
        </w:trPr>
        <w:tc>
          <w:tcPr>
            <w:tcW w:w="3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20" w:right="179" w:bottom="1440" w:gutter="0" w:footer="0" w:header="0"/>
        </w:sectPr>
      </w:pPr>
    </w:p>
    <w:bookmarkStart w:id="165" w:name="page166"/>
    <w:bookmarkEnd w:id="165"/>
    <w:tbl>
      <w:tblPr>
        <w:tblLayout w:type="fixed"/>
        <w:tblInd w:w="10" w:type="dxa"/>
        <w:tblCellMar>
          <w:top w:w="0" w:type="dxa"/>
          <w:left w:w="0" w:type="dxa"/>
          <w:bottom w:w="0" w:type="dxa"/>
          <w:right w:w="0" w:type="dxa"/>
        </w:tblCellMar>
      </w:tblPr>
      <w:tr>
        <w:trPr>
          <w:trHeight w:val="81"/>
        </w:trPr>
        <w:tc>
          <w:tcPr>
            <w:tcW w:w="360" w:type="dxa"/>
            <w:vAlign w:val="bottom"/>
            <w:tcBorders>
              <w:top w:val="single" w:sz="8" w:color="auto"/>
              <w:left w:val="single" w:sz="8" w:color="auto"/>
              <w:right w:val="single" w:sz="8" w:color="auto"/>
            </w:tcBorders>
          </w:tcPr>
          <w:p>
            <w:pPr>
              <w:spacing w:after="0"/>
              <w:rPr>
                <w:sz w:val="7"/>
                <w:szCs w:val="7"/>
                <w:color w:val="auto"/>
              </w:rPr>
            </w:pPr>
          </w:p>
        </w:tc>
        <w:tc>
          <w:tcPr>
            <w:tcW w:w="780" w:type="dxa"/>
            <w:vAlign w:val="bottom"/>
            <w:tcBorders>
              <w:top w:val="single" w:sz="8" w:color="auto"/>
              <w:right w:val="single" w:sz="8" w:color="auto"/>
            </w:tcBorders>
          </w:tcPr>
          <w:p>
            <w:pPr>
              <w:spacing w:after="0"/>
              <w:rPr>
                <w:sz w:val="7"/>
                <w:szCs w:val="7"/>
                <w:color w:val="auto"/>
              </w:rPr>
            </w:pPr>
          </w:p>
        </w:tc>
        <w:tc>
          <w:tcPr>
            <w:tcW w:w="780" w:type="dxa"/>
            <w:vAlign w:val="bottom"/>
            <w:tcBorders>
              <w:top w:val="single" w:sz="8" w:color="auto"/>
              <w:right w:val="single" w:sz="8" w:color="auto"/>
            </w:tcBorders>
          </w:tcPr>
          <w:p>
            <w:pPr>
              <w:spacing w:after="0"/>
              <w:rPr>
                <w:sz w:val="7"/>
                <w:szCs w:val="7"/>
                <w:color w:val="auto"/>
              </w:rPr>
            </w:pPr>
          </w:p>
        </w:tc>
        <w:tc>
          <w:tcPr>
            <w:tcW w:w="780" w:type="dxa"/>
            <w:vAlign w:val="bottom"/>
            <w:tcBorders>
              <w:top w:val="single" w:sz="8" w:color="auto"/>
              <w:right w:val="single" w:sz="8" w:color="auto"/>
            </w:tcBorders>
          </w:tcPr>
          <w:p>
            <w:pPr>
              <w:spacing w:after="0"/>
              <w:rPr>
                <w:sz w:val="7"/>
                <w:szCs w:val="7"/>
                <w:color w:val="auto"/>
              </w:rPr>
            </w:pPr>
          </w:p>
        </w:tc>
        <w:tc>
          <w:tcPr>
            <w:tcW w:w="780" w:type="dxa"/>
            <w:vAlign w:val="bottom"/>
            <w:tcBorders>
              <w:top w:val="single" w:sz="8" w:color="auto"/>
              <w:right w:val="single" w:sz="8" w:color="auto"/>
            </w:tcBorders>
          </w:tcPr>
          <w:p>
            <w:pPr>
              <w:spacing w:after="0"/>
              <w:rPr>
                <w:sz w:val="7"/>
                <w:szCs w:val="7"/>
                <w:color w:val="auto"/>
              </w:rPr>
            </w:pPr>
          </w:p>
        </w:tc>
        <w:tc>
          <w:tcPr>
            <w:tcW w:w="300" w:type="dxa"/>
            <w:vAlign w:val="bottom"/>
            <w:tcBorders>
              <w:top w:val="single" w:sz="8" w:color="auto"/>
              <w:right w:val="single" w:sz="8" w:color="auto"/>
            </w:tcBorders>
          </w:tcPr>
          <w:p>
            <w:pPr>
              <w:spacing w:after="0"/>
              <w:rPr>
                <w:sz w:val="7"/>
                <w:szCs w:val="7"/>
                <w:color w:val="auto"/>
              </w:rPr>
            </w:pPr>
          </w:p>
        </w:tc>
        <w:tc>
          <w:tcPr>
            <w:tcW w:w="3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7"/>
                <w:szCs w:val="7"/>
                <w:b w:val="1"/>
                <w:bCs w:val="1"/>
                <w:color w:val="auto"/>
              </w:rPr>
              <w:t>Store</w:t>
            </w:r>
          </w:p>
        </w:tc>
        <w:tc>
          <w:tcPr>
            <w:tcW w:w="1440" w:type="dxa"/>
            <w:vAlign w:val="bottom"/>
            <w:tcBorders>
              <w:top w:val="single" w:sz="8" w:color="auto"/>
              <w:right w:val="single" w:sz="8" w:color="auto"/>
            </w:tcBorders>
          </w:tcPr>
          <w:p>
            <w:pPr>
              <w:spacing w:after="0"/>
              <w:rPr>
                <w:sz w:val="7"/>
                <w:szCs w:val="7"/>
                <w:color w:val="auto"/>
              </w:rPr>
            </w:pPr>
          </w:p>
        </w:tc>
        <w:tc>
          <w:tcPr>
            <w:tcW w:w="1020" w:type="dxa"/>
            <w:vAlign w:val="bottom"/>
            <w:tcBorders>
              <w:top w:val="single" w:sz="8" w:color="auto"/>
              <w:right w:val="single" w:sz="8" w:color="auto"/>
            </w:tcBorders>
          </w:tcPr>
          <w:p>
            <w:pPr>
              <w:spacing w:after="0"/>
              <w:rPr>
                <w:sz w:val="7"/>
                <w:szCs w:val="7"/>
                <w:color w:val="auto"/>
              </w:rPr>
            </w:pPr>
          </w:p>
        </w:tc>
        <w:tc>
          <w:tcPr>
            <w:tcW w:w="1040" w:type="dxa"/>
            <w:vAlign w:val="bottom"/>
            <w:tcBorders>
              <w:top w:val="single" w:sz="8" w:color="auto"/>
              <w:right w:val="single" w:sz="8" w:color="auto"/>
            </w:tcBorders>
          </w:tcPr>
          <w:p>
            <w:pPr>
              <w:spacing w:after="0"/>
              <w:rPr>
                <w:sz w:val="7"/>
                <w:szCs w:val="7"/>
                <w:color w:val="auto"/>
              </w:rPr>
            </w:pPr>
          </w:p>
        </w:tc>
        <w:tc>
          <w:tcPr>
            <w:tcW w:w="780" w:type="dxa"/>
            <w:vAlign w:val="bottom"/>
            <w:tcBorders>
              <w:top w:val="single" w:sz="8" w:color="auto"/>
              <w:left w:val="single" w:sz="8" w:color="auto"/>
              <w:right w:val="single" w:sz="8" w:color="auto"/>
            </w:tcBorders>
          </w:tcPr>
          <w:p>
            <w:pPr>
              <w:spacing w:after="0"/>
              <w:rPr>
                <w:sz w:val="7"/>
                <w:szCs w:val="7"/>
                <w:color w:val="auto"/>
              </w:rPr>
            </w:pPr>
          </w:p>
        </w:tc>
        <w:tc>
          <w:tcPr>
            <w:tcW w:w="800" w:type="dxa"/>
            <w:vAlign w:val="bottom"/>
            <w:tcBorders>
              <w:top w:val="single" w:sz="8" w:color="auto"/>
              <w:right w:val="single" w:sz="8" w:color="auto"/>
            </w:tcBorders>
          </w:tcPr>
          <w:p>
            <w:pPr>
              <w:spacing w:after="0"/>
              <w:rPr>
                <w:sz w:val="7"/>
                <w:szCs w:val="7"/>
                <w:color w:val="auto"/>
              </w:rPr>
            </w:pPr>
          </w:p>
        </w:tc>
        <w:tc>
          <w:tcPr>
            <w:tcW w:w="760" w:type="dxa"/>
            <w:vAlign w:val="bottom"/>
            <w:tcBorders>
              <w:top w:val="single" w:sz="8" w:color="auto"/>
              <w:right w:val="single" w:sz="8" w:color="auto"/>
            </w:tcBorders>
          </w:tcPr>
          <w:p>
            <w:pPr>
              <w:spacing w:after="0"/>
              <w:rPr>
                <w:sz w:val="7"/>
                <w:szCs w:val="7"/>
                <w:color w:val="auto"/>
              </w:rPr>
            </w:pPr>
          </w:p>
        </w:tc>
        <w:tc>
          <w:tcPr>
            <w:tcW w:w="260" w:type="dxa"/>
            <w:vAlign w:val="bottom"/>
            <w:tcBorders>
              <w:top w:val="single" w:sz="8" w:color="auto"/>
              <w:right w:val="single" w:sz="8" w:color="auto"/>
            </w:tcBorders>
          </w:tcPr>
          <w:p>
            <w:pPr>
              <w:spacing w:after="0"/>
              <w:rPr>
                <w:sz w:val="7"/>
                <w:szCs w:val="7"/>
                <w:color w:val="auto"/>
              </w:rPr>
            </w:pPr>
          </w:p>
        </w:tc>
        <w:tc>
          <w:tcPr>
            <w:tcW w:w="500" w:type="dxa"/>
            <w:vAlign w:val="bottom"/>
            <w:tcBorders>
              <w:top w:val="single" w:sz="8" w:color="auto"/>
              <w:right w:val="single" w:sz="8" w:color="auto"/>
            </w:tcBorders>
          </w:tcPr>
          <w:p>
            <w:pPr>
              <w:spacing w:after="0"/>
              <w:rPr>
                <w:sz w:val="7"/>
                <w:szCs w:val="7"/>
                <w:color w:val="auto"/>
              </w:rPr>
            </w:pPr>
          </w:p>
        </w:tc>
        <w:tc>
          <w:tcPr>
            <w:tcW w:w="740" w:type="dxa"/>
            <w:vAlign w:val="bottom"/>
            <w:tcBorders>
              <w:top w:val="single" w:sz="8" w:color="auto"/>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7"/>
                <w:szCs w:val="7"/>
                <w:b w:val="1"/>
                <w:bCs w:val="1"/>
                <w:color w:val="auto"/>
              </w:rPr>
              <w:t>Store</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b w:val="1"/>
                <w:bCs w:val="1"/>
                <w:color w:val="auto"/>
              </w:rPr>
              <w:t>Store Legal Entity</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w w:val="97"/>
              </w:rPr>
              <w:t>Store Street Address</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w w:val="97"/>
              </w:rPr>
              <w:t>Store Street Address</w:t>
            </w:r>
          </w:p>
        </w:tc>
        <w:tc>
          <w:tcPr>
            <w:tcW w:w="78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rPr>
              <w:t>Store</w:t>
            </w:r>
          </w:p>
        </w:tc>
        <w:tc>
          <w:tcPr>
            <w:tcW w:w="360" w:type="dxa"/>
            <w:vAlign w:val="bottom"/>
            <w:tcBorders>
              <w:right w:val="single" w:sz="8" w:color="auto"/>
            </w:tcBorders>
          </w:tcPr>
          <w:p>
            <w:pPr>
              <w:ind w:left="80"/>
              <w:spacing w:after="0"/>
              <w:rPr>
                <w:sz w:val="20"/>
                <w:szCs w:val="20"/>
                <w:color w:val="auto"/>
              </w:rPr>
            </w:pPr>
            <w:r>
              <w:rPr>
                <w:rFonts w:ascii="Arial" w:cs="Arial" w:eastAsia="Arial" w:hAnsi="Arial"/>
                <w:sz w:val="7"/>
                <w:szCs w:val="7"/>
                <w:b w:val="1"/>
                <w:bCs w:val="1"/>
                <w:color w:val="auto"/>
              </w:rPr>
              <w:t>Postal</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Name</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Attention To</w:t>
            </w: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In Care Of</w:t>
            </w:r>
          </w:p>
        </w:tc>
        <w:tc>
          <w:tcPr>
            <w:tcW w:w="780" w:type="dxa"/>
            <w:vAlign w:val="bottom"/>
            <w:tcBorders>
              <w:left w:val="single" w:sz="8" w:color="auto"/>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Street 1</w:t>
            </w:r>
          </w:p>
        </w:tc>
        <w:tc>
          <w:tcPr>
            <w:tcW w:w="8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Street 2</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City</w:t>
            </w:r>
          </w:p>
        </w:tc>
        <w:tc>
          <w:tcPr>
            <w:tcW w:w="260" w:type="dxa"/>
            <w:vAlign w:val="bottom"/>
            <w:tcBorders>
              <w:right w:val="single" w:sz="8" w:color="auto"/>
            </w:tcBorders>
          </w:tcPr>
          <w:p>
            <w:pPr>
              <w:spacing w:after="0"/>
              <w:rPr>
                <w:sz w:val="20"/>
                <w:szCs w:val="20"/>
                <w:color w:val="auto"/>
              </w:rPr>
            </w:pPr>
            <w:r>
              <w:rPr>
                <w:rFonts w:ascii="Arial" w:cs="Arial" w:eastAsia="Arial" w:hAnsi="Arial"/>
                <w:sz w:val="7"/>
                <w:szCs w:val="7"/>
                <w:b w:val="1"/>
                <w:bCs w:val="1"/>
                <w:color w:val="auto"/>
              </w:rPr>
              <w:t>LL</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Zip</w:t>
            </w:r>
          </w:p>
        </w:tc>
        <w:tc>
          <w:tcPr>
            <w:tcW w:w="740" w:type="dxa"/>
            <w:vAlign w:val="bottom"/>
            <w:tcBorders>
              <w:right w:val="single" w:sz="8" w:color="auto"/>
            </w:tcBorders>
          </w:tcPr>
          <w:p>
            <w:pPr>
              <w:spacing w:after="0"/>
              <w:rPr>
                <w:sz w:val="20"/>
                <w:szCs w:val="20"/>
                <w:color w:val="auto"/>
              </w:rPr>
            </w:pPr>
            <w:r>
              <w:rPr>
                <w:rFonts w:ascii="Arial" w:cs="Arial" w:eastAsia="Arial" w:hAnsi="Arial"/>
                <w:sz w:val="7"/>
                <w:szCs w:val="7"/>
                <w:b w:val="1"/>
                <w:bCs w:val="1"/>
                <w:color w:val="auto"/>
              </w:rPr>
              <w:t>LL Phone Number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360" w:type="dxa"/>
            <w:vAlign w:val="bottom"/>
            <w:tcBorders>
              <w:left w:val="single" w:sz="8" w:color="auto"/>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rPr>
              <w:t>Store City</w:t>
            </w:r>
          </w:p>
        </w:tc>
        <w:tc>
          <w:tcPr>
            <w:tcW w:w="300" w:type="dxa"/>
            <w:vAlign w:val="bottom"/>
            <w:tcBorders>
              <w:right w:val="single" w:sz="8" w:color="auto"/>
            </w:tcBorders>
            <w:vMerge w:val="continue"/>
          </w:tcPr>
          <w:p>
            <w:pPr>
              <w:spacing w:after="0"/>
              <w:rPr>
                <w:sz w:val="4"/>
                <w:szCs w:val="4"/>
                <w:color w:val="auto"/>
              </w:rPr>
            </w:pPr>
          </w:p>
        </w:tc>
        <w:tc>
          <w:tcPr>
            <w:tcW w:w="36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b w:val="1"/>
                <w:bCs w:val="1"/>
                <w:color w:val="auto"/>
              </w:rPr>
              <w:t>Code</w:t>
            </w:r>
          </w:p>
        </w:tc>
        <w:tc>
          <w:tcPr>
            <w:tcW w:w="14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vMerge w:val="continue"/>
          </w:tcPr>
          <w:p>
            <w:pPr>
              <w:spacing w:after="0"/>
              <w:rPr>
                <w:sz w:val="4"/>
                <w:szCs w:val="4"/>
                <w:color w:val="auto"/>
              </w:rPr>
            </w:pPr>
          </w:p>
        </w:tc>
        <w:tc>
          <w:tcPr>
            <w:tcW w:w="1040" w:type="dxa"/>
            <w:vAlign w:val="bottom"/>
            <w:tcBorders>
              <w:right w:val="single" w:sz="8" w:color="auto"/>
            </w:tcBorders>
            <w:vMerge w:val="continue"/>
          </w:tcPr>
          <w:p>
            <w:pPr>
              <w:spacing w:after="0"/>
              <w:rPr>
                <w:sz w:val="4"/>
                <w:szCs w:val="4"/>
                <w:color w:val="auto"/>
              </w:rPr>
            </w:pPr>
          </w:p>
        </w:tc>
        <w:tc>
          <w:tcPr>
            <w:tcW w:w="780" w:type="dxa"/>
            <w:vAlign w:val="bottom"/>
            <w:tcBorders>
              <w:left w:val="single" w:sz="8" w:color="auto"/>
              <w:right w:val="single" w:sz="8" w:color="auto"/>
            </w:tcBorders>
            <w:vMerge w:val="continue"/>
          </w:tcPr>
          <w:p>
            <w:pPr>
              <w:spacing w:after="0"/>
              <w:rPr>
                <w:sz w:val="4"/>
                <w:szCs w:val="4"/>
                <w:color w:val="auto"/>
              </w:rPr>
            </w:pPr>
          </w:p>
        </w:tc>
        <w:tc>
          <w:tcPr>
            <w:tcW w:w="800" w:type="dxa"/>
            <w:vAlign w:val="bottom"/>
            <w:tcBorders>
              <w:right w:val="single" w:sz="8" w:color="auto"/>
            </w:tcBorders>
            <w:vMerge w:val="continue"/>
          </w:tcPr>
          <w:p>
            <w:pPr>
              <w:spacing w:after="0"/>
              <w:rPr>
                <w:sz w:val="4"/>
                <w:szCs w:val="4"/>
                <w:color w:val="auto"/>
              </w:rPr>
            </w:pPr>
          </w:p>
        </w:tc>
        <w:tc>
          <w:tcPr>
            <w:tcW w:w="760" w:type="dxa"/>
            <w:vAlign w:val="bottom"/>
            <w:tcBorders>
              <w:right w:val="single" w:sz="8" w:color="auto"/>
            </w:tcBorders>
            <w:vMerge w:val="continue"/>
          </w:tcPr>
          <w:p>
            <w:pPr>
              <w:spacing w:after="0"/>
              <w:rPr>
                <w:sz w:val="4"/>
                <w:szCs w:val="4"/>
                <w:color w:val="auto"/>
              </w:rPr>
            </w:pPr>
          </w:p>
        </w:tc>
        <w:tc>
          <w:tcPr>
            <w:tcW w:w="2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State</w:t>
            </w:r>
          </w:p>
        </w:tc>
        <w:tc>
          <w:tcPr>
            <w:tcW w:w="500" w:type="dxa"/>
            <w:vAlign w:val="bottom"/>
            <w:tcBorders>
              <w:right w:val="single" w:sz="8" w:color="auto"/>
            </w:tcBorders>
            <w:vMerge w:val="continue"/>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3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7"/>
                <w:szCs w:val="7"/>
                <w:b w:val="1"/>
                <w:bCs w:val="1"/>
                <w:color w:val="auto"/>
              </w:rPr>
              <w:t>#</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b w:val="1"/>
                <w:bCs w:val="1"/>
                <w:color w:val="auto"/>
              </w:rPr>
              <w:t>Name</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rPr>
              <w:t>#1</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rPr>
              <w:t>#2</w:t>
            </w:r>
          </w:p>
        </w:tc>
        <w:tc>
          <w:tcPr>
            <w:tcW w:w="780" w:type="dxa"/>
            <w:vAlign w:val="bottom"/>
            <w:tcBorders>
              <w:right w:val="single" w:sz="8" w:color="auto"/>
            </w:tcBorders>
            <w:vMerge w:val="continue"/>
          </w:tcPr>
          <w:p>
            <w:pPr>
              <w:spacing w:after="0"/>
              <w:rPr>
                <w:sz w:val="4"/>
                <w:szCs w:val="4"/>
                <w:color w:val="auto"/>
              </w:rPr>
            </w:pPr>
          </w:p>
        </w:tc>
        <w:tc>
          <w:tcPr>
            <w:tcW w:w="30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rPr>
              <w:t>State</w:t>
            </w:r>
          </w:p>
        </w:tc>
        <w:tc>
          <w:tcPr>
            <w:tcW w:w="360" w:type="dxa"/>
            <w:vAlign w:val="bottom"/>
            <w:tcBorders>
              <w:right w:val="single" w:sz="8" w:color="auto"/>
            </w:tcBorders>
            <w:vMerge w:val="continue"/>
          </w:tcPr>
          <w:p>
            <w:pPr>
              <w:spacing w:after="0"/>
              <w:rPr>
                <w:sz w:val="4"/>
                <w:szCs w:val="4"/>
                <w:color w:val="auto"/>
              </w:rPr>
            </w:pPr>
          </w:p>
        </w:tc>
        <w:tc>
          <w:tcPr>
            <w:tcW w:w="1440" w:type="dxa"/>
            <w:vAlign w:val="bottom"/>
            <w:tcBorders>
              <w:right w:val="single" w:sz="8" w:color="auto"/>
            </w:tcBorders>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8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760" w:type="dxa"/>
            <w:vAlign w:val="bottom"/>
            <w:tcBorders>
              <w:right w:val="single" w:sz="8" w:color="auto"/>
            </w:tcBorders>
          </w:tcPr>
          <w:p>
            <w:pPr>
              <w:spacing w:after="0"/>
              <w:rPr>
                <w:sz w:val="4"/>
                <w:szCs w:val="4"/>
                <w:color w:val="auto"/>
              </w:rPr>
            </w:pPr>
          </w:p>
        </w:tc>
        <w:tc>
          <w:tcPr>
            <w:tcW w:w="26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36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780" w:type="dxa"/>
            <w:vAlign w:val="bottom"/>
            <w:tcBorders>
              <w:bottom w:val="single" w:sz="8" w:color="auto"/>
              <w:right w:val="single" w:sz="8" w:color="auto"/>
            </w:tcBorders>
            <w:vMerge w:val="continue"/>
          </w:tcPr>
          <w:p>
            <w:pPr>
              <w:spacing w:after="0"/>
              <w:rPr>
                <w:sz w:val="5"/>
                <w:szCs w:val="5"/>
                <w:color w:val="auto"/>
              </w:rPr>
            </w:pPr>
          </w:p>
        </w:tc>
        <w:tc>
          <w:tcPr>
            <w:tcW w:w="780" w:type="dxa"/>
            <w:vAlign w:val="bottom"/>
            <w:tcBorders>
              <w:bottom w:val="single" w:sz="8" w:color="auto"/>
              <w:right w:val="single" w:sz="8" w:color="auto"/>
            </w:tcBorders>
            <w:vMerge w:val="continue"/>
          </w:tcPr>
          <w:p>
            <w:pPr>
              <w:spacing w:after="0"/>
              <w:rPr>
                <w:sz w:val="5"/>
                <w:szCs w:val="5"/>
                <w:color w:val="auto"/>
              </w:rPr>
            </w:pPr>
          </w:p>
        </w:tc>
        <w:tc>
          <w:tcPr>
            <w:tcW w:w="780" w:type="dxa"/>
            <w:vAlign w:val="bottom"/>
            <w:tcBorders>
              <w:bottom w:val="single" w:sz="8" w:color="auto"/>
              <w:right w:val="single" w:sz="8" w:color="auto"/>
            </w:tcBorders>
            <w:vMerge w:val="continue"/>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300" w:type="dxa"/>
            <w:vAlign w:val="bottom"/>
            <w:tcBorders>
              <w:bottom w:val="single" w:sz="8" w:color="auto"/>
              <w:right w:val="single" w:sz="8" w:color="auto"/>
            </w:tcBorders>
            <w:vMerge w:val="continue"/>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780" w:type="dxa"/>
            <w:vAlign w:val="bottom"/>
            <w:tcBorders>
              <w:left w:val="single" w:sz="8" w:color="auto"/>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260" w:type="dxa"/>
            <w:vAlign w:val="bottom"/>
            <w:tcBorders>
              <w:bottom w:val="single" w:sz="8" w:color="auto"/>
              <w:right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360" w:type="dxa"/>
            <w:vAlign w:val="bottom"/>
            <w:tcBorders>
              <w:left w:val="single" w:sz="8" w:color="auto"/>
              <w:right w:val="single" w:sz="8" w:color="auto"/>
            </w:tcBorders>
          </w:tcPr>
          <w:p>
            <w:pPr>
              <w:jc w:val="right"/>
              <w:ind w:right="44"/>
              <w:spacing w:after="0" w:line="74" w:lineRule="exact"/>
              <w:rPr>
                <w:sz w:val="20"/>
                <w:szCs w:val="20"/>
                <w:color w:val="auto"/>
              </w:rPr>
            </w:pPr>
            <w:r>
              <w:rPr>
                <w:rFonts w:ascii="Arial" w:cs="Arial" w:eastAsia="Arial" w:hAnsi="Arial"/>
                <w:sz w:val="7"/>
                <w:szCs w:val="7"/>
                <w:color w:val="auto"/>
              </w:rPr>
              <w:t>9884</w:t>
            </w:r>
          </w:p>
        </w:tc>
        <w:tc>
          <w:tcPr>
            <w:tcW w:w="780" w:type="dxa"/>
            <w:vAlign w:val="bottom"/>
            <w:tcBorders>
              <w:right w:val="single" w:sz="8" w:color="auto"/>
            </w:tcBorders>
          </w:tcPr>
          <w:p>
            <w:pPr>
              <w:ind w:left="80"/>
              <w:spacing w:after="0" w:line="74"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4" w:lineRule="exact"/>
              <w:rPr>
                <w:sz w:val="20"/>
                <w:szCs w:val="20"/>
                <w:color w:val="auto"/>
              </w:rPr>
            </w:pPr>
            <w:r>
              <w:rPr>
                <w:rFonts w:ascii="Arial" w:cs="Arial" w:eastAsia="Arial" w:hAnsi="Arial"/>
                <w:sz w:val="7"/>
                <w:szCs w:val="7"/>
                <w:color w:val="auto"/>
              </w:rPr>
              <w:t>WASHINGTON</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4" w:lineRule="exact"/>
              <w:rPr>
                <w:sz w:val="20"/>
                <w:szCs w:val="20"/>
                <w:color w:val="auto"/>
              </w:rPr>
            </w:pPr>
            <w:r>
              <w:rPr>
                <w:rFonts w:ascii="Arial" w:cs="Arial" w:eastAsia="Arial" w:hAnsi="Arial"/>
                <w:sz w:val="7"/>
                <w:szCs w:val="7"/>
                <w:color w:val="auto"/>
              </w:rPr>
              <w:t>PORTLAND</w:t>
            </w:r>
          </w:p>
        </w:tc>
        <w:tc>
          <w:tcPr>
            <w:tcW w:w="300" w:type="dxa"/>
            <w:vAlign w:val="bottom"/>
            <w:tcBorders>
              <w:right w:val="single" w:sz="8" w:color="auto"/>
            </w:tcBorders>
          </w:tcPr>
          <w:p>
            <w:pPr>
              <w:ind w:left="60"/>
              <w:spacing w:after="0" w:line="74" w:lineRule="exact"/>
              <w:rPr>
                <w:sz w:val="20"/>
                <w:szCs w:val="20"/>
                <w:color w:val="auto"/>
              </w:rPr>
            </w:pPr>
            <w:r>
              <w:rPr>
                <w:rFonts w:ascii="Arial" w:cs="Arial" w:eastAsia="Arial" w:hAnsi="Arial"/>
                <w:sz w:val="7"/>
                <w:szCs w:val="7"/>
                <w:color w:val="auto"/>
              </w:rPr>
              <w:t>OR</w:t>
            </w:r>
          </w:p>
        </w:tc>
        <w:tc>
          <w:tcPr>
            <w:tcW w:w="360" w:type="dxa"/>
            <w:vAlign w:val="bottom"/>
            <w:tcBorders>
              <w:right w:val="single" w:sz="8" w:color="auto"/>
            </w:tcBorders>
          </w:tcPr>
          <w:p>
            <w:pPr>
              <w:ind w:left="80"/>
              <w:spacing w:after="0" w:line="74" w:lineRule="exact"/>
              <w:rPr>
                <w:sz w:val="20"/>
                <w:szCs w:val="20"/>
                <w:color w:val="auto"/>
              </w:rPr>
            </w:pPr>
            <w:r>
              <w:rPr>
                <w:rFonts w:ascii="Arial" w:cs="Arial" w:eastAsia="Arial" w:hAnsi="Arial"/>
                <w:sz w:val="7"/>
                <w:szCs w:val="7"/>
                <w:color w:val="auto"/>
              </w:rPr>
              <w:t>97223</w:t>
            </w:r>
          </w:p>
        </w:tc>
        <w:tc>
          <w:tcPr>
            <w:tcW w:w="1440" w:type="dxa"/>
            <w:vAlign w:val="bottom"/>
            <w:tcBorders>
              <w:right w:val="single" w:sz="8" w:color="auto"/>
            </w:tcBorders>
          </w:tcPr>
          <w:p>
            <w:pPr>
              <w:spacing w:after="0" w:line="74" w:lineRule="exact"/>
              <w:rPr>
                <w:sz w:val="20"/>
                <w:szCs w:val="20"/>
                <w:color w:val="auto"/>
              </w:rPr>
            </w:pPr>
            <w:r>
              <w:rPr>
                <w:rFonts w:ascii="Arial" w:cs="Arial" w:eastAsia="Arial" w:hAnsi="Arial"/>
                <w:sz w:val="7"/>
                <w:szCs w:val="7"/>
                <w:color w:val="auto"/>
              </w:rPr>
              <w:t>PPR SQUARE TOO LLC</w:t>
            </w:r>
          </w:p>
        </w:tc>
        <w:tc>
          <w:tcPr>
            <w:tcW w:w="1020" w:type="dxa"/>
            <w:vAlign w:val="bottom"/>
            <w:tcBorders>
              <w:right w:val="single" w:sz="8" w:color="auto"/>
            </w:tcBorders>
          </w:tcPr>
          <w:p>
            <w:pPr>
              <w:spacing w:after="0" w:line="74" w:lineRule="exact"/>
              <w:rPr>
                <w:sz w:val="20"/>
                <w:szCs w:val="20"/>
                <w:color w:val="auto"/>
              </w:rPr>
            </w:pPr>
            <w:r>
              <w:rPr>
                <w:rFonts w:ascii="Arial" w:cs="Arial" w:eastAsia="Arial" w:hAnsi="Arial"/>
                <w:sz w:val="7"/>
                <w:szCs w:val="7"/>
                <w:color w:val="auto"/>
              </w:rPr>
              <w:t>CENTER MANAGER</w:t>
            </w: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4" w:lineRule="exact"/>
              <w:rPr>
                <w:sz w:val="20"/>
                <w:szCs w:val="20"/>
                <w:color w:val="auto"/>
              </w:rPr>
            </w:pPr>
            <w:r>
              <w:rPr>
                <w:rFonts w:ascii="Arial" w:cs="Arial" w:eastAsia="Arial" w:hAnsi="Arial"/>
                <w:sz w:val="7"/>
                <w:szCs w:val="7"/>
                <w:color w:val="auto"/>
              </w:rPr>
              <w:t>9585 SW</w:t>
            </w:r>
          </w:p>
        </w:tc>
        <w:tc>
          <w:tcPr>
            <w:tcW w:w="80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4" w:lineRule="exact"/>
              <w:rPr>
                <w:sz w:val="20"/>
                <w:szCs w:val="20"/>
                <w:color w:val="auto"/>
              </w:rPr>
            </w:pPr>
            <w:r>
              <w:rPr>
                <w:rFonts w:ascii="Arial" w:cs="Arial" w:eastAsia="Arial" w:hAnsi="Arial"/>
                <w:sz w:val="7"/>
                <w:szCs w:val="7"/>
                <w:color w:val="auto"/>
              </w:rPr>
              <w:t>TIGARD</w:t>
            </w:r>
          </w:p>
        </w:tc>
        <w:tc>
          <w:tcPr>
            <w:tcW w:w="260" w:type="dxa"/>
            <w:vAlign w:val="bottom"/>
            <w:tcBorders>
              <w:right w:val="single" w:sz="8" w:color="auto"/>
            </w:tcBorders>
          </w:tcPr>
          <w:p>
            <w:pPr>
              <w:spacing w:after="0" w:line="74" w:lineRule="exact"/>
              <w:rPr>
                <w:sz w:val="20"/>
                <w:szCs w:val="20"/>
                <w:color w:val="auto"/>
              </w:rPr>
            </w:pPr>
            <w:r>
              <w:rPr>
                <w:rFonts w:ascii="Arial" w:cs="Arial" w:eastAsia="Arial" w:hAnsi="Arial"/>
                <w:sz w:val="7"/>
                <w:szCs w:val="7"/>
                <w:color w:val="auto"/>
              </w:rPr>
              <w:t>OR</w:t>
            </w:r>
          </w:p>
        </w:tc>
        <w:tc>
          <w:tcPr>
            <w:tcW w:w="500" w:type="dxa"/>
            <w:vAlign w:val="bottom"/>
            <w:tcBorders>
              <w:right w:val="single" w:sz="8" w:color="auto"/>
            </w:tcBorders>
          </w:tcPr>
          <w:p>
            <w:pPr>
              <w:spacing w:after="0" w:line="74" w:lineRule="exact"/>
              <w:rPr>
                <w:sz w:val="20"/>
                <w:szCs w:val="20"/>
                <w:color w:val="auto"/>
              </w:rPr>
            </w:pPr>
            <w:r>
              <w:rPr>
                <w:rFonts w:ascii="Arial" w:cs="Arial" w:eastAsia="Arial" w:hAnsi="Arial"/>
                <w:sz w:val="7"/>
                <w:szCs w:val="7"/>
                <w:color w:val="auto"/>
              </w:rPr>
              <w:t>97223-4450</w:t>
            </w:r>
          </w:p>
        </w:tc>
        <w:tc>
          <w:tcPr>
            <w:tcW w:w="740" w:type="dxa"/>
            <w:vAlign w:val="bottom"/>
            <w:tcBorders>
              <w:right w:val="single" w:sz="8" w:color="auto"/>
            </w:tcBorders>
          </w:tcPr>
          <w:p>
            <w:pPr>
              <w:ind w:left="20"/>
              <w:spacing w:after="0" w:line="74" w:lineRule="exact"/>
              <w:rPr>
                <w:sz w:val="20"/>
                <w:szCs w:val="20"/>
                <w:color w:val="auto"/>
              </w:rPr>
            </w:pPr>
            <w:r>
              <w:rPr>
                <w:rFonts w:ascii="Arial" w:cs="Arial" w:eastAsia="Arial" w:hAnsi="Arial"/>
                <w:sz w:val="7"/>
                <w:szCs w:val="7"/>
                <w:color w:val="auto"/>
              </w:rPr>
              <w:t>310-394-6000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360" w:type="dxa"/>
            <w:vAlign w:val="bottom"/>
            <w:tcBorders>
              <w:left w:val="single" w:sz="8" w:color="auto"/>
              <w:right w:val="single" w:sz="8" w:color="auto"/>
            </w:tcBorders>
          </w:tcPr>
          <w:p>
            <w:pPr>
              <w:spacing w:after="0"/>
              <w:rPr>
                <w:sz w:val="7"/>
                <w:szCs w:val="7"/>
                <w:color w:val="auto"/>
              </w:rPr>
            </w:pPr>
          </w:p>
        </w:tc>
        <w:tc>
          <w:tcPr>
            <w:tcW w:w="780" w:type="dxa"/>
            <w:vAlign w:val="bottom"/>
            <w:tcBorders>
              <w:right w:val="single" w:sz="8" w:color="auto"/>
            </w:tcBorders>
          </w:tcPr>
          <w:p>
            <w:pPr>
              <w:ind w:left="80"/>
              <w:spacing w:after="0"/>
              <w:rPr>
                <w:sz w:val="20"/>
                <w:szCs w:val="20"/>
                <w:color w:val="auto"/>
              </w:rPr>
            </w:pPr>
            <w:r>
              <w:rPr>
                <w:rFonts w:ascii="Arial" w:cs="Arial" w:eastAsia="Arial" w:hAnsi="Arial"/>
                <w:sz w:val="7"/>
                <w:szCs w:val="7"/>
                <w:color w:val="auto"/>
              </w:rPr>
              <w:t>STORE, LLC</w:t>
            </w:r>
          </w:p>
        </w:tc>
        <w:tc>
          <w:tcPr>
            <w:tcW w:w="780" w:type="dxa"/>
            <w:vAlign w:val="bottom"/>
            <w:tcBorders>
              <w:right w:val="single" w:sz="8" w:color="auto"/>
            </w:tcBorders>
          </w:tcPr>
          <w:p>
            <w:pPr>
              <w:ind w:left="60"/>
              <w:spacing w:after="0"/>
              <w:rPr>
                <w:sz w:val="20"/>
                <w:szCs w:val="20"/>
                <w:color w:val="auto"/>
              </w:rPr>
            </w:pPr>
            <w:r>
              <w:rPr>
                <w:rFonts w:ascii="Arial" w:cs="Arial" w:eastAsia="Arial" w:hAnsi="Arial"/>
                <w:sz w:val="7"/>
                <w:szCs w:val="7"/>
                <w:color w:val="auto"/>
              </w:rPr>
              <w:t>SQUARE TOO</w:t>
            </w:r>
          </w:p>
        </w:tc>
        <w:tc>
          <w:tcPr>
            <w:tcW w:w="7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144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7"/>
                <w:szCs w:val="7"/>
                <w:color w:val="auto"/>
              </w:rPr>
              <w:t>WASHINGTON</w:t>
            </w:r>
          </w:p>
        </w:tc>
        <w:tc>
          <w:tcPr>
            <w:tcW w:w="800" w:type="dxa"/>
            <w:vAlign w:val="bottom"/>
            <w:tcBorders>
              <w:right w:val="single" w:sz="8" w:color="auto"/>
            </w:tcBorders>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36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360" w:type="dxa"/>
            <w:vAlign w:val="bottom"/>
            <w:tcBorders>
              <w:left w:val="single" w:sz="8" w:color="auto"/>
              <w:right w:val="single" w:sz="8" w:color="auto"/>
            </w:tcBorders>
          </w:tcPr>
          <w:p>
            <w:pPr>
              <w:jc w:val="right"/>
              <w:ind w:right="44"/>
              <w:spacing w:after="0" w:line="63" w:lineRule="exact"/>
              <w:rPr>
                <w:sz w:val="20"/>
                <w:szCs w:val="20"/>
                <w:color w:val="auto"/>
              </w:rPr>
            </w:pPr>
            <w:r>
              <w:rPr>
                <w:rFonts w:ascii="Arial" w:cs="Arial" w:eastAsia="Arial" w:hAnsi="Arial"/>
                <w:sz w:val="7"/>
                <w:szCs w:val="7"/>
                <w:color w:val="auto"/>
              </w:rPr>
              <w:t>9885</w:t>
            </w:r>
          </w:p>
        </w:tc>
        <w:tc>
          <w:tcPr>
            <w:tcW w:w="780" w:type="dxa"/>
            <w:vAlign w:val="bottom"/>
            <w:tcBorders>
              <w:right w:val="single" w:sz="8" w:color="auto"/>
            </w:tcBorders>
          </w:tcPr>
          <w:p>
            <w:pPr>
              <w:ind w:left="80"/>
              <w:spacing w:after="0" w:line="63"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63" w:lineRule="exact"/>
              <w:rPr>
                <w:sz w:val="20"/>
                <w:szCs w:val="20"/>
                <w:color w:val="auto"/>
              </w:rPr>
            </w:pPr>
            <w:r>
              <w:rPr>
                <w:rFonts w:ascii="Arial" w:cs="Arial" w:eastAsia="Arial" w:hAnsi="Arial"/>
                <w:sz w:val="7"/>
                <w:szCs w:val="7"/>
                <w:color w:val="auto"/>
              </w:rPr>
              <w:t>7020 SOUTH</w:t>
            </w:r>
          </w:p>
        </w:tc>
        <w:tc>
          <w:tcPr>
            <w:tcW w:w="78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ind w:left="60"/>
              <w:spacing w:after="0" w:line="63" w:lineRule="exact"/>
              <w:rPr>
                <w:sz w:val="20"/>
                <w:szCs w:val="20"/>
                <w:color w:val="auto"/>
              </w:rPr>
            </w:pPr>
            <w:r>
              <w:rPr>
                <w:rFonts w:ascii="Arial" w:cs="Arial" w:eastAsia="Arial" w:hAnsi="Arial"/>
                <w:sz w:val="7"/>
                <w:szCs w:val="7"/>
                <w:color w:val="auto"/>
              </w:rPr>
              <w:t>TULSA</w:t>
            </w:r>
          </w:p>
        </w:tc>
        <w:tc>
          <w:tcPr>
            <w:tcW w:w="300" w:type="dxa"/>
            <w:vAlign w:val="bottom"/>
            <w:tcBorders>
              <w:right w:val="single" w:sz="8" w:color="auto"/>
            </w:tcBorders>
          </w:tcPr>
          <w:p>
            <w:pPr>
              <w:ind w:left="60"/>
              <w:spacing w:after="0" w:line="63" w:lineRule="exact"/>
              <w:rPr>
                <w:sz w:val="20"/>
                <w:szCs w:val="20"/>
                <w:color w:val="auto"/>
              </w:rPr>
            </w:pPr>
            <w:r>
              <w:rPr>
                <w:rFonts w:ascii="Arial" w:cs="Arial" w:eastAsia="Arial" w:hAnsi="Arial"/>
                <w:sz w:val="7"/>
                <w:szCs w:val="7"/>
                <w:color w:val="auto"/>
              </w:rPr>
              <w:t>OK</w:t>
            </w:r>
          </w:p>
        </w:tc>
        <w:tc>
          <w:tcPr>
            <w:tcW w:w="360" w:type="dxa"/>
            <w:vAlign w:val="bottom"/>
            <w:tcBorders>
              <w:right w:val="single" w:sz="8" w:color="auto"/>
            </w:tcBorders>
          </w:tcPr>
          <w:p>
            <w:pPr>
              <w:ind w:left="80"/>
              <w:spacing w:after="0" w:line="63" w:lineRule="exact"/>
              <w:rPr>
                <w:sz w:val="20"/>
                <w:szCs w:val="20"/>
                <w:color w:val="auto"/>
              </w:rPr>
            </w:pPr>
            <w:r>
              <w:rPr>
                <w:rFonts w:ascii="Arial" w:cs="Arial" w:eastAsia="Arial" w:hAnsi="Arial"/>
                <w:sz w:val="7"/>
                <w:szCs w:val="7"/>
                <w:color w:val="auto"/>
              </w:rPr>
              <w:t>74133</w:t>
            </w:r>
          </w:p>
        </w:tc>
        <w:tc>
          <w:tcPr>
            <w:tcW w:w="1440" w:type="dxa"/>
            <w:vAlign w:val="bottom"/>
            <w:tcBorders>
              <w:right w:val="single" w:sz="8" w:color="auto"/>
            </w:tcBorders>
          </w:tcPr>
          <w:p>
            <w:pPr>
              <w:spacing w:after="0" w:line="63" w:lineRule="exact"/>
              <w:rPr>
                <w:sz w:val="20"/>
                <w:szCs w:val="20"/>
                <w:color w:val="auto"/>
              </w:rPr>
            </w:pPr>
            <w:r>
              <w:rPr>
                <w:rFonts w:ascii="Arial" w:cs="Arial" w:eastAsia="Arial" w:hAnsi="Arial"/>
                <w:sz w:val="7"/>
                <w:szCs w:val="7"/>
                <w:color w:val="auto"/>
              </w:rPr>
              <w:t>US EQUITY &amp; INVESTMENT, LLC</w:t>
            </w:r>
          </w:p>
        </w:tc>
        <w:tc>
          <w:tcPr>
            <w:tcW w:w="1020" w:type="dxa"/>
            <w:vAlign w:val="bottom"/>
            <w:tcBorders>
              <w:right w:val="single" w:sz="8" w:color="auto"/>
            </w:tcBorders>
          </w:tcPr>
          <w:p>
            <w:pPr>
              <w:spacing w:after="0"/>
              <w:rPr>
                <w:sz w:val="5"/>
                <w:szCs w:val="5"/>
                <w:color w:val="auto"/>
              </w:rPr>
            </w:pPr>
          </w:p>
        </w:tc>
        <w:tc>
          <w:tcPr>
            <w:tcW w:w="104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line="63" w:lineRule="exact"/>
              <w:rPr>
                <w:sz w:val="20"/>
                <w:szCs w:val="20"/>
                <w:color w:val="auto"/>
              </w:rPr>
            </w:pPr>
            <w:r>
              <w:rPr>
                <w:rFonts w:ascii="Arial" w:cs="Arial" w:eastAsia="Arial" w:hAnsi="Arial"/>
                <w:sz w:val="7"/>
                <w:szCs w:val="7"/>
                <w:color w:val="auto"/>
              </w:rPr>
              <w:t>29160</w:t>
            </w:r>
          </w:p>
        </w:tc>
        <w:tc>
          <w:tcPr>
            <w:tcW w:w="800" w:type="dxa"/>
            <w:vAlign w:val="bottom"/>
            <w:tcBorders>
              <w:right w:val="single" w:sz="8" w:color="auto"/>
            </w:tcBorders>
          </w:tcPr>
          <w:p>
            <w:pPr>
              <w:spacing w:after="0" w:line="63" w:lineRule="exact"/>
              <w:rPr>
                <w:sz w:val="20"/>
                <w:szCs w:val="20"/>
                <w:color w:val="auto"/>
              </w:rPr>
            </w:pPr>
            <w:r>
              <w:rPr>
                <w:rFonts w:ascii="Arial" w:cs="Arial" w:eastAsia="Arial" w:hAnsi="Arial"/>
                <w:sz w:val="7"/>
                <w:szCs w:val="7"/>
                <w:color w:val="auto"/>
              </w:rPr>
              <w:t>SUITE 411</w:t>
            </w:r>
          </w:p>
        </w:tc>
        <w:tc>
          <w:tcPr>
            <w:tcW w:w="760" w:type="dxa"/>
            <w:vAlign w:val="bottom"/>
            <w:tcBorders>
              <w:right w:val="single" w:sz="8" w:color="auto"/>
            </w:tcBorders>
          </w:tcPr>
          <w:p>
            <w:pPr>
              <w:spacing w:after="0" w:line="63" w:lineRule="exact"/>
              <w:rPr>
                <w:sz w:val="20"/>
                <w:szCs w:val="20"/>
                <w:color w:val="auto"/>
              </w:rPr>
            </w:pPr>
            <w:r>
              <w:rPr>
                <w:rFonts w:ascii="Arial" w:cs="Arial" w:eastAsia="Arial" w:hAnsi="Arial"/>
                <w:sz w:val="7"/>
                <w:szCs w:val="7"/>
                <w:color w:val="auto"/>
              </w:rPr>
              <w:t>MALIBU</w:t>
            </w:r>
          </w:p>
        </w:tc>
        <w:tc>
          <w:tcPr>
            <w:tcW w:w="260" w:type="dxa"/>
            <w:vAlign w:val="bottom"/>
            <w:tcBorders>
              <w:right w:val="single" w:sz="8" w:color="auto"/>
            </w:tcBorders>
          </w:tcPr>
          <w:p>
            <w:pPr>
              <w:spacing w:after="0" w:line="63" w:lineRule="exact"/>
              <w:rPr>
                <w:sz w:val="20"/>
                <w:szCs w:val="20"/>
                <w:color w:val="auto"/>
              </w:rPr>
            </w:pPr>
            <w:r>
              <w:rPr>
                <w:rFonts w:ascii="Arial" w:cs="Arial" w:eastAsia="Arial" w:hAnsi="Arial"/>
                <w:sz w:val="7"/>
                <w:szCs w:val="7"/>
                <w:color w:val="auto"/>
              </w:rPr>
              <w:t>CA</w:t>
            </w:r>
          </w:p>
        </w:tc>
        <w:tc>
          <w:tcPr>
            <w:tcW w:w="500" w:type="dxa"/>
            <w:vAlign w:val="bottom"/>
            <w:tcBorders>
              <w:right w:val="single" w:sz="8" w:color="auto"/>
            </w:tcBorders>
          </w:tcPr>
          <w:p>
            <w:pPr>
              <w:spacing w:after="0" w:line="63" w:lineRule="exact"/>
              <w:rPr>
                <w:sz w:val="20"/>
                <w:szCs w:val="20"/>
                <w:color w:val="auto"/>
              </w:rPr>
            </w:pPr>
            <w:r>
              <w:rPr>
                <w:rFonts w:ascii="Arial" w:cs="Arial" w:eastAsia="Arial" w:hAnsi="Arial"/>
                <w:sz w:val="7"/>
                <w:szCs w:val="7"/>
                <w:color w:val="auto"/>
              </w:rPr>
              <w:t>90265</w:t>
            </w:r>
          </w:p>
        </w:tc>
        <w:tc>
          <w:tcPr>
            <w:tcW w:w="740" w:type="dxa"/>
            <w:vAlign w:val="bottom"/>
            <w:tcBorders>
              <w:right w:val="single" w:sz="8" w:color="auto"/>
            </w:tcBorders>
          </w:tcPr>
          <w:p>
            <w:pPr>
              <w:ind w:left="20"/>
              <w:spacing w:after="0" w:line="63" w:lineRule="exact"/>
              <w:rPr>
                <w:sz w:val="20"/>
                <w:szCs w:val="20"/>
                <w:color w:val="auto"/>
              </w:rPr>
            </w:pPr>
            <w:r>
              <w:rPr>
                <w:rFonts w:ascii="Arial" w:cs="Arial" w:eastAsia="Arial" w:hAnsi="Arial"/>
                <w:sz w:val="7"/>
                <w:szCs w:val="7"/>
                <w:color w:val="auto"/>
              </w:rPr>
              <w:t>424-234-5555</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MEMORIAL DRIVE</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HEATHERCLIFF</w:t>
            </w: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9886</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430 COOL</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SUITE 120</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FRANKLIN</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TN</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37067</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HDJ CAPITAL PARTNERS LTD</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BROOKSIDE PROPERTIES,</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dba SHOPPES AT</w:t>
            </w: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2002 RICHARD</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NASHVILLE</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TN</w:t>
            </w:r>
          </w:p>
        </w:tc>
        <w:tc>
          <w:tcPr>
            <w:tcW w:w="5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37215</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615-352-3300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SPRINGS BLVD.</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INC</w:t>
            </w: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THOROUGHBRED</w:t>
            </w: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JONES RD, SUITE</w:t>
            </w: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9887</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West Palm Beach</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West Palm Beach</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FL</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33401</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CLPF-MARKETPLACE, LLC</w:t>
            </w:r>
          </w:p>
        </w:tc>
        <w:tc>
          <w:tcPr>
            <w:tcW w:w="10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KATHY FEENEY</w:t>
            </w:r>
          </w:p>
        </w:tc>
        <w:tc>
          <w:tcPr>
            <w:tcW w:w="10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PALM BEACH MALL</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75 PARK PLAZA</w:t>
            </w:r>
          </w:p>
        </w:tc>
        <w:tc>
          <w:tcPr>
            <w:tcW w:w="80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BOSTON</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MA</w:t>
            </w:r>
          </w:p>
        </w:tc>
        <w:tc>
          <w:tcPr>
            <w:tcW w:w="5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02116</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617-243-7387</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Center1855 Palm</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HOLDINGS LLC</w:t>
            </w:r>
          </w:p>
        </w:tc>
        <w:tc>
          <w:tcPr>
            <w:tcW w:w="78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9888</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HOLYOKE</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35 HOLYOKE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HOLYOKE</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MA</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1040</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HOLYOKE CROSSING,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PRESTIGE PROPERTIES &amp;</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546 FIFTH AVE,</w:t>
            </w:r>
          </w:p>
        </w:tc>
        <w:tc>
          <w:tcPr>
            <w:tcW w:w="80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NEW YORK</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NY</w:t>
            </w:r>
          </w:p>
        </w:tc>
        <w:tc>
          <w:tcPr>
            <w:tcW w:w="5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10036</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212-944-0444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CROSSING</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STREET</w:t>
            </w: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DEV. CO, INC</w:t>
            </w: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15TH FLOOR</w:t>
            </w: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9889</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PARADISE POINT</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WEST DES</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IA</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50266</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JORDAN CREEK INVESTMENTS IX,</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PREMIER COMPANIES</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2540 73RD STREET</w:t>
            </w:r>
          </w:p>
        </w:tc>
        <w:tc>
          <w:tcPr>
            <w:tcW w:w="80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URBANDALE</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IA</w:t>
            </w:r>
          </w:p>
        </w:tc>
        <w:tc>
          <w:tcPr>
            <w:tcW w:w="5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50322</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515-440-1111</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6503 MILLS CIVIC</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MOINES</w:t>
            </w: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LLC</w:t>
            </w:r>
          </w:p>
        </w:tc>
        <w:tc>
          <w:tcPr>
            <w:tcW w:w="102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9890</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CLEARVIEW MALL</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METAIRIE</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LA</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70006</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RICHARDS-CLEARVIEW,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CLEARVIEW MALL</w:t>
            </w: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4436 VETERANS</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MATAIRIE</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LA</w:t>
            </w:r>
          </w:p>
        </w:tc>
        <w:tc>
          <w:tcPr>
            <w:tcW w:w="5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70006</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504-885-0202</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4434 VETERAN'S</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MEMORIAL BLVD.</w:t>
            </w: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9891</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1200 BOSTON</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MILFORD</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CT</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6460</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217 STATE-MILFORD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134-01 20TH</w:t>
            </w:r>
          </w:p>
        </w:tc>
        <w:tc>
          <w:tcPr>
            <w:tcW w:w="80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COLLEGE POINT</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NY</w:t>
            </w:r>
          </w:p>
        </w:tc>
        <w:tc>
          <w:tcPr>
            <w:tcW w:w="5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11356</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718-353-5500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POST ROAD</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AVENUE</w:t>
            </w: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9892</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VALLEY MALL</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2701 MING AVE,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BAKERSFIELD</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CA</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93304</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VALLEY PLAZA MALL, LP</w:t>
            </w:r>
          </w:p>
        </w:tc>
        <w:tc>
          <w:tcPr>
            <w:tcW w:w="10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LAW/LEASE ADM. DEPT</w:t>
            </w: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VALLEY PLAZA MALL</w:t>
            </w: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350 N. ORLEANS</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CHICAGO</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IN</w:t>
            </w:r>
          </w:p>
        </w:tc>
        <w:tc>
          <w:tcPr>
            <w:tcW w:w="5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60654-1607</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312-960-5879</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STORE, LLC</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SPACE 116</w:t>
            </w: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CA</w:t>
            </w: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ST, SUITE 300</w:t>
            </w: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9893</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5000 SUNRISE</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MASSAPEQUA</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NY</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11762</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5000 HIGHWAY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JEFFREY MANAGEMENT</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370 7TH AVENUE</w:t>
            </w:r>
          </w:p>
        </w:tc>
        <w:tc>
          <w:tcPr>
            <w:tcW w:w="80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NEW YORK</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NY</w:t>
            </w:r>
          </w:p>
        </w:tc>
        <w:tc>
          <w:tcPr>
            <w:tcW w:w="5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10001</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212-563-6557</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HIGHWAY</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CORP</w:t>
            </w:r>
          </w:p>
        </w:tc>
        <w:tc>
          <w:tcPr>
            <w:tcW w:w="78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9894</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CENTRE AT</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3283 DONNELL</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DISTRICT</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MD</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20747</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THE CENTRE AT FORESTVILLE,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1919 WEST</w:t>
            </w:r>
          </w:p>
        </w:tc>
        <w:tc>
          <w:tcPr>
            <w:tcW w:w="80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ANNAPOLIS</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MD</w:t>
            </w:r>
          </w:p>
        </w:tc>
        <w:tc>
          <w:tcPr>
            <w:tcW w:w="5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21401</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443-569-4943</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FORESTVILLE</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DRIVE, SPACE F09</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HEIGHTS</w:t>
            </w: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STREET, SUITE 100</w:t>
            </w: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9895</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20 WOLF ROAD</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ALBANY</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NY</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12205</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RALPH BROTTER</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AMOS BROTTER</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505 NORTHERN</w:t>
            </w:r>
          </w:p>
        </w:tc>
        <w:tc>
          <w:tcPr>
            <w:tcW w:w="80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GREAT NECK</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NY</w:t>
            </w:r>
          </w:p>
        </w:tc>
        <w:tc>
          <w:tcPr>
            <w:tcW w:w="5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11021</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516-829-7400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BLVD</w:t>
            </w: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9897</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THE COMMONS AT</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2810 WEST LOOP</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MIDLAND</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TX</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79705</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MCE 2015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C/O GRACO REAL</w:t>
            </w: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5307 W. LOOP 289,</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LUBBOCK</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TX</w:t>
            </w:r>
          </w:p>
        </w:tc>
        <w:tc>
          <w:tcPr>
            <w:tcW w:w="5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79414</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806-745-9718</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NORTHPARK</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250 NORTH SUITE</w:t>
            </w: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ESTATE</w:t>
            </w: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SUITE 302</w:t>
            </w: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9898</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THE ORCHARD</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14533 DELAWARE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WESTMINSTER</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CO</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80023</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VESTAR ORCHARD TOWN CENTER,</w:t>
            </w:r>
          </w:p>
        </w:tc>
        <w:tc>
          <w:tcPr>
            <w:tcW w:w="10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PRESIDENT</w:t>
            </w: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2425 EAST</w:t>
            </w:r>
          </w:p>
        </w:tc>
        <w:tc>
          <w:tcPr>
            <w:tcW w:w="80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PHOENIX</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AZ</w:t>
            </w:r>
          </w:p>
        </w:tc>
        <w:tc>
          <w:tcPr>
            <w:tcW w:w="5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85016</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303-450-8610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STORE, LLC</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TOWN CENTER</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STREET SUITE</w:t>
            </w: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LLC</w:t>
            </w:r>
          </w:p>
        </w:tc>
        <w:tc>
          <w:tcPr>
            <w:tcW w:w="102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CAMELBACK RD.,</w:t>
            </w: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9899</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281 DANIEL</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NASHUA</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NH</w:t>
            </w:r>
          </w:p>
        </w:tc>
        <w:tc>
          <w:tcPr>
            <w:tcW w:w="360" w:type="dxa"/>
            <w:vAlign w:val="bottom"/>
            <w:tcBorders>
              <w:right w:val="single" w:sz="8" w:color="auto"/>
            </w:tcBorders>
          </w:tcPr>
          <w:p>
            <w:pPr>
              <w:spacing w:after="0"/>
              <w:rPr>
                <w:sz w:val="6"/>
                <w:szCs w:val="6"/>
                <w:color w:val="auto"/>
              </w:rPr>
            </w:pP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NASHUA 281 REALTY VENTURES,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CHARLES RIVER REALTY</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1461 VFW</w:t>
            </w:r>
          </w:p>
        </w:tc>
        <w:tc>
          <w:tcPr>
            <w:tcW w:w="80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WEST ROXBURY</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MA</w:t>
            </w:r>
          </w:p>
        </w:tc>
        <w:tc>
          <w:tcPr>
            <w:tcW w:w="5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02132</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617-327-8100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STORE, LLC</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WEBSTER</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PARKWAY</w:t>
            </w: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9910</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OUTBACK</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4820 SOUTH</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GREENFIELD</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WI</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53220</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CORNERSTONE TINLEY PARK,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60 REVERE DRIVE,</w:t>
            </w:r>
          </w:p>
        </w:tc>
        <w:tc>
          <w:tcPr>
            <w:tcW w:w="80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NORTHBROOK</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IL</w:t>
            </w:r>
          </w:p>
        </w:tc>
        <w:tc>
          <w:tcPr>
            <w:tcW w:w="5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60062</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847-205-2292</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STEAKHOUSE</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76TH STREET</w:t>
            </w: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SUITE 700</w:t>
            </w: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9911</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15633 SOUTH</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ORLAND PARK</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IL</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60462</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JPS/ORLAND, LLC</w:t>
            </w:r>
          </w:p>
        </w:tc>
        <w:tc>
          <w:tcPr>
            <w:tcW w:w="10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JOHN P. SWEENEY,</w:t>
            </w: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53 W. JACKSON</w:t>
            </w: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SUITE 1534</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CHICAGO</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IL</w:t>
            </w:r>
          </w:p>
        </w:tc>
        <w:tc>
          <w:tcPr>
            <w:tcW w:w="5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60604</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312-704-1066</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STORE, LLC</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LAGRANGE ROAD</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MANAGER</w:t>
            </w:r>
          </w:p>
        </w:tc>
        <w:tc>
          <w:tcPr>
            <w:tcW w:w="104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BLVD</w:t>
            </w: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9912</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Vintage Plaza</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3250 Dale Road,</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Modesto</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CA</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95356</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VINTAGE PLAZA PROPERTIES</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1031 15TH STREET,</w:t>
            </w:r>
          </w:p>
        </w:tc>
        <w:tc>
          <w:tcPr>
            <w:tcW w:w="80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MODESTO</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CA</w:t>
            </w:r>
          </w:p>
        </w:tc>
        <w:tc>
          <w:tcPr>
            <w:tcW w:w="5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95354</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209-524-4871</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STORE, LLC</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Suite J</w:t>
            </w: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SUITE 3</w:t>
            </w: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9913</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REGAL COURT</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7527 YOUREE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SHREVEPORT</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LA</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71105</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IREIT SHREVEPORT REGAL COURT,</w:t>
            </w:r>
          </w:p>
        </w:tc>
        <w:tc>
          <w:tcPr>
            <w:tcW w:w="10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SR.VP -PROP.</w:t>
            </w: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INLAND</w:t>
            </w: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2901 BUTTERFIELD</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OAK BROOK</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IL</w:t>
            </w:r>
          </w:p>
        </w:tc>
        <w:tc>
          <w:tcPr>
            <w:tcW w:w="5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60523</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800-426-4713</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SHOPPING</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DRIVE, UNIT 6</w:t>
            </w: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LLC</w:t>
            </w:r>
          </w:p>
        </w:tc>
        <w:tc>
          <w:tcPr>
            <w:tcW w:w="1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MANAGEMENT</w:t>
            </w:r>
          </w:p>
        </w:tc>
        <w:tc>
          <w:tcPr>
            <w:tcW w:w="104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COMMERCIAL REAL</w:t>
            </w: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ROAD</w:t>
            </w: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9914</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PASEO PLAZA</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1700 S 10TH ST,</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MCALLEN</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TX</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75803</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INB PROPERTIES II PASEO, LTD</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900 E. LAKEVIEW</w:t>
            </w:r>
          </w:p>
        </w:tc>
        <w:tc>
          <w:tcPr>
            <w:tcW w:w="80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McALLEN</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TX</w:t>
            </w:r>
          </w:p>
        </w:tc>
        <w:tc>
          <w:tcPr>
            <w:tcW w:w="5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78501</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956-971-3850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STE. 160</w:t>
            </w: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DRIVE</w:t>
            </w: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9915</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UNIVERSITY</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10041</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FT. MYERS</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FL</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33913</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CH RETAIL FUND I/FT MYERS</w:t>
            </w:r>
          </w:p>
        </w:tc>
        <w:tc>
          <w:tcPr>
            <w:tcW w:w="10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ASSET MANAGER-</w:t>
            </w: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3819 MAPLE AVE</w:t>
            </w:r>
          </w:p>
        </w:tc>
        <w:tc>
          <w:tcPr>
            <w:tcW w:w="80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DALLAS</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TX</w:t>
            </w:r>
          </w:p>
        </w:tc>
        <w:tc>
          <w:tcPr>
            <w:tcW w:w="5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75219</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214-661-8000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PLAZA RETAIL</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UNIVERSITY</w:t>
            </w: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UNIVERSITY PLAZA, LLC</w:t>
            </w:r>
          </w:p>
        </w:tc>
        <w:tc>
          <w:tcPr>
            <w:tcW w:w="1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UNIVERSITY PLAZA</w:t>
            </w:r>
          </w:p>
        </w:tc>
        <w:tc>
          <w:tcPr>
            <w:tcW w:w="104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9916</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BRENTWOOD</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59 BRENTWOOD</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BRENTWOOD</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MO</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63144</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GS BRENTWOOD LLC</w:t>
            </w:r>
          </w:p>
        </w:tc>
        <w:tc>
          <w:tcPr>
            <w:tcW w:w="10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EXEC VP- LEASING</w:t>
            </w:r>
          </w:p>
        </w:tc>
        <w:tc>
          <w:tcPr>
            <w:tcW w:w="10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DDR CORP</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3300 ENTERPRISE</w:t>
            </w:r>
          </w:p>
        </w:tc>
        <w:tc>
          <w:tcPr>
            <w:tcW w:w="80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BEACHWOOD</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OH</w:t>
            </w:r>
          </w:p>
        </w:tc>
        <w:tc>
          <w:tcPr>
            <w:tcW w:w="5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44122</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216-755-3284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PROMENADE</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PROMENADE CT</w:t>
            </w: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PARKWAY</w:t>
            </w: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9917</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TOWNE PLAZA</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2301 GLADES</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BOCA RATON</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FL</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33431</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GLADES-BUTTS ASSOCIATES, LTD</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SCHMIER &amp;</w:t>
            </w: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2200 BUTTS RD.,</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BOCA RATON</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FL</w:t>
            </w:r>
          </w:p>
        </w:tc>
        <w:tc>
          <w:tcPr>
            <w:tcW w:w="5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33431</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(561) 488-5100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ROAD</w:t>
            </w: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FEURRING</w:t>
            </w: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SUITE 300</w:t>
            </w: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9918</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White Oaks Plaza</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2875 S. Veterans</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Springfield</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IL</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62704</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WHITE OAKS PERIPHERAL, LLC</w:t>
            </w:r>
          </w:p>
        </w:tc>
        <w:tc>
          <w:tcPr>
            <w:tcW w:w="10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GENERAL COUNSEL</w:t>
            </w:r>
          </w:p>
        </w:tc>
        <w:tc>
          <w:tcPr>
            <w:tcW w:w="10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WP GLIMCHER</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180 EAST BROAD</w:t>
            </w:r>
          </w:p>
        </w:tc>
        <w:tc>
          <w:tcPr>
            <w:tcW w:w="80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COLUMBUS</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OH</w:t>
            </w:r>
          </w:p>
        </w:tc>
        <w:tc>
          <w:tcPr>
            <w:tcW w:w="5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43215</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614-887-5872</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STORE, LLC</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Parkway</w:t>
            </w: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STREET</w:t>
            </w: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9919</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THE MARKETS AT</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4871 TOWN</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JACKSONVILLE</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FL</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32246</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HINES GLOBAL REIT 4875 TOWN</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HINES INTERESTS LP,</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605 PALENCIA CLUB</w:t>
            </w:r>
          </w:p>
        </w:tc>
        <w:tc>
          <w:tcPr>
            <w:tcW w:w="80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ST AUGUSTINE</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FL</w:t>
            </w:r>
          </w:p>
        </w:tc>
        <w:tc>
          <w:tcPr>
            <w:tcW w:w="5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32095</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904-599-9035</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TOWN CENTER</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CENTER</w:t>
            </w: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CENTER, LLC</w:t>
            </w:r>
          </w:p>
        </w:tc>
        <w:tc>
          <w:tcPr>
            <w:tcW w:w="102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MANAGER</w:t>
            </w: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DRIVE</w:t>
            </w: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9920</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CENTRALIA</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2016 HAVILAND</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CENTRALIA</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WA</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98531-</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CENTRALIA OUTLETS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R.K. GETTY CORP</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1145 BROADWAY</w:t>
            </w:r>
          </w:p>
        </w:tc>
        <w:tc>
          <w:tcPr>
            <w:tcW w:w="80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TACOMA</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WA</w:t>
            </w:r>
          </w:p>
        </w:tc>
        <w:tc>
          <w:tcPr>
            <w:tcW w:w="5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98402</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425-455-0500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OUTLETS</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STREET</w:t>
            </w: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1862</w:t>
            </w: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AVE, SUITE 1300</w:t>
            </w: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9921</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WEST END</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2910 W. LOOP</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LUBBOCK</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TX</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79407-</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PAG0SA II 2017,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C/O GRACO REAL</w:t>
            </w: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5307 W. LOOP 289,</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LUBBOCK</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TX</w:t>
            </w:r>
          </w:p>
        </w:tc>
        <w:tc>
          <w:tcPr>
            <w:tcW w:w="5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79414</w:t>
            </w:r>
          </w:p>
        </w:tc>
        <w:tc>
          <w:tcPr>
            <w:tcW w:w="7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SHOPPING</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289, SUITE 105</w:t>
            </w: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1644</w:t>
            </w: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ESTATE</w:t>
            </w: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SUITE 302</w:t>
            </w: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9922</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4013</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TIVERTON PLAZA</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LEXINGTON</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KY</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40503-</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TIVERTON PLAZA, INC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110 W. NEW</w:t>
            </w:r>
          </w:p>
        </w:tc>
        <w:tc>
          <w:tcPr>
            <w:tcW w:w="80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LEXINGTON</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KY</w:t>
            </w:r>
          </w:p>
        </w:tc>
        <w:tc>
          <w:tcPr>
            <w:tcW w:w="5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40505</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859-621-8937</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NICHOLASVILLE</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4405</w:t>
            </w: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CIRCLE ROAD</w:t>
            </w: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9923</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5905 SEPULVEDA</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CULVER CITY</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CA</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90230-</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WILLIAM A. BENBASSAT</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5705 SEPULVEDA</w:t>
            </w:r>
          </w:p>
        </w:tc>
        <w:tc>
          <w:tcPr>
            <w:tcW w:w="80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CULVER CITY</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CA</w:t>
            </w:r>
          </w:p>
        </w:tc>
        <w:tc>
          <w:tcPr>
            <w:tcW w:w="5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90230</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310-397-2229</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STORE, LLC</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BOULEVARD</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6409</w:t>
            </w: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BLVD</w:t>
            </w: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9925</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REGENCY SQUARE</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1019 EASTON</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WILLOW GROVE</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PA</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19090-</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BRUCE A. GOODMAN &amp; PARTNERS, LP</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GOODMAN PROPERTIES</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636 OLD YORK</w:t>
            </w:r>
          </w:p>
        </w:tc>
        <w:tc>
          <w:tcPr>
            <w:tcW w:w="80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JENKINTOWN</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PA</w:t>
            </w:r>
          </w:p>
        </w:tc>
        <w:tc>
          <w:tcPr>
            <w:tcW w:w="5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19046</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215-885-8383</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SHOPPING</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ROAD, STE. 1019</w:t>
            </w: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2023</w:t>
            </w: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ROAD, 2ND FLOOR</w:t>
            </w: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9926</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DUBLIN PLACE</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7188 AMADOR</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DUBLIN</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CA</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94568-</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ASVRF DUBLIN PLACE, LP</w:t>
            </w:r>
          </w:p>
        </w:tc>
        <w:tc>
          <w:tcPr>
            <w:tcW w:w="10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STANLEY L. IEZMAN</w:t>
            </w: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AMERICAN REALTY</w:t>
            </w: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515 SOUTH</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LOS ANGELES</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CA</w:t>
            </w:r>
          </w:p>
        </w:tc>
        <w:tc>
          <w:tcPr>
            <w:tcW w:w="5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90071</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818-545-1152</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STORE, LLC</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PLAZA ROAD</w:t>
            </w: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2318</w:t>
            </w: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ADVISORS</w:t>
            </w: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FLOWER STREET,</w:t>
            </w: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9927</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PLAZA WEST</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1400 Plaza Drive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West Covina</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CA</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91790-</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STARWOOD RETAIL PROPERTY</w:t>
            </w:r>
          </w:p>
        </w:tc>
        <w:tc>
          <w:tcPr>
            <w:tcW w:w="102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LEASE COORDINATION</w:t>
            </w: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ONE EAST WACKER</w:t>
            </w: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SUITE 3700</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CHICAGO</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IL</w:t>
            </w:r>
          </w:p>
        </w:tc>
        <w:tc>
          <w:tcPr>
            <w:tcW w:w="5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60601</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626-960-8032</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STORE, LLC</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COVINA</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2805</w:t>
            </w:r>
          </w:p>
        </w:tc>
        <w:tc>
          <w:tcPr>
            <w:tcW w:w="1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MANAGEMENT, LLC</w:t>
            </w:r>
          </w:p>
        </w:tc>
        <w:tc>
          <w:tcPr>
            <w:tcW w:w="102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DRIVE</w:t>
            </w: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9928</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THE SHOPPES AT</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24600 KATY FWY,</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KATY</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TX</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77494</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MEDISTAR PARKWEST JV, LTD</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CONNECTED</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2525 MCKINNON</w:t>
            </w:r>
          </w:p>
        </w:tc>
        <w:tc>
          <w:tcPr>
            <w:tcW w:w="80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DALLAS</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TX</w:t>
            </w:r>
          </w:p>
        </w:tc>
        <w:tc>
          <w:tcPr>
            <w:tcW w:w="5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75201</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512-485-0793</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PARKWEST</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STE 700</w:t>
            </w: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DEVELOPMENT SERVICES</w:t>
            </w: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STREET, SUITE 700</w:t>
            </w: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9929</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3220 EAST 53RD</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DAVENPORT</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IA</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52807-</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KGRD GREENBAY,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1805 STATE STREET</w:t>
            </w:r>
          </w:p>
        </w:tc>
        <w:tc>
          <w:tcPr>
            <w:tcW w:w="80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BETTENDORF</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IA</w:t>
            </w:r>
          </w:p>
        </w:tc>
        <w:tc>
          <w:tcPr>
            <w:tcW w:w="5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52722</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563-355-2022</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STREET</w:t>
            </w: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3018</w:t>
            </w: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9930</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ALDERWOOD</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18920</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LYNNWOOD</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WA</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98036</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ROSEN INVESTMENT CO., HOLDINGS</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ROSEN PROPERTIES</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w:t>
            </w:r>
          </w:p>
        </w:tc>
        <w:tc>
          <w:tcPr>
            <w:tcW w:w="8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P.O.BOX:5003</w:t>
            </w: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BELLEVUE</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WA</w:t>
            </w:r>
          </w:p>
        </w:tc>
        <w:tc>
          <w:tcPr>
            <w:tcW w:w="5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98009</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425-454-6611</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EAST SHOPPING</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ALDERWOOD</w:t>
            </w: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LLC</w:t>
            </w:r>
          </w:p>
        </w:tc>
        <w:tc>
          <w:tcPr>
            <w:tcW w:w="102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right w:val="single" w:sz="8" w:color="auto"/>
            </w:tcBorders>
          </w:tcPr>
          <w:p>
            <w:pPr>
              <w:jc w:val="right"/>
              <w:ind w:right="44"/>
              <w:spacing w:after="0" w:line="71" w:lineRule="exact"/>
              <w:rPr>
                <w:sz w:val="20"/>
                <w:szCs w:val="20"/>
                <w:color w:val="auto"/>
              </w:rPr>
            </w:pPr>
            <w:r>
              <w:rPr>
                <w:rFonts w:ascii="Arial" w:cs="Arial" w:eastAsia="Arial" w:hAnsi="Arial"/>
                <w:sz w:val="7"/>
                <w:szCs w:val="7"/>
                <w:color w:val="auto"/>
              </w:rPr>
              <w:t>9931</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STATION PARK</w:t>
            </w:r>
          </w:p>
        </w:tc>
        <w:tc>
          <w:tcPr>
            <w:tcW w:w="78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146 N CENTRAL</w:t>
            </w:r>
          </w:p>
        </w:tc>
        <w:tc>
          <w:tcPr>
            <w:tcW w:w="78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FARMINGTON</w:t>
            </w:r>
          </w:p>
        </w:tc>
        <w:tc>
          <w:tcPr>
            <w:tcW w:w="300" w:type="dxa"/>
            <w:vAlign w:val="bottom"/>
            <w:tcBorders>
              <w:right w:val="single" w:sz="8" w:color="auto"/>
            </w:tcBorders>
          </w:tcPr>
          <w:p>
            <w:pPr>
              <w:ind w:left="60"/>
              <w:spacing w:after="0" w:line="71" w:lineRule="exact"/>
              <w:rPr>
                <w:sz w:val="20"/>
                <w:szCs w:val="20"/>
                <w:color w:val="auto"/>
              </w:rPr>
            </w:pPr>
            <w:r>
              <w:rPr>
                <w:rFonts w:ascii="Arial" w:cs="Arial" w:eastAsia="Arial" w:hAnsi="Arial"/>
                <w:sz w:val="7"/>
                <w:szCs w:val="7"/>
                <w:color w:val="auto"/>
              </w:rPr>
              <w:t>UT</w:t>
            </w:r>
          </w:p>
        </w:tc>
        <w:tc>
          <w:tcPr>
            <w:tcW w:w="360" w:type="dxa"/>
            <w:vAlign w:val="bottom"/>
            <w:tcBorders>
              <w:right w:val="single" w:sz="8" w:color="auto"/>
            </w:tcBorders>
          </w:tcPr>
          <w:p>
            <w:pPr>
              <w:ind w:left="80"/>
              <w:spacing w:after="0" w:line="71" w:lineRule="exact"/>
              <w:rPr>
                <w:sz w:val="20"/>
                <w:szCs w:val="20"/>
                <w:color w:val="auto"/>
              </w:rPr>
            </w:pPr>
            <w:r>
              <w:rPr>
                <w:rFonts w:ascii="Arial" w:cs="Arial" w:eastAsia="Arial" w:hAnsi="Arial"/>
                <w:sz w:val="7"/>
                <w:szCs w:val="7"/>
                <w:color w:val="auto"/>
              </w:rPr>
              <w:t>84025-</w:t>
            </w:r>
          </w:p>
        </w:tc>
        <w:tc>
          <w:tcPr>
            <w:tcW w:w="14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STATION PARK CENTERCAL,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CENTERCAL PROPERTIES,</w:t>
            </w:r>
          </w:p>
        </w:tc>
        <w:tc>
          <w:tcPr>
            <w:tcW w:w="78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1600 EAST</w:t>
            </w:r>
          </w:p>
        </w:tc>
        <w:tc>
          <w:tcPr>
            <w:tcW w:w="80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EL SEGUNDO</w:t>
            </w:r>
          </w:p>
        </w:tc>
        <w:tc>
          <w:tcPr>
            <w:tcW w:w="26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CA</w:t>
            </w:r>
          </w:p>
        </w:tc>
        <w:tc>
          <w:tcPr>
            <w:tcW w:w="500" w:type="dxa"/>
            <w:vAlign w:val="bottom"/>
            <w:tcBorders>
              <w:right w:val="single" w:sz="8" w:color="auto"/>
            </w:tcBorders>
          </w:tcPr>
          <w:p>
            <w:pPr>
              <w:spacing w:after="0" w:line="71" w:lineRule="exact"/>
              <w:rPr>
                <w:sz w:val="20"/>
                <w:szCs w:val="20"/>
                <w:color w:val="auto"/>
              </w:rPr>
            </w:pPr>
            <w:r>
              <w:rPr>
                <w:rFonts w:ascii="Arial" w:cs="Arial" w:eastAsia="Arial" w:hAnsi="Arial"/>
                <w:sz w:val="7"/>
                <w:szCs w:val="7"/>
                <w:color w:val="auto"/>
              </w:rPr>
              <w:t>90245</w:t>
            </w:r>
          </w:p>
        </w:tc>
        <w:tc>
          <w:tcPr>
            <w:tcW w:w="740" w:type="dxa"/>
            <w:vAlign w:val="bottom"/>
            <w:tcBorders>
              <w:right w:val="single" w:sz="8" w:color="auto"/>
            </w:tcBorders>
          </w:tcPr>
          <w:p>
            <w:pPr>
              <w:ind w:left="20"/>
              <w:spacing w:after="0" w:line="71" w:lineRule="exact"/>
              <w:rPr>
                <w:sz w:val="20"/>
                <w:szCs w:val="20"/>
                <w:color w:val="auto"/>
              </w:rPr>
            </w:pPr>
            <w:r>
              <w:rPr>
                <w:rFonts w:ascii="Arial" w:cs="Arial" w:eastAsia="Arial" w:hAnsi="Arial"/>
                <w:sz w:val="7"/>
                <w:szCs w:val="7"/>
                <w:color w:val="auto"/>
              </w:rPr>
              <w:t>310-563-6900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STORE, LLC</w:t>
            </w: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7"/>
                <w:szCs w:val="7"/>
                <w:color w:val="auto"/>
              </w:rPr>
              <w:t>SHOPPING</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AVE</w:t>
            </w:r>
          </w:p>
        </w:tc>
        <w:tc>
          <w:tcPr>
            <w:tcW w:w="78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7"/>
                <w:szCs w:val="7"/>
                <w:color w:val="auto"/>
              </w:rPr>
              <w:t>4743</w:t>
            </w:r>
          </w:p>
        </w:tc>
        <w:tc>
          <w:tcPr>
            <w:tcW w:w="14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LLC</w:t>
            </w: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7"/>
                <w:szCs w:val="7"/>
                <w:color w:val="auto"/>
              </w:rPr>
              <w:t>FRANKLIN AVE</w:t>
            </w:r>
          </w:p>
        </w:tc>
        <w:tc>
          <w:tcPr>
            <w:tcW w:w="8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3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20" w:right="179" w:bottom="1440" w:gutter="0" w:footer="0" w:header="0"/>
        </w:sectPr>
      </w:pPr>
    </w:p>
    <w:bookmarkStart w:id="166" w:name="page167"/>
    <w:bookmarkEnd w:id="166"/>
    <w:tbl>
      <w:tblPr>
        <w:tblLayout w:type="fixed"/>
        <w:tblInd w:w="10" w:type="dxa"/>
        <w:tblCellMar>
          <w:top w:w="0" w:type="dxa"/>
          <w:left w:w="0" w:type="dxa"/>
          <w:bottom w:w="0" w:type="dxa"/>
          <w:right w:w="0" w:type="dxa"/>
        </w:tblCellMar>
      </w:tblPr>
      <w:tr>
        <w:trPr>
          <w:trHeight w:val="90"/>
        </w:trPr>
        <w:tc>
          <w:tcPr>
            <w:tcW w:w="360" w:type="dxa"/>
            <w:vAlign w:val="bottom"/>
            <w:tcBorders>
              <w:top w:val="single" w:sz="8" w:color="auto"/>
              <w:left w:val="single" w:sz="8" w:color="auto"/>
              <w:right w:val="single" w:sz="8" w:color="auto"/>
            </w:tcBorders>
          </w:tcPr>
          <w:p>
            <w:pPr>
              <w:spacing w:after="0"/>
              <w:rPr>
                <w:sz w:val="7"/>
                <w:szCs w:val="7"/>
                <w:color w:val="auto"/>
              </w:rPr>
            </w:pPr>
          </w:p>
        </w:tc>
        <w:tc>
          <w:tcPr>
            <w:tcW w:w="780" w:type="dxa"/>
            <w:vAlign w:val="bottom"/>
            <w:tcBorders>
              <w:top w:val="single" w:sz="8" w:color="auto"/>
              <w:right w:val="single" w:sz="8" w:color="auto"/>
            </w:tcBorders>
          </w:tcPr>
          <w:p>
            <w:pPr>
              <w:spacing w:after="0"/>
              <w:rPr>
                <w:sz w:val="7"/>
                <w:szCs w:val="7"/>
                <w:color w:val="auto"/>
              </w:rPr>
            </w:pPr>
          </w:p>
        </w:tc>
        <w:tc>
          <w:tcPr>
            <w:tcW w:w="780" w:type="dxa"/>
            <w:vAlign w:val="bottom"/>
            <w:tcBorders>
              <w:top w:val="single" w:sz="8" w:color="auto"/>
              <w:right w:val="single" w:sz="8" w:color="auto"/>
            </w:tcBorders>
          </w:tcPr>
          <w:p>
            <w:pPr>
              <w:spacing w:after="0"/>
              <w:rPr>
                <w:sz w:val="7"/>
                <w:szCs w:val="7"/>
                <w:color w:val="auto"/>
              </w:rPr>
            </w:pPr>
          </w:p>
        </w:tc>
        <w:tc>
          <w:tcPr>
            <w:tcW w:w="780" w:type="dxa"/>
            <w:vAlign w:val="bottom"/>
            <w:tcBorders>
              <w:top w:val="single" w:sz="8" w:color="auto"/>
              <w:right w:val="single" w:sz="8" w:color="auto"/>
            </w:tcBorders>
          </w:tcPr>
          <w:p>
            <w:pPr>
              <w:spacing w:after="0"/>
              <w:rPr>
                <w:sz w:val="7"/>
                <w:szCs w:val="7"/>
                <w:color w:val="auto"/>
              </w:rPr>
            </w:pPr>
          </w:p>
        </w:tc>
        <w:tc>
          <w:tcPr>
            <w:tcW w:w="780" w:type="dxa"/>
            <w:vAlign w:val="bottom"/>
            <w:tcBorders>
              <w:top w:val="single" w:sz="8" w:color="auto"/>
              <w:right w:val="single" w:sz="8" w:color="auto"/>
            </w:tcBorders>
          </w:tcPr>
          <w:p>
            <w:pPr>
              <w:spacing w:after="0"/>
              <w:rPr>
                <w:sz w:val="7"/>
                <w:szCs w:val="7"/>
                <w:color w:val="auto"/>
              </w:rPr>
            </w:pPr>
          </w:p>
        </w:tc>
        <w:tc>
          <w:tcPr>
            <w:tcW w:w="300" w:type="dxa"/>
            <w:vAlign w:val="bottom"/>
            <w:tcBorders>
              <w:top w:val="single" w:sz="8" w:color="auto"/>
              <w:right w:val="single" w:sz="8" w:color="auto"/>
            </w:tcBorders>
          </w:tcPr>
          <w:p>
            <w:pPr>
              <w:spacing w:after="0"/>
              <w:rPr>
                <w:sz w:val="7"/>
                <w:szCs w:val="7"/>
                <w:color w:val="auto"/>
              </w:rPr>
            </w:pPr>
          </w:p>
        </w:tc>
        <w:tc>
          <w:tcPr>
            <w:tcW w:w="3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7"/>
                <w:szCs w:val="7"/>
                <w:b w:val="1"/>
                <w:bCs w:val="1"/>
                <w:color w:val="auto"/>
              </w:rPr>
              <w:t>Store</w:t>
            </w:r>
          </w:p>
        </w:tc>
        <w:tc>
          <w:tcPr>
            <w:tcW w:w="1440" w:type="dxa"/>
            <w:vAlign w:val="bottom"/>
            <w:tcBorders>
              <w:top w:val="single" w:sz="8" w:color="auto"/>
              <w:right w:val="single" w:sz="8" w:color="auto"/>
            </w:tcBorders>
          </w:tcPr>
          <w:p>
            <w:pPr>
              <w:spacing w:after="0"/>
              <w:rPr>
                <w:sz w:val="7"/>
                <w:szCs w:val="7"/>
                <w:color w:val="auto"/>
              </w:rPr>
            </w:pPr>
          </w:p>
        </w:tc>
        <w:tc>
          <w:tcPr>
            <w:tcW w:w="1020" w:type="dxa"/>
            <w:vAlign w:val="bottom"/>
            <w:tcBorders>
              <w:top w:val="single" w:sz="8" w:color="auto"/>
              <w:right w:val="single" w:sz="8" w:color="auto"/>
            </w:tcBorders>
          </w:tcPr>
          <w:p>
            <w:pPr>
              <w:spacing w:after="0"/>
              <w:rPr>
                <w:sz w:val="7"/>
                <w:szCs w:val="7"/>
                <w:color w:val="auto"/>
              </w:rPr>
            </w:pPr>
          </w:p>
        </w:tc>
        <w:tc>
          <w:tcPr>
            <w:tcW w:w="1040" w:type="dxa"/>
            <w:vAlign w:val="bottom"/>
            <w:tcBorders>
              <w:top w:val="single" w:sz="8" w:color="auto"/>
              <w:right w:val="single" w:sz="8" w:color="auto"/>
            </w:tcBorders>
          </w:tcPr>
          <w:p>
            <w:pPr>
              <w:spacing w:after="0"/>
              <w:rPr>
                <w:sz w:val="7"/>
                <w:szCs w:val="7"/>
                <w:color w:val="auto"/>
              </w:rPr>
            </w:pPr>
          </w:p>
        </w:tc>
        <w:tc>
          <w:tcPr>
            <w:tcW w:w="760" w:type="dxa"/>
            <w:vAlign w:val="bottom"/>
            <w:tcBorders>
              <w:top w:val="single" w:sz="8" w:color="auto"/>
              <w:left w:val="single" w:sz="8" w:color="auto"/>
              <w:right w:val="single" w:sz="8" w:color="auto"/>
            </w:tcBorders>
          </w:tcPr>
          <w:p>
            <w:pPr>
              <w:spacing w:after="0"/>
              <w:rPr>
                <w:sz w:val="7"/>
                <w:szCs w:val="7"/>
                <w:color w:val="auto"/>
              </w:rPr>
            </w:pPr>
          </w:p>
        </w:tc>
        <w:tc>
          <w:tcPr>
            <w:tcW w:w="820" w:type="dxa"/>
            <w:vAlign w:val="bottom"/>
            <w:tcBorders>
              <w:top w:val="single" w:sz="8" w:color="auto"/>
              <w:right w:val="single" w:sz="8" w:color="auto"/>
            </w:tcBorders>
          </w:tcPr>
          <w:p>
            <w:pPr>
              <w:spacing w:after="0"/>
              <w:rPr>
                <w:sz w:val="7"/>
                <w:szCs w:val="7"/>
                <w:color w:val="auto"/>
              </w:rPr>
            </w:pPr>
          </w:p>
        </w:tc>
        <w:tc>
          <w:tcPr>
            <w:tcW w:w="760" w:type="dxa"/>
            <w:vAlign w:val="bottom"/>
            <w:tcBorders>
              <w:top w:val="single" w:sz="8" w:color="auto"/>
              <w:right w:val="single" w:sz="8" w:color="auto"/>
            </w:tcBorders>
          </w:tcPr>
          <w:p>
            <w:pPr>
              <w:spacing w:after="0"/>
              <w:rPr>
                <w:sz w:val="7"/>
                <w:szCs w:val="7"/>
                <w:color w:val="auto"/>
              </w:rPr>
            </w:pPr>
          </w:p>
        </w:tc>
        <w:tc>
          <w:tcPr>
            <w:tcW w:w="26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w:t>
            </w:r>
          </w:p>
        </w:tc>
        <w:tc>
          <w:tcPr>
            <w:tcW w:w="500" w:type="dxa"/>
            <w:vAlign w:val="bottom"/>
            <w:tcBorders>
              <w:top w:val="single" w:sz="8" w:color="auto"/>
              <w:right w:val="single" w:sz="8" w:color="auto"/>
            </w:tcBorders>
          </w:tcPr>
          <w:p>
            <w:pPr>
              <w:spacing w:after="0"/>
              <w:rPr>
                <w:sz w:val="7"/>
                <w:szCs w:val="7"/>
                <w:color w:val="auto"/>
              </w:rPr>
            </w:pPr>
          </w:p>
        </w:tc>
        <w:tc>
          <w:tcPr>
            <w:tcW w:w="74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Phone Number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7"/>
                <w:szCs w:val="7"/>
                <w:b w:val="1"/>
                <w:bCs w:val="1"/>
                <w:color w:val="auto"/>
              </w:rPr>
              <w:t>Store</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b w:val="1"/>
                <w:bCs w:val="1"/>
                <w:color w:val="auto"/>
              </w:rPr>
              <w:t>Store Legal Entity</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w w:val="97"/>
              </w:rPr>
              <w:t>Store Street Address</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w w:val="97"/>
              </w:rPr>
              <w:t>Store Street Address</w:t>
            </w:r>
          </w:p>
        </w:tc>
        <w:tc>
          <w:tcPr>
            <w:tcW w:w="78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rPr>
              <w:t>Store</w:t>
            </w:r>
          </w:p>
        </w:tc>
        <w:tc>
          <w:tcPr>
            <w:tcW w:w="360" w:type="dxa"/>
            <w:vAlign w:val="bottom"/>
            <w:tcBorders>
              <w:right w:val="single" w:sz="8" w:color="auto"/>
            </w:tcBorders>
          </w:tcPr>
          <w:p>
            <w:pPr>
              <w:ind w:left="80"/>
              <w:spacing w:after="0"/>
              <w:rPr>
                <w:sz w:val="20"/>
                <w:szCs w:val="20"/>
                <w:color w:val="auto"/>
              </w:rPr>
            </w:pPr>
            <w:r>
              <w:rPr>
                <w:rFonts w:ascii="Arial" w:cs="Arial" w:eastAsia="Arial" w:hAnsi="Arial"/>
                <w:sz w:val="7"/>
                <w:szCs w:val="7"/>
                <w:b w:val="1"/>
                <w:bCs w:val="1"/>
                <w:color w:val="auto"/>
              </w:rPr>
              <w:t>Postal</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b w:val="1"/>
                <w:bCs w:val="1"/>
                <w:color w:val="auto"/>
              </w:rPr>
              <w:t>LL Name</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Attention To</w:t>
            </w: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In Care Of</w:t>
            </w:r>
          </w:p>
        </w:tc>
        <w:tc>
          <w:tcPr>
            <w:tcW w:w="760" w:type="dxa"/>
            <w:vAlign w:val="bottom"/>
            <w:tcBorders>
              <w:left w:val="single" w:sz="8" w:color="auto"/>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Street 1</w:t>
            </w:r>
          </w:p>
        </w:tc>
        <w:tc>
          <w:tcPr>
            <w:tcW w:w="8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Street 2</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City</w:t>
            </w:r>
          </w:p>
        </w:tc>
        <w:tc>
          <w:tcPr>
            <w:tcW w:w="260" w:type="dxa"/>
            <w:vAlign w:val="bottom"/>
            <w:tcBorders>
              <w:right w:val="single" w:sz="8" w:color="auto"/>
            </w:tcBorders>
            <w:vMerge w:val="continue"/>
          </w:tcPr>
          <w:p>
            <w:pPr>
              <w:spacing w:after="0"/>
              <w:rPr>
                <w:sz w:val="7"/>
                <w:szCs w:val="7"/>
                <w:color w:val="auto"/>
              </w:rPr>
            </w:pP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LL Zip</w:t>
            </w:r>
          </w:p>
        </w:tc>
        <w:tc>
          <w:tcPr>
            <w:tcW w:w="7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00" w:type="dxa"/>
            <w:vAlign w:val="bottom"/>
            <w:tcBorders>
              <w:right w:val="single" w:sz="8" w:color="auto"/>
            </w:tcBorders>
            <w:vMerge w:val="continue"/>
          </w:tcPr>
          <w:p>
            <w:pPr>
              <w:spacing w:after="0"/>
              <w:rPr>
                <w:sz w:val="3"/>
                <w:szCs w:val="3"/>
                <w:color w:val="auto"/>
              </w:rPr>
            </w:pPr>
          </w:p>
        </w:tc>
        <w:tc>
          <w:tcPr>
            <w:tcW w:w="36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b w:val="1"/>
                <w:bCs w:val="1"/>
                <w:color w:val="auto"/>
              </w:rPr>
              <w:t>Code</w:t>
            </w: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vMerge w:val="continue"/>
          </w:tcPr>
          <w:p>
            <w:pPr>
              <w:spacing w:after="0"/>
              <w:rPr>
                <w:sz w:val="3"/>
                <w:szCs w:val="3"/>
                <w:color w:val="auto"/>
              </w:rPr>
            </w:pPr>
          </w:p>
        </w:tc>
        <w:tc>
          <w:tcPr>
            <w:tcW w:w="760" w:type="dxa"/>
            <w:vAlign w:val="bottom"/>
            <w:tcBorders>
              <w:left w:val="single" w:sz="8" w:color="auto"/>
              <w:right w:val="single" w:sz="8" w:color="auto"/>
            </w:tcBorders>
            <w:vMerge w:val="continue"/>
          </w:tcPr>
          <w:p>
            <w:pPr>
              <w:spacing w:after="0"/>
              <w:rPr>
                <w:sz w:val="3"/>
                <w:szCs w:val="3"/>
                <w:color w:val="auto"/>
              </w:rPr>
            </w:pPr>
          </w:p>
        </w:tc>
        <w:tc>
          <w:tcPr>
            <w:tcW w:w="820" w:type="dxa"/>
            <w:vAlign w:val="bottom"/>
            <w:tcBorders>
              <w:right w:val="single" w:sz="8" w:color="auto"/>
            </w:tcBorders>
            <w:vMerge w:val="continue"/>
          </w:tcPr>
          <w:p>
            <w:pPr>
              <w:spacing w:after="0"/>
              <w:rPr>
                <w:sz w:val="3"/>
                <w:szCs w:val="3"/>
                <w:color w:val="auto"/>
              </w:rPr>
            </w:pPr>
          </w:p>
        </w:tc>
        <w:tc>
          <w:tcPr>
            <w:tcW w:w="760" w:type="dxa"/>
            <w:vAlign w:val="bottom"/>
            <w:tcBorders>
              <w:right w:val="single" w:sz="8" w:color="auto"/>
            </w:tcBorders>
            <w:vMerge w:val="continue"/>
          </w:tcPr>
          <w:p>
            <w:pPr>
              <w:spacing w:after="0"/>
              <w:rPr>
                <w:sz w:val="3"/>
                <w:szCs w:val="3"/>
                <w:color w:val="auto"/>
              </w:rPr>
            </w:pPr>
          </w:p>
        </w:tc>
        <w:tc>
          <w:tcPr>
            <w:tcW w:w="2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b w:val="1"/>
                <w:bCs w:val="1"/>
                <w:color w:val="auto"/>
              </w:rPr>
              <w:t>State</w:t>
            </w:r>
          </w:p>
        </w:tc>
        <w:tc>
          <w:tcPr>
            <w:tcW w:w="5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7"/>
        </w:trPr>
        <w:tc>
          <w:tcPr>
            <w:tcW w:w="3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7"/>
                <w:szCs w:val="7"/>
                <w:b w:val="1"/>
                <w:bCs w:val="1"/>
                <w:color w:val="auto"/>
              </w:rPr>
              <w:t>#</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b w:val="1"/>
                <w:bCs w:val="1"/>
                <w:color w:val="auto"/>
              </w:rPr>
              <w:t>Name</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rPr>
              <w:t>#1</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rPr>
              <w:t>#2</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rPr>
              <w:t>Store City</w:t>
            </w:r>
          </w:p>
        </w:tc>
        <w:tc>
          <w:tcPr>
            <w:tcW w:w="30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b w:val="1"/>
                <w:bCs w:val="1"/>
                <w:color w:val="auto"/>
              </w:rPr>
              <w:t>State</w:t>
            </w:r>
          </w:p>
        </w:tc>
        <w:tc>
          <w:tcPr>
            <w:tcW w:w="360" w:type="dxa"/>
            <w:vAlign w:val="bottom"/>
            <w:tcBorders>
              <w:right w:val="single" w:sz="8" w:color="auto"/>
            </w:tcBorders>
            <w:vMerge w:val="continue"/>
          </w:tcPr>
          <w:p>
            <w:pPr>
              <w:spacing w:after="0"/>
              <w:rPr>
                <w:sz w:val="4"/>
                <w:szCs w:val="4"/>
                <w:color w:val="auto"/>
              </w:rPr>
            </w:pPr>
          </w:p>
        </w:tc>
        <w:tc>
          <w:tcPr>
            <w:tcW w:w="1440" w:type="dxa"/>
            <w:vAlign w:val="bottom"/>
            <w:tcBorders>
              <w:right w:val="single" w:sz="8" w:color="auto"/>
            </w:tcBorders>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760" w:type="dxa"/>
            <w:vAlign w:val="bottom"/>
            <w:tcBorders>
              <w:left w:val="single" w:sz="8" w:color="auto"/>
              <w:right w:val="single" w:sz="8" w:color="auto"/>
            </w:tcBorders>
          </w:tcPr>
          <w:p>
            <w:pPr>
              <w:spacing w:after="0"/>
              <w:rPr>
                <w:sz w:val="4"/>
                <w:szCs w:val="4"/>
                <w:color w:val="auto"/>
              </w:rPr>
            </w:pPr>
          </w:p>
        </w:tc>
        <w:tc>
          <w:tcPr>
            <w:tcW w:w="820" w:type="dxa"/>
            <w:vAlign w:val="bottom"/>
            <w:tcBorders>
              <w:right w:val="single" w:sz="8" w:color="auto"/>
            </w:tcBorders>
          </w:tcPr>
          <w:p>
            <w:pPr>
              <w:spacing w:after="0"/>
              <w:rPr>
                <w:sz w:val="4"/>
                <w:szCs w:val="4"/>
                <w:color w:val="auto"/>
              </w:rPr>
            </w:pPr>
          </w:p>
        </w:tc>
        <w:tc>
          <w:tcPr>
            <w:tcW w:w="760" w:type="dxa"/>
            <w:vAlign w:val="bottom"/>
            <w:tcBorders>
              <w:right w:val="single" w:sz="8" w:color="auto"/>
            </w:tcBorders>
          </w:tcPr>
          <w:p>
            <w:pPr>
              <w:spacing w:after="0"/>
              <w:rPr>
                <w:sz w:val="4"/>
                <w:szCs w:val="4"/>
                <w:color w:val="auto"/>
              </w:rPr>
            </w:pPr>
          </w:p>
        </w:tc>
        <w:tc>
          <w:tcPr>
            <w:tcW w:w="26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780" w:type="dxa"/>
            <w:vAlign w:val="bottom"/>
            <w:tcBorders>
              <w:bottom w:val="single" w:sz="8" w:color="auto"/>
              <w:right w:val="single" w:sz="8" w:color="auto"/>
            </w:tcBorders>
            <w:vMerge w:val="continue"/>
          </w:tcPr>
          <w:p>
            <w:pPr>
              <w:spacing w:after="0"/>
              <w:rPr>
                <w:sz w:val="5"/>
                <w:szCs w:val="5"/>
                <w:color w:val="auto"/>
              </w:rPr>
            </w:pPr>
          </w:p>
        </w:tc>
        <w:tc>
          <w:tcPr>
            <w:tcW w:w="780" w:type="dxa"/>
            <w:vAlign w:val="bottom"/>
            <w:tcBorders>
              <w:bottom w:val="single" w:sz="8" w:color="auto"/>
              <w:right w:val="single" w:sz="8" w:color="auto"/>
            </w:tcBorders>
            <w:vMerge w:val="continue"/>
          </w:tcPr>
          <w:p>
            <w:pPr>
              <w:spacing w:after="0"/>
              <w:rPr>
                <w:sz w:val="5"/>
                <w:szCs w:val="5"/>
                <w:color w:val="auto"/>
              </w:rPr>
            </w:pPr>
          </w:p>
        </w:tc>
        <w:tc>
          <w:tcPr>
            <w:tcW w:w="780" w:type="dxa"/>
            <w:vAlign w:val="bottom"/>
            <w:tcBorders>
              <w:bottom w:val="single" w:sz="8" w:color="auto"/>
              <w:right w:val="single" w:sz="8" w:color="auto"/>
            </w:tcBorders>
            <w:vMerge w:val="continue"/>
          </w:tcPr>
          <w:p>
            <w:pPr>
              <w:spacing w:after="0"/>
              <w:rPr>
                <w:sz w:val="5"/>
                <w:szCs w:val="5"/>
                <w:color w:val="auto"/>
              </w:rPr>
            </w:pPr>
          </w:p>
        </w:tc>
        <w:tc>
          <w:tcPr>
            <w:tcW w:w="780" w:type="dxa"/>
            <w:vAlign w:val="bottom"/>
            <w:tcBorders>
              <w:bottom w:val="single" w:sz="8" w:color="auto"/>
              <w:right w:val="single" w:sz="8" w:color="auto"/>
            </w:tcBorders>
            <w:vMerge w:val="continue"/>
          </w:tcPr>
          <w:p>
            <w:pPr>
              <w:spacing w:after="0"/>
              <w:rPr>
                <w:sz w:val="5"/>
                <w:szCs w:val="5"/>
                <w:color w:val="auto"/>
              </w:rPr>
            </w:pPr>
          </w:p>
        </w:tc>
        <w:tc>
          <w:tcPr>
            <w:tcW w:w="300" w:type="dxa"/>
            <w:vAlign w:val="bottom"/>
            <w:tcBorders>
              <w:bottom w:val="single" w:sz="8" w:color="auto"/>
              <w:right w:val="single" w:sz="8" w:color="auto"/>
            </w:tcBorders>
            <w:vMerge w:val="continue"/>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76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260" w:type="dxa"/>
            <w:vAlign w:val="bottom"/>
            <w:tcBorders>
              <w:bottom w:val="single" w:sz="8" w:color="auto"/>
              <w:right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360" w:type="dxa"/>
            <w:vAlign w:val="bottom"/>
            <w:tcBorders>
              <w:left w:val="single" w:sz="8" w:color="auto"/>
              <w:right w:val="single" w:sz="8" w:color="auto"/>
            </w:tcBorders>
          </w:tcPr>
          <w:p>
            <w:pPr>
              <w:jc w:val="right"/>
              <w:ind w:right="44"/>
              <w:spacing w:after="0"/>
              <w:rPr>
                <w:sz w:val="20"/>
                <w:szCs w:val="20"/>
                <w:color w:val="auto"/>
              </w:rPr>
            </w:pPr>
            <w:r>
              <w:rPr>
                <w:rFonts w:ascii="Arial" w:cs="Arial" w:eastAsia="Arial" w:hAnsi="Arial"/>
                <w:sz w:val="7"/>
                <w:szCs w:val="7"/>
                <w:color w:val="auto"/>
              </w:rPr>
              <w:t>9932</w:t>
            </w:r>
          </w:p>
        </w:tc>
        <w:tc>
          <w:tcPr>
            <w:tcW w:w="780" w:type="dxa"/>
            <w:vAlign w:val="bottom"/>
            <w:tcBorders>
              <w:right w:val="single" w:sz="8" w:color="auto"/>
            </w:tcBorders>
          </w:tcPr>
          <w:p>
            <w:pPr>
              <w:ind w:left="80"/>
              <w:spacing w:after="0"/>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rPr>
                <w:sz w:val="20"/>
                <w:szCs w:val="20"/>
                <w:color w:val="auto"/>
              </w:rPr>
            </w:pPr>
            <w:r>
              <w:rPr>
                <w:rFonts w:ascii="Arial" w:cs="Arial" w:eastAsia="Arial" w:hAnsi="Arial"/>
                <w:sz w:val="7"/>
                <w:szCs w:val="7"/>
                <w:color w:val="auto"/>
              </w:rPr>
              <w:t>MACOMB MALL</w:t>
            </w:r>
          </w:p>
        </w:tc>
        <w:tc>
          <w:tcPr>
            <w:tcW w:w="780" w:type="dxa"/>
            <w:vAlign w:val="bottom"/>
            <w:tcBorders>
              <w:right w:val="single" w:sz="8" w:color="auto"/>
            </w:tcBorders>
          </w:tcPr>
          <w:p>
            <w:pPr>
              <w:ind w:left="80"/>
              <w:spacing w:after="0"/>
              <w:rPr>
                <w:sz w:val="20"/>
                <w:szCs w:val="20"/>
                <w:color w:val="auto"/>
              </w:rPr>
            </w:pPr>
            <w:r>
              <w:rPr>
                <w:rFonts w:ascii="Arial" w:cs="Arial" w:eastAsia="Arial" w:hAnsi="Arial"/>
                <w:sz w:val="7"/>
                <w:szCs w:val="7"/>
                <w:color w:val="auto"/>
              </w:rPr>
              <w:t>32415 GRATIOT</w:t>
            </w:r>
          </w:p>
        </w:tc>
        <w:tc>
          <w:tcPr>
            <w:tcW w:w="780" w:type="dxa"/>
            <w:vAlign w:val="bottom"/>
            <w:tcBorders>
              <w:right w:val="single" w:sz="8" w:color="auto"/>
            </w:tcBorders>
          </w:tcPr>
          <w:p>
            <w:pPr>
              <w:ind w:left="60"/>
              <w:spacing w:after="0"/>
              <w:rPr>
                <w:sz w:val="20"/>
                <w:szCs w:val="20"/>
                <w:color w:val="auto"/>
              </w:rPr>
            </w:pPr>
            <w:r>
              <w:rPr>
                <w:rFonts w:ascii="Arial" w:cs="Arial" w:eastAsia="Arial" w:hAnsi="Arial"/>
                <w:sz w:val="7"/>
                <w:szCs w:val="7"/>
                <w:color w:val="auto"/>
              </w:rPr>
              <w:t>ROSEVILLE</w:t>
            </w:r>
          </w:p>
        </w:tc>
        <w:tc>
          <w:tcPr>
            <w:tcW w:w="300" w:type="dxa"/>
            <w:vAlign w:val="bottom"/>
            <w:tcBorders>
              <w:right w:val="single" w:sz="8" w:color="auto"/>
            </w:tcBorders>
          </w:tcPr>
          <w:p>
            <w:pPr>
              <w:ind w:left="60"/>
              <w:spacing w:after="0"/>
              <w:rPr>
                <w:sz w:val="20"/>
                <w:szCs w:val="20"/>
                <w:color w:val="auto"/>
              </w:rPr>
            </w:pPr>
            <w:r>
              <w:rPr>
                <w:rFonts w:ascii="Arial" w:cs="Arial" w:eastAsia="Arial" w:hAnsi="Arial"/>
                <w:sz w:val="7"/>
                <w:szCs w:val="7"/>
                <w:color w:val="auto"/>
              </w:rPr>
              <w:t>MI</w:t>
            </w:r>
          </w:p>
        </w:tc>
        <w:tc>
          <w:tcPr>
            <w:tcW w:w="360" w:type="dxa"/>
            <w:vAlign w:val="bottom"/>
            <w:tcBorders>
              <w:right w:val="single" w:sz="8" w:color="auto"/>
            </w:tcBorders>
          </w:tcPr>
          <w:p>
            <w:pPr>
              <w:ind w:left="80"/>
              <w:spacing w:after="0"/>
              <w:rPr>
                <w:sz w:val="20"/>
                <w:szCs w:val="20"/>
                <w:color w:val="auto"/>
              </w:rPr>
            </w:pPr>
            <w:r>
              <w:rPr>
                <w:rFonts w:ascii="Arial" w:cs="Arial" w:eastAsia="Arial" w:hAnsi="Arial"/>
                <w:sz w:val="7"/>
                <w:szCs w:val="7"/>
                <w:color w:val="auto"/>
              </w:rPr>
              <w:t>48066-</w:t>
            </w:r>
          </w:p>
        </w:tc>
        <w:tc>
          <w:tcPr>
            <w:tcW w:w="1440" w:type="dxa"/>
            <w:vAlign w:val="bottom"/>
            <w:tcBorders>
              <w:right w:val="single" w:sz="8" w:color="auto"/>
            </w:tcBorders>
          </w:tcPr>
          <w:p>
            <w:pPr>
              <w:ind w:left="20"/>
              <w:spacing w:after="0"/>
              <w:rPr>
                <w:sz w:val="20"/>
                <w:szCs w:val="20"/>
                <w:color w:val="auto"/>
              </w:rPr>
            </w:pPr>
            <w:r>
              <w:rPr>
                <w:rFonts w:ascii="Arial" w:cs="Arial" w:eastAsia="Arial" w:hAnsi="Arial"/>
                <w:sz w:val="7"/>
                <w:szCs w:val="7"/>
                <w:color w:val="auto"/>
              </w:rPr>
              <w:t>MACOMB MALL PARTNERS, LLC d/b/a</w:t>
            </w:r>
          </w:p>
        </w:tc>
        <w:tc>
          <w:tcPr>
            <w:tcW w:w="1020" w:type="dxa"/>
            <w:vAlign w:val="bottom"/>
            <w:tcBorders>
              <w:right w:val="single" w:sz="8" w:color="auto"/>
            </w:tcBorders>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7"/>
                <w:szCs w:val="7"/>
                <w:color w:val="auto"/>
              </w:rPr>
              <w:t>701 EAST LAKE</w:t>
            </w:r>
          </w:p>
        </w:tc>
        <w:tc>
          <w:tcPr>
            <w:tcW w:w="8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SUITE 300</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WAYZATA</w:t>
            </w:r>
          </w:p>
        </w:tc>
        <w:tc>
          <w:tcPr>
            <w:tcW w:w="2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MN</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55391</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248-737-7110</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AVE #850</w:t>
            </w:r>
          </w:p>
        </w:tc>
        <w:tc>
          <w:tcPr>
            <w:tcW w:w="780" w:type="dxa"/>
            <w:vAlign w:val="bottom"/>
            <w:tcBorders>
              <w:right w:val="single" w:sz="8" w:color="auto"/>
            </w:tcBorders>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1156</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MACOMB CENTER PARTNERS LLC</w:t>
            </w: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STREET</w:t>
            </w:r>
          </w:p>
        </w:tc>
        <w:tc>
          <w:tcPr>
            <w:tcW w:w="820" w:type="dxa"/>
            <w:vAlign w:val="bottom"/>
            <w:tcBorders>
              <w:right w:val="single" w:sz="8" w:color="auto"/>
            </w:tcBorders>
            <w:vMerge w:val="continue"/>
          </w:tcPr>
          <w:p>
            <w:pPr>
              <w:spacing w:after="0"/>
              <w:rPr>
                <w:sz w:val="3"/>
                <w:szCs w:val="3"/>
                <w:color w:val="auto"/>
              </w:rPr>
            </w:pPr>
          </w:p>
        </w:tc>
        <w:tc>
          <w:tcPr>
            <w:tcW w:w="760" w:type="dxa"/>
            <w:vAlign w:val="bottom"/>
            <w:tcBorders>
              <w:right w:val="single" w:sz="8" w:color="auto"/>
            </w:tcBorders>
            <w:vMerge w:val="continue"/>
          </w:tcPr>
          <w:p>
            <w:pPr>
              <w:spacing w:after="0"/>
              <w:rPr>
                <w:sz w:val="3"/>
                <w:szCs w:val="3"/>
                <w:color w:val="auto"/>
              </w:rPr>
            </w:pPr>
          </w:p>
        </w:tc>
        <w:tc>
          <w:tcPr>
            <w:tcW w:w="26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vMerge w:val="continue"/>
          </w:tcPr>
          <w:p>
            <w:pPr>
              <w:spacing w:after="0"/>
              <w:rPr>
                <w:sz w:val="4"/>
                <w:szCs w:val="4"/>
                <w:color w:val="auto"/>
              </w:rPr>
            </w:pPr>
          </w:p>
        </w:tc>
        <w:tc>
          <w:tcPr>
            <w:tcW w:w="1440" w:type="dxa"/>
            <w:vAlign w:val="bottom"/>
            <w:tcBorders>
              <w:bottom w:val="single" w:sz="8" w:color="auto"/>
              <w:right w:val="single" w:sz="8" w:color="auto"/>
            </w:tcBorders>
            <w:vMerge w:val="continue"/>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360" w:type="dxa"/>
            <w:vAlign w:val="bottom"/>
            <w:tcBorders>
              <w:left w:val="single" w:sz="8" w:color="auto"/>
              <w:right w:val="single" w:sz="8" w:color="auto"/>
            </w:tcBorders>
          </w:tcPr>
          <w:p>
            <w:pPr>
              <w:jc w:val="right"/>
              <w:ind w:right="44"/>
              <w:spacing w:after="0"/>
              <w:rPr>
                <w:sz w:val="20"/>
                <w:szCs w:val="20"/>
                <w:color w:val="auto"/>
              </w:rPr>
            </w:pPr>
            <w:r>
              <w:rPr>
                <w:rFonts w:ascii="Arial" w:cs="Arial" w:eastAsia="Arial" w:hAnsi="Arial"/>
                <w:sz w:val="7"/>
                <w:szCs w:val="7"/>
                <w:color w:val="auto"/>
              </w:rPr>
              <w:t>9933</w:t>
            </w:r>
          </w:p>
        </w:tc>
        <w:tc>
          <w:tcPr>
            <w:tcW w:w="780" w:type="dxa"/>
            <w:vAlign w:val="bottom"/>
            <w:tcBorders>
              <w:right w:val="single" w:sz="8" w:color="auto"/>
            </w:tcBorders>
          </w:tcPr>
          <w:p>
            <w:pPr>
              <w:ind w:left="80"/>
              <w:spacing w:after="0"/>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rPr>
                <w:sz w:val="20"/>
                <w:szCs w:val="20"/>
                <w:color w:val="auto"/>
              </w:rPr>
            </w:pPr>
            <w:r>
              <w:rPr>
                <w:rFonts w:ascii="Arial" w:cs="Arial" w:eastAsia="Arial" w:hAnsi="Arial"/>
                <w:sz w:val="7"/>
                <w:szCs w:val="7"/>
                <w:color w:val="auto"/>
              </w:rPr>
              <w:t>CHRISTIANA</w:t>
            </w:r>
          </w:p>
        </w:tc>
        <w:tc>
          <w:tcPr>
            <w:tcW w:w="780" w:type="dxa"/>
            <w:vAlign w:val="bottom"/>
            <w:tcBorders>
              <w:right w:val="single" w:sz="8" w:color="auto"/>
            </w:tcBorders>
          </w:tcPr>
          <w:p>
            <w:pPr>
              <w:ind w:left="80"/>
              <w:spacing w:after="0"/>
              <w:rPr>
                <w:sz w:val="20"/>
                <w:szCs w:val="20"/>
                <w:color w:val="auto"/>
              </w:rPr>
            </w:pPr>
            <w:r>
              <w:rPr>
                <w:rFonts w:ascii="Arial" w:cs="Arial" w:eastAsia="Arial" w:hAnsi="Arial"/>
                <w:sz w:val="7"/>
                <w:szCs w:val="7"/>
                <w:color w:val="auto"/>
              </w:rPr>
              <w:t>3190 FASHION</w:t>
            </w:r>
          </w:p>
        </w:tc>
        <w:tc>
          <w:tcPr>
            <w:tcW w:w="780" w:type="dxa"/>
            <w:vAlign w:val="bottom"/>
            <w:tcBorders>
              <w:right w:val="single" w:sz="8" w:color="auto"/>
            </w:tcBorders>
          </w:tcPr>
          <w:p>
            <w:pPr>
              <w:ind w:left="60"/>
              <w:spacing w:after="0"/>
              <w:rPr>
                <w:sz w:val="20"/>
                <w:szCs w:val="20"/>
                <w:color w:val="auto"/>
              </w:rPr>
            </w:pPr>
            <w:r>
              <w:rPr>
                <w:rFonts w:ascii="Arial" w:cs="Arial" w:eastAsia="Arial" w:hAnsi="Arial"/>
                <w:sz w:val="7"/>
                <w:szCs w:val="7"/>
                <w:color w:val="auto"/>
              </w:rPr>
              <w:t>NEWARK</w:t>
            </w:r>
          </w:p>
        </w:tc>
        <w:tc>
          <w:tcPr>
            <w:tcW w:w="300" w:type="dxa"/>
            <w:vAlign w:val="bottom"/>
            <w:tcBorders>
              <w:right w:val="single" w:sz="8" w:color="auto"/>
            </w:tcBorders>
          </w:tcPr>
          <w:p>
            <w:pPr>
              <w:ind w:left="60"/>
              <w:spacing w:after="0"/>
              <w:rPr>
                <w:sz w:val="20"/>
                <w:szCs w:val="20"/>
                <w:color w:val="auto"/>
              </w:rPr>
            </w:pPr>
            <w:r>
              <w:rPr>
                <w:rFonts w:ascii="Arial" w:cs="Arial" w:eastAsia="Arial" w:hAnsi="Arial"/>
                <w:sz w:val="7"/>
                <w:szCs w:val="7"/>
                <w:color w:val="auto"/>
              </w:rPr>
              <w:t>DE</w:t>
            </w:r>
          </w:p>
        </w:tc>
        <w:tc>
          <w:tcPr>
            <w:tcW w:w="360" w:type="dxa"/>
            <w:vAlign w:val="bottom"/>
            <w:tcBorders>
              <w:right w:val="single" w:sz="8" w:color="auto"/>
            </w:tcBorders>
          </w:tcPr>
          <w:p>
            <w:pPr>
              <w:ind w:left="80"/>
              <w:spacing w:after="0"/>
              <w:rPr>
                <w:sz w:val="20"/>
                <w:szCs w:val="20"/>
                <w:color w:val="auto"/>
              </w:rPr>
            </w:pPr>
            <w:r>
              <w:rPr>
                <w:rFonts w:ascii="Arial" w:cs="Arial" w:eastAsia="Arial" w:hAnsi="Arial"/>
                <w:sz w:val="7"/>
                <w:szCs w:val="7"/>
                <w:color w:val="auto"/>
              </w:rPr>
              <w:t>19702</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CFC PAHSE II,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7"/>
                <w:szCs w:val="7"/>
                <w:color w:val="auto"/>
              </w:rPr>
              <w:t>4737 CONCORD</w:t>
            </w:r>
          </w:p>
        </w:tc>
        <w:tc>
          <w:tcPr>
            <w:tcW w:w="82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WILMINGTON</w:t>
            </w:r>
          </w:p>
        </w:tc>
        <w:tc>
          <w:tcPr>
            <w:tcW w:w="2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DE</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19803</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302-479-8314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FASHION CENTER</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CENTER BLVD.</w:t>
            </w:r>
          </w:p>
        </w:tc>
        <w:tc>
          <w:tcPr>
            <w:tcW w:w="780" w:type="dxa"/>
            <w:vAlign w:val="bottom"/>
            <w:tcBorders>
              <w:right w:val="single" w:sz="8" w:color="auto"/>
            </w:tcBorders>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PIKE</w:t>
            </w:r>
          </w:p>
        </w:tc>
        <w:tc>
          <w:tcPr>
            <w:tcW w:w="82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vMerge w:val="continue"/>
          </w:tcPr>
          <w:p>
            <w:pPr>
              <w:spacing w:after="0"/>
              <w:rPr>
                <w:sz w:val="3"/>
                <w:szCs w:val="3"/>
                <w:color w:val="auto"/>
              </w:rPr>
            </w:pPr>
          </w:p>
        </w:tc>
        <w:tc>
          <w:tcPr>
            <w:tcW w:w="26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9934</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2015 WALDEN</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BUFFALO</w:t>
            </w:r>
          </w:p>
        </w:tc>
        <w:tc>
          <w:tcPr>
            <w:tcW w:w="30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NY</w:t>
            </w:r>
          </w:p>
        </w:tc>
        <w:tc>
          <w:tcPr>
            <w:tcW w:w="36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14225-</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WALDEN AVENUE ASSOCIATES,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THE KEMPNER</w:t>
            </w: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257 MAMARONECK</w:t>
            </w:r>
          </w:p>
        </w:tc>
        <w:tc>
          <w:tcPr>
            <w:tcW w:w="82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WHITE PLAINS</w:t>
            </w:r>
          </w:p>
        </w:tc>
        <w:tc>
          <w:tcPr>
            <w:tcW w:w="2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NY</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10605</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914-946-3030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AVENUE</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(CHEEKTOWAGA)</w:t>
            </w:r>
          </w:p>
        </w:tc>
        <w:tc>
          <w:tcPr>
            <w:tcW w:w="30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5113</w:t>
            </w: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CORPORATION</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AVENUE</w:t>
            </w:r>
          </w:p>
        </w:tc>
        <w:tc>
          <w:tcPr>
            <w:tcW w:w="82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vMerge w:val="continue"/>
          </w:tcPr>
          <w:p>
            <w:pPr>
              <w:spacing w:after="0"/>
              <w:rPr>
                <w:sz w:val="3"/>
                <w:szCs w:val="3"/>
                <w:color w:val="auto"/>
              </w:rPr>
            </w:pPr>
          </w:p>
        </w:tc>
        <w:tc>
          <w:tcPr>
            <w:tcW w:w="26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vMerge w:val="continue"/>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9935</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ABILL PLAZA</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205 U.S.</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TOTOWA</w:t>
            </w:r>
          </w:p>
        </w:tc>
        <w:tc>
          <w:tcPr>
            <w:tcW w:w="30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NJ</w:t>
            </w:r>
          </w:p>
        </w:tc>
        <w:tc>
          <w:tcPr>
            <w:tcW w:w="360" w:type="dxa"/>
            <w:vAlign w:val="bottom"/>
            <w:tcBorders>
              <w:right w:val="single" w:sz="8" w:color="auto"/>
            </w:tcBorders>
          </w:tcPr>
          <w:p>
            <w:pPr>
              <w:spacing w:after="0"/>
              <w:rPr>
                <w:sz w:val="6"/>
                <w:szCs w:val="6"/>
                <w:color w:val="auto"/>
              </w:rPr>
            </w:pP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ABILL REALTY CORPORATION</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255 ROUTE #46</w:t>
            </w:r>
          </w:p>
        </w:tc>
        <w:tc>
          <w:tcPr>
            <w:tcW w:w="82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TOTOWA</w:t>
            </w:r>
          </w:p>
        </w:tc>
        <w:tc>
          <w:tcPr>
            <w:tcW w:w="2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NJ</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07512</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973-256-8865</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HIGHWAY 46</w:t>
            </w:r>
          </w:p>
        </w:tc>
        <w:tc>
          <w:tcPr>
            <w:tcW w:w="780" w:type="dxa"/>
            <w:vAlign w:val="bottom"/>
            <w:tcBorders>
              <w:right w:val="single" w:sz="8" w:color="auto"/>
            </w:tcBorders>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WEST</w:t>
            </w:r>
          </w:p>
        </w:tc>
        <w:tc>
          <w:tcPr>
            <w:tcW w:w="82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vMerge w:val="continue"/>
          </w:tcPr>
          <w:p>
            <w:pPr>
              <w:spacing w:after="0"/>
              <w:rPr>
                <w:sz w:val="3"/>
                <w:szCs w:val="3"/>
                <w:color w:val="auto"/>
              </w:rPr>
            </w:pPr>
          </w:p>
        </w:tc>
        <w:tc>
          <w:tcPr>
            <w:tcW w:w="26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9936</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The Village at</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190 E. Stacy</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Allen</w:t>
            </w:r>
          </w:p>
        </w:tc>
        <w:tc>
          <w:tcPr>
            <w:tcW w:w="30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TX</w:t>
            </w:r>
          </w:p>
        </w:tc>
        <w:tc>
          <w:tcPr>
            <w:tcW w:w="36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75002-</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VAA IMPROVEMENT,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C/O DLC</w:t>
            </w:r>
          </w:p>
        </w:tc>
        <w:tc>
          <w:tcPr>
            <w:tcW w:w="82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190 EAST STACY</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ALLEN</w:t>
            </w:r>
          </w:p>
        </w:tc>
        <w:tc>
          <w:tcPr>
            <w:tcW w:w="2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TX</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75002</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914-304-5642</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Allen</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Road, Ste. 308</w:t>
            </w:r>
          </w:p>
        </w:tc>
        <w:tc>
          <w:tcPr>
            <w:tcW w:w="780" w:type="dxa"/>
            <w:vAlign w:val="bottom"/>
            <w:tcBorders>
              <w:right w:val="single" w:sz="8" w:color="auto"/>
            </w:tcBorders>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8738</w:t>
            </w: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w w:val="99"/>
              </w:rPr>
              <w:t>MANAGEMENT CORP</w:t>
            </w:r>
          </w:p>
        </w:tc>
        <w:tc>
          <w:tcPr>
            <w:tcW w:w="8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RD., SUITE 1508</w:t>
            </w:r>
          </w:p>
        </w:tc>
        <w:tc>
          <w:tcPr>
            <w:tcW w:w="760" w:type="dxa"/>
            <w:vAlign w:val="bottom"/>
            <w:tcBorders>
              <w:right w:val="single" w:sz="8" w:color="auto"/>
            </w:tcBorders>
            <w:vMerge w:val="continue"/>
          </w:tcPr>
          <w:p>
            <w:pPr>
              <w:spacing w:after="0"/>
              <w:rPr>
                <w:sz w:val="3"/>
                <w:szCs w:val="3"/>
                <w:color w:val="auto"/>
              </w:rPr>
            </w:pPr>
          </w:p>
        </w:tc>
        <w:tc>
          <w:tcPr>
            <w:tcW w:w="26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vMerge w:val="continue"/>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82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9937</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Orlando Crossings</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5443</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Orlando</w:t>
            </w:r>
          </w:p>
        </w:tc>
        <w:tc>
          <w:tcPr>
            <w:tcW w:w="30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FL</w:t>
            </w:r>
          </w:p>
        </w:tc>
        <w:tc>
          <w:tcPr>
            <w:tcW w:w="36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32819-</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ORLACROSS,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5216 VANGUARD ST</w:t>
            </w:r>
          </w:p>
        </w:tc>
        <w:tc>
          <w:tcPr>
            <w:tcW w:w="82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ORLANDO</w:t>
            </w:r>
          </w:p>
        </w:tc>
        <w:tc>
          <w:tcPr>
            <w:tcW w:w="2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FL</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32819</w:t>
            </w:r>
          </w:p>
        </w:tc>
        <w:tc>
          <w:tcPr>
            <w:tcW w:w="7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International</w:t>
            </w:r>
          </w:p>
        </w:tc>
        <w:tc>
          <w:tcPr>
            <w:tcW w:w="780" w:type="dxa"/>
            <w:vAlign w:val="bottom"/>
            <w:tcBorders>
              <w:right w:val="single" w:sz="8" w:color="auto"/>
            </w:tcBorders>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8567</w:t>
            </w: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vMerge w:val="continue"/>
          </w:tcPr>
          <w:p>
            <w:pPr>
              <w:spacing w:after="0"/>
              <w:rPr>
                <w:sz w:val="3"/>
                <w:szCs w:val="3"/>
                <w:color w:val="auto"/>
              </w:rPr>
            </w:pPr>
          </w:p>
        </w:tc>
        <w:tc>
          <w:tcPr>
            <w:tcW w:w="82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vMerge w:val="continue"/>
          </w:tcPr>
          <w:p>
            <w:pPr>
              <w:spacing w:after="0"/>
              <w:rPr>
                <w:sz w:val="3"/>
                <w:szCs w:val="3"/>
                <w:color w:val="auto"/>
              </w:rPr>
            </w:pPr>
          </w:p>
        </w:tc>
        <w:tc>
          <w:tcPr>
            <w:tcW w:w="26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vMerge w:val="continue"/>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9938</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Howe Bout Arden</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2100 Arden Way,</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Sacramento</w:t>
            </w:r>
          </w:p>
        </w:tc>
        <w:tc>
          <w:tcPr>
            <w:tcW w:w="30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CA</w:t>
            </w:r>
          </w:p>
        </w:tc>
        <w:tc>
          <w:tcPr>
            <w:tcW w:w="36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95825-</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SY HOWE ARDEN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SYWEST DEVELOPMENT</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150 PELICAN WAY</w:t>
            </w:r>
          </w:p>
        </w:tc>
        <w:tc>
          <w:tcPr>
            <w:tcW w:w="82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SAN RAFAEL</w:t>
            </w:r>
          </w:p>
        </w:tc>
        <w:tc>
          <w:tcPr>
            <w:tcW w:w="2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CA</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94901</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415-448-8400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STORE, LLC</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Shopping Center</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Suite 101</w:t>
            </w:r>
          </w:p>
        </w:tc>
        <w:tc>
          <w:tcPr>
            <w:tcW w:w="780" w:type="dxa"/>
            <w:vAlign w:val="bottom"/>
            <w:tcBorders>
              <w:right w:val="single" w:sz="8" w:color="auto"/>
            </w:tcBorders>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2200</w:t>
            </w: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vMerge w:val="continue"/>
          </w:tcPr>
          <w:p>
            <w:pPr>
              <w:spacing w:after="0"/>
              <w:rPr>
                <w:sz w:val="3"/>
                <w:szCs w:val="3"/>
                <w:color w:val="auto"/>
              </w:rPr>
            </w:pPr>
          </w:p>
        </w:tc>
        <w:tc>
          <w:tcPr>
            <w:tcW w:w="760" w:type="dxa"/>
            <w:vAlign w:val="bottom"/>
            <w:tcBorders>
              <w:right w:val="single" w:sz="8" w:color="auto"/>
            </w:tcBorders>
            <w:vMerge w:val="continue"/>
          </w:tcPr>
          <w:p>
            <w:pPr>
              <w:spacing w:after="0"/>
              <w:rPr>
                <w:sz w:val="3"/>
                <w:szCs w:val="3"/>
                <w:color w:val="auto"/>
              </w:rPr>
            </w:pPr>
          </w:p>
        </w:tc>
        <w:tc>
          <w:tcPr>
            <w:tcW w:w="82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vMerge w:val="continue"/>
          </w:tcPr>
          <w:p>
            <w:pPr>
              <w:spacing w:after="0"/>
              <w:rPr>
                <w:sz w:val="3"/>
                <w:szCs w:val="3"/>
                <w:color w:val="auto"/>
              </w:rPr>
            </w:pPr>
          </w:p>
        </w:tc>
        <w:tc>
          <w:tcPr>
            <w:tcW w:w="26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vMerge w:val="continue"/>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9939</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Pike Center</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12137 Rockville</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ROCKVILLE</w:t>
            </w:r>
          </w:p>
        </w:tc>
        <w:tc>
          <w:tcPr>
            <w:tcW w:w="30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MD</w:t>
            </w:r>
          </w:p>
        </w:tc>
        <w:tc>
          <w:tcPr>
            <w:tcW w:w="36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20852-</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WEINGARTEN REALTY INVESTORS</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w:t>
            </w:r>
          </w:p>
        </w:tc>
        <w:tc>
          <w:tcPr>
            <w:tcW w:w="8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P.O.BOX:924133</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HOUSTON</w:t>
            </w:r>
          </w:p>
        </w:tc>
        <w:tc>
          <w:tcPr>
            <w:tcW w:w="2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TX</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77292</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713-866-6044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Pike, Space D</w:t>
            </w:r>
          </w:p>
        </w:tc>
        <w:tc>
          <w:tcPr>
            <w:tcW w:w="780" w:type="dxa"/>
            <w:vAlign w:val="bottom"/>
            <w:tcBorders>
              <w:right w:val="single" w:sz="8" w:color="auto"/>
            </w:tcBorders>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1605</w:t>
            </w: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vMerge w:val="continue"/>
          </w:tcPr>
          <w:p>
            <w:pPr>
              <w:spacing w:after="0"/>
              <w:rPr>
                <w:sz w:val="3"/>
                <w:szCs w:val="3"/>
                <w:color w:val="auto"/>
              </w:rPr>
            </w:pPr>
          </w:p>
        </w:tc>
        <w:tc>
          <w:tcPr>
            <w:tcW w:w="820" w:type="dxa"/>
            <w:vAlign w:val="bottom"/>
            <w:tcBorders>
              <w:right w:val="single" w:sz="8" w:color="auto"/>
            </w:tcBorders>
            <w:vMerge w:val="continue"/>
          </w:tcPr>
          <w:p>
            <w:pPr>
              <w:spacing w:after="0"/>
              <w:rPr>
                <w:sz w:val="3"/>
                <w:szCs w:val="3"/>
                <w:color w:val="auto"/>
              </w:rPr>
            </w:pPr>
          </w:p>
        </w:tc>
        <w:tc>
          <w:tcPr>
            <w:tcW w:w="760" w:type="dxa"/>
            <w:vAlign w:val="bottom"/>
            <w:tcBorders>
              <w:right w:val="single" w:sz="8" w:color="auto"/>
            </w:tcBorders>
            <w:vMerge w:val="continue"/>
          </w:tcPr>
          <w:p>
            <w:pPr>
              <w:spacing w:after="0"/>
              <w:rPr>
                <w:sz w:val="3"/>
                <w:szCs w:val="3"/>
                <w:color w:val="auto"/>
              </w:rPr>
            </w:pPr>
          </w:p>
        </w:tc>
        <w:tc>
          <w:tcPr>
            <w:tcW w:w="26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vMerge w:val="continue"/>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9940</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The Maine Mall</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365 Maine Mall</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South Portland</w:t>
            </w:r>
          </w:p>
        </w:tc>
        <w:tc>
          <w:tcPr>
            <w:tcW w:w="30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ME</w:t>
            </w:r>
          </w:p>
        </w:tc>
        <w:tc>
          <w:tcPr>
            <w:tcW w:w="36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4106</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GGP-MAINE MALL LLC</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LAW/ADM DEPT</w:t>
            </w: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THE MAINE MALL</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THE MAINE MALL</w:t>
            </w:r>
          </w:p>
        </w:tc>
        <w:tc>
          <w:tcPr>
            <w:tcW w:w="82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350 N. ORLEANS</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CHICAGO</w:t>
            </w:r>
          </w:p>
        </w:tc>
        <w:tc>
          <w:tcPr>
            <w:tcW w:w="2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IL</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60654-1607</w:t>
            </w:r>
          </w:p>
        </w:tc>
        <w:tc>
          <w:tcPr>
            <w:tcW w:w="7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STORE, LLC</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Road, Unit LL01</w:t>
            </w:r>
          </w:p>
        </w:tc>
        <w:tc>
          <w:tcPr>
            <w:tcW w:w="780" w:type="dxa"/>
            <w:vAlign w:val="bottom"/>
            <w:tcBorders>
              <w:right w:val="single" w:sz="8" w:color="auto"/>
            </w:tcBorders>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vMerge w:val="continue"/>
          </w:tcPr>
          <w:p>
            <w:pPr>
              <w:spacing w:after="0"/>
              <w:rPr>
                <w:sz w:val="3"/>
                <w:szCs w:val="3"/>
                <w:color w:val="auto"/>
              </w:rPr>
            </w:pPr>
          </w:p>
        </w:tc>
        <w:tc>
          <w:tcPr>
            <w:tcW w:w="760" w:type="dxa"/>
            <w:vAlign w:val="bottom"/>
            <w:tcBorders>
              <w:right w:val="single" w:sz="8" w:color="auto"/>
            </w:tcBorders>
            <w:vMerge w:val="continue"/>
          </w:tcPr>
          <w:p>
            <w:pPr>
              <w:spacing w:after="0"/>
              <w:rPr>
                <w:sz w:val="3"/>
                <w:szCs w:val="3"/>
                <w:color w:val="auto"/>
              </w:rPr>
            </w:pPr>
          </w:p>
        </w:tc>
        <w:tc>
          <w:tcPr>
            <w:tcW w:w="8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ST, SUITE 300</w:t>
            </w:r>
          </w:p>
        </w:tc>
        <w:tc>
          <w:tcPr>
            <w:tcW w:w="760" w:type="dxa"/>
            <w:vAlign w:val="bottom"/>
            <w:tcBorders>
              <w:right w:val="single" w:sz="8" w:color="auto"/>
            </w:tcBorders>
            <w:vMerge w:val="continue"/>
          </w:tcPr>
          <w:p>
            <w:pPr>
              <w:spacing w:after="0"/>
              <w:rPr>
                <w:sz w:val="3"/>
                <w:szCs w:val="3"/>
                <w:color w:val="auto"/>
              </w:rPr>
            </w:pPr>
          </w:p>
        </w:tc>
        <w:tc>
          <w:tcPr>
            <w:tcW w:w="26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9941</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Market of Wolf</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8057 Highway 64,</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Memphis</w:t>
            </w:r>
          </w:p>
        </w:tc>
        <w:tc>
          <w:tcPr>
            <w:tcW w:w="30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TN</w:t>
            </w:r>
          </w:p>
        </w:tc>
        <w:tc>
          <w:tcPr>
            <w:tcW w:w="36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38133-</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BRIXMOR WOLFCREEK III LLC</w:t>
            </w:r>
          </w:p>
        </w:tc>
        <w:tc>
          <w:tcPr>
            <w:tcW w:w="102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OFFICE OF GENERAL</w:t>
            </w:r>
          </w:p>
        </w:tc>
        <w:tc>
          <w:tcPr>
            <w:tcW w:w="104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BRIXMOR PROPERTY</w:t>
            </w: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450 LEXINGTON</w:t>
            </w:r>
          </w:p>
        </w:tc>
        <w:tc>
          <w:tcPr>
            <w:tcW w:w="82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NEW YORK</w:t>
            </w:r>
          </w:p>
        </w:tc>
        <w:tc>
          <w:tcPr>
            <w:tcW w:w="2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NY</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10017</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212-869-3000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Creek</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Suite 104</w:t>
            </w:r>
          </w:p>
        </w:tc>
        <w:tc>
          <w:tcPr>
            <w:tcW w:w="780" w:type="dxa"/>
            <w:vAlign w:val="bottom"/>
            <w:tcBorders>
              <w:right w:val="single" w:sz="8" w:color="auto"/>
            </w:tcBorders>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4056</w:t>
            </w: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COUNSEL</w:t>
            </w: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GROUP</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AVE., 13TH FL</w:t>
            </w:r>
          </w:p>
        </w:tc>
        <w:tc>
          <w:tcPr>
            <w:tcW w:w="82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vMerge w:val="continue"/>
          </w:tcPr>
          <w:p>
            <w:pPr>
              <w:spacing w:after="0"/>
              <w:rPr>
                <w:sz w:val="3"/>
                <w:szCs w:val="3"/>
                <w:color w:val="auto"/>
              </w:rPr>
            </w:pPr>
          </w:p>
        </w:tc>
        <w:tc>
          <w:tcPr>
            <w:tcW w:w="26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vMerge w:val="continue"/>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vMerge w:val="continue"/>
          </w:tcPr>
          <w:p>
            <w:pPr>
              <w:spacing w:after="0"/>
              <w:rPr>
                <w:sz w:val="4"/>
                <w:szCs w:val="4"/>
                <w:color w:val="auto"/>
              </w:rPr>
            </w:pPr>
          </w:p>
        </w:tc>
        <w:tc>
          <w:tcPr>
            <w:tcW w:w="104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9942</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The Shoppes at</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3280 Bel Air Mall</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Mobile</w:t>
            </w:r>
          </w:p>
        </w:tc>
        <w:tc>
          <w:tcPr>
            <w:tcW w:w="30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AL</w:t>
            </w:r>
          </w:p>
        </w:tc>
        <w:tc>
          <w:tcPr>
            <w:tcW w:w="36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36606-</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RPI BEL AIR MALL, LLC</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GENERAL COUNSEL</w:t>
            </w: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ROUSE PROPERTIES, LLC</w:t>
            </w: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200 VESEY STREET,</w:t>
            </w:r>
          </w:p>
        </w:tc>
        <w:tc>
          <w:tcPr>
            <w:tcW w:w="82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NEW YORK</w:t>
            </w:r>
          </w:p>
        </w:tc>
        <w:tc>
          <w:tcPr>
            <w:tcW w:w="2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NY</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10281</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212-608-5108</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Bel Air</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Road, Suite A15</w:t>
            </w:r>
          </w:p>
        </w:tc>
        <w:tc>
          <w:tcPr>
            <w:tcW w:w="780" w:type="dxa"/>
            <w:vAlign w:val="bottom"/>
            <w:tcBorders>
              <w:right w:val="single" w:sz="8" w:color="auto"/>
            </w:tcBorders>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3204</w:t>
            </w: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vMerge w:val="continue"/>
          </w:tcPr>
          <w:p>
            <w:pPr>
              <w:spacing w:after="0"/>
              <w:rPr>
                <w:sz w:val="3"/>
                <w:szCs w:val="3"/>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25TH FLOOR</w:t>
            </w:r>
          </w:p>
        </w:tc>
        <w:tc>
          <w:tcPr>
            <w:tcW w:w="82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vMerge w:val="continue"/>
          </w:tcPr>
          <w:p>
            <w:pPr>
              <w:spacing w:after="0"/>
              <w:rPr>
                <w:sz w:val="3"/>
                <w:szCs w:val="3"/>
                <w:color w:val="auto"/>
              </w:rPr>
            </w:pPr>
          </w:p>
        </w:tc>
        <w:tc>
          <w:tcPr>
            <w:tcW w:w="26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vMerge w:val="continue"/>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9943</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CROSSROADS AT</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9897 W</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TOLLESON</w:t>
            </w:r>
          </w:p>
        </w:tc>
        <w:tc>
          <w:tcPr>
            <w:tcW w:w="30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AZ</w:t>
            </w:r>
          </w:p>
        </w:tc>
        <w:tc>
          <w:tcPr>
            <w:tcW w:w="36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85353-</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TPP 30 TOLLESON, LLC</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PAUL SHARP</w:t>
            </w:r>
          </w:p>
        </w:tc>
        <w:tc>
          <w:tcPr>
            <w:tcW w:w="104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TRIGATE CAPITAL</w:t>
            </w:r>
          </w:p>
        </w:tc>
        <w:tc>
          <w:tcPr>
            <w:tcW w:w="82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750 N. ST PAUL</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DALLAS</w:t>
            </w:r>
          </w:p>
        </w:tc>
        <w:tc>
          <w:tcPr>
            <w:tcW w:w="2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TX</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75201</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214-294-5916</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STORE, LLC</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TOLLESON</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MCDOWELL RD</w:t>
            </w:r>
          </w:p>
        </w:tc>
        <w:tc>
          <w:tcPr>
            <w:tcW w:w="780" w:type="dxa"/>
            <w:vAlign w:val="bottom"/>
            <w:tcBorders>
              <w:right w:val="single" w:sz="8" w:color="auto"/>
            </w:tcBorders>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1625</w:t>
            </w: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LLC</w:t>
            </w:r>
          </w:p>
        </w:tc>
        <w:tc>
          <w:tcPr>
            <w:tcW w:w="8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STREET, SUITE 900</w:t>
            </w:r>
          </w:p>
        </w:tc>
        <w:tc>
          <w:tcPr>
            <w:tcW w:w="760" w:type="dxa"/>
            <w:vAlign w:val="bottom"/>
            <w:tcBorders>
              <w:right w:val="single" w:sz="8" w:color="auto"/>
            </w:tcBorders>
            <w:vMerge w:val="continue"/>
          </w:tcPr>
          <w:p>
            <w:pPr>
              <w:spacing w:after="0"/>
              <w:rPr>
                <w:sz w:val="3"/>
                <w:szCs w:val="3"/>
                <w:color w:val="auto"/>
              </w:rPr>
            </w:pPr>
          </w:p>
        </w:tc>
        <w:tc>
          <w:tcPr>
            <w:tcW w:w="26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vMerge w:val="continue"/>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82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9944</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Countryside</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2539 Countryside</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Clearwater</w:t>
            </w:r>
          </w:p>
        </w:tc>
        <w:tc>
          <w:tcPr>
            <w:tcW w:w="30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FL</w:t>
            </w:r>
          </w:p>
        </w:tc>
        <w:tc>
          <w:tcPr>
            <w:tcW w:w="36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33761-</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WEINGARTEN REALTY INVESTORS</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GENERAL COUNSEL</w:t>
            </w:r>
          </w:p>
        </w:tc>
        <w:tc>
          <w:tcPr>
            <w:tcW w:w="104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2600 CITADEL</w:t>
            </w:r>
          </w:p>
        </w:tc>
        <w:tc>
          <w:tcPr>
            <w:tcW w:w="82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HOUSTON</w:t>
            </w:r>
          </w:p>
        </w:tc>
        <w:tc>
          <w:tcPr>
            <w:tcW w:w="2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TX</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77008</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713-866-6960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Centre</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Blvd., Suite 1</w:t>
            </w:r>
          </w:p>
        </w:tc>
        <w:tc>
          <w:tcPr>
            <w:tcW w:w="780" w:type="dxa"/>
            <w:vAlign w:val="bottom"/>
            <w:tcBorders>
              <w:right w:val="single" w:sz="8" w:color="auto"/>
            </w:tcBorders>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3503</w:t>
            </w: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PLAZA DRIVE,</w:t>
            </w:r>
          </w:p>
        </w:tc>
        <w:tc>
          <w:tcPr>
            <w:tcW w:w="82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vMerge w:val="continue"/>
          </w:tcPr>
          <w:p>
            <w:pPr>
              <w:spacing w:after="0"/>
              <w:rPr>
                <w:sz w:val="3"/>
                <w:szCs w:val="3"/>
                <w:color w:val="auto"/>
              </w:rPr>
            </w:pPr>
          </w:p>
        </w:tc>
        <w:tc>
          <w:tcPr>
            <w:tcW w:w="26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vMerge w:val="continue"/>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9945</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WOLFLIN VILLAGE</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2225 SOUTH</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AMARILLO</w:t>
            </w:r>
          </w:p>
        </w:tc>
        <w:tc>
          <w:tcPr>
            <w:tcW w:w="30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TX</w:t>
            </w:r>
          </w:p>
        </w:tc>
        <w:tc>
          <w:tcPr>
            <w:tcW w:w="36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79109-</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MFC WOLFLIN VILLAGE LLC</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JOANNE RAINFORTH</w:t>
            </w:r>
          </w:p>
        </w:tc>
        <w:tc>
          <w:tcPr>
            <w:tcW w:w="104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MORRIS CAPITAL</w:t>
            </w: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200 CARROLL</w:t>
            </w:r>
          </w:p>
        </w:tc>
        <w:tc>
          <w:tcPr>
            <w:tcW w:w="82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FORT WORTH</w:t>
            </w:r>
          </w:p>
        </w:tc>
        <w:tc>
          <w:tcPr>
            <w:tcW w:w="2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TX</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76107</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817-945-1600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GEORGIA STREET,</w:t>
            </w:r>
          </w:p>
        </w:tc>
        <w:tc>
          <w:tcPr>
            <w:tcW w:w="780" w:type="dxa"/>
            <w:vAlign w:val="bottom"/>
            <w:tcBorders>
              <w:right w:val="single" w:sz="8" w:color="auto"/>
            </w:tcBorders>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1834</w:t>
            </w: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PARTNERS, LLC</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STREET, SUITE 130</w:t>
            </w:r>
          </w:p>
        </w:tc>
        <w:tc>
          <w:tcPr>
            <w:tcW w:w="82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vMerge w:val="continue"/>
          </w:tcPr>
          <w:p>
            <w:pPr>
              <w:spacing w:after="0"/>
              <w:rPr>
                <w:sz w:val="3"/>
                <w:szCs w:val="3"/>
                <w:color w:val="auto"/>
              </w:rPr>
            </w:pPr>
          </w:p>
        </w:tc>
        <w:tc>
          <w:tcPr>
            <w:tcW w:w="26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vMerge w:val="continue"/>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9946</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2344 MacArthur</w:t>
            </w: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Whitehall</w:t>
            </w:r>
          </w:p>
        </w:tc>
        <w:tc>
          <w:tcPr>
            <w:tcW w:w="30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PA</w:t>
            </w:r>
          </w:p>
        </w:tc>
        <w:tc>
          <w:tcPr>
            <w:tcW w:w="36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18052-</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FIREHOUSE HOLDING, LLC</w:t>
            </w: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343 SPRINGFIELD</w:t>
            </w:r>
          </w:p>
        </w:tc>
        <w:tc>
          <w:tcPr>
            <w:tcW w:w="82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EASTON</w:t>
            </w:r>
          </w:p>
        </w:tc>
        <w:tc>
          <w:tcPr>
            <w:tcW w:w="2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PA</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18045-3797</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610-203-6395</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7"/>
                <w:szCs w:val="7"/>
                <w:color w:val="auto"/>
              </w:rPr>
              <w:t>Road</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4524</w:t>
            </w: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WAY</w:t>
            </w:r>
          </w:p>
        </w:tc>
        <w:tc>
          <w:tcPr>
            <w:tcW w:w="82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vMerge w:val="continue"/>
          </w:tcPr>
          <w:p>
            <w:pPr>
              <w:spacing w:after="0"/>
              <w:rPr>
                <w:sz w:val="3"/>
                <w:szCs w:val="3"/>
                <w:color w:val="auto"/>
              </w:rPr>
            </w:pPr>
          </w:p>
        </w:tc>
        <w:tc>
          <w:tcPr>
            <w:tcW w:w="26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vMerge w:val="continue"/>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9947</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Southlake Pointe</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1580 E. 81st Ave.</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Merrillville</w:t>
            </w:r>
          </w:p>
        </w:tc>
        <w:tc>
          <w:tcPr>
            <w:tcW w:w="30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IN</w:t>
            </w:r>
          </w:p>
        </w:tc>
        <w:tc>
          <w:tcPr>
            <w:tcW w:w="36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46410</w:t>
            </w:r>
          </w:p>
        </w:tc>
        <w:tc>
          <w:tcPr>
            <w:tcW w:w="1440" w:type="dxa"/>
            <w:vAlign w:val="bottom"/>
            <w:tcBorders>
              <w:right w:val="single" w:sz="8" w:color="auto"/>
            </w:tcBorders>
          </w:tcPr>
          <w:p>
            <w:pPr>
              <w:ind w:left="20"/>
              <w:spacing w:after="0" w:line="76" w:lineRule="exact"/>
              <w:rPr>
                <w:sz w:val="20"/>
                <w:szCs w:val="20"/>
                <w:color w:val="auto"/>
              </w:rPr>
            </w:pPr>
            <w:r>
              <w:rPr>
                <w:rFonts w:ascii="Arial" w:cs="Arial" w:eastAsia="Arial" w:hAnsi="Arial"/>
                <w:sz w:val="7"/>
                <w:szCs w:val="7"/>
                <w:color w:val="auto"/>
              </w:rPr>
              <w:t>1550 E. 81ST AVENUE MERRILLVILLE,</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LEASE ADMINISTRATION</w:t>
            </w:r>
          </w:p>
        </w:tc>
        <w:tc>
          <w:tcPr>
            <w:tcW w:w="104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ONE ASHLEY WAY</w:t>
            </w:r>
          </w:p>
        </w:tc>
        <w:tc>
          <w:tcPr>
            <w:tcW w:w="82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ARCADIA</w:t>
            </w:r>
          </w:p>
        </w:tc>
        <w:tc>
          <w:tcPr>
            <w:tcW w:w="2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WI</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54612</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608-323-3377</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RETAIL STORE,</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Bldg. 2</w:t>
            </w:r>
          </w:p>
        </w:tc>
        <w:tc>
          <w:tcPr>
            <w:tcW w:w="780" w:type="dxa"/>
            <w:vAlign w:val="bottom"/>
            <w:tcBorders>
              <w:right w:val="single" w:sz="8" w:color="auto"/>
            </w:tcBorders>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LLC</w:t>
            </w:r>
          </w:p>
        </w:tc>
        <w:tc>
          <w:tcPr>
            <w:tcW w:w="1020" w:type="dxa"/>
            <w:vAlign w:val="bottom"/>
            <w:tcBorders>
              <w:right w:val="single" w:sz="8" w:color="auto"/>
            </w:tcBorders>
            <w:vMerge w:val="continue"/>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vMerge w:val="continue"/>
          </w:tcPr>
          <w:p>
            <w:pPr>
              <w:spacing w:after="0"/>
              <w:rPr>
                <w:sz w:val="3"/>
                <w:szCs w:val="3"/>
                <w:color w:val="auto"/>
              </w:rPr>
            </w:pPr>
          </w:p>
        </w:tc>
        <w:tc>
          <w:tcPr>
            <w:tcW w:w="82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vMerge w:val="continue"/>
          </w:tcPr>
          <w:p>
            <w:pPr>
              <w:spacing w:after="0"/>
              <w:rPr>
                <w:sz w:val="3"/>
                <w:szCs w:val="3"/>
                <w:color w:val="auto"/>
              </w:rPr>
            </w:pPr>
          </w:p>
        </w:tc>
        <w:tc>
          <w:tcPr>
            <w:tcW w:w="26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vMerge w:val="continue"/>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0" w:type="dxa"/>
            <w:vAlign w:val="bottom"/>
            <w:tcBorders>
              <w:left w:val="single" w:sz="8" w:color="auto"/>
              <w:right w:val="single" w:sz="8" w:color="auto"/>
            </w:tcBorders>
          </w:tcPr>
          <w:p>
            <w:pPr>
              <w:jc w:val="right"/>
              <w:ind w:right="44"/>
              <w:spacing w:after="0" w:line="76" w:lineRule="exact"/>
              <w:rPr>
                <w:sz w:val="20"/>
                <w:szCs w:val="20"/>
                <w:color w:val="auto"/>
              </w:rPr>
            </w:pPr>
            <w:r>
              <w:rPr>
                <w:rFonts w:ascii="Arial" w:cs="Arial" w:eastAsia="Arial" w:hAnsi="Arial"/>
                <w:sz w:val="7"/>
                <w:szCs w:val="7"/>
                <w:color w:val="auto"/>
              </w:rPr>
              <w:t>9948</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CASUAL MALE</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MAINPLACE MALL</w:t>
            </w:r>
          </w:p>
        </w:tc>
        <w:tc>
          <w:tcPr>
            <w:tcW w:w="7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2800 N. MAIN</w:t>
            </w:r>
          </w:p>
        </w:tc>
        <w:tc>
          <w:tcPr>
            <w:tcW w:w="7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SANTA ANA</w:t>
            </w:r>
          </w:p>
        </w:tc>
        <w:tc>
          <w:tcPr>
            <w:tcW w:w="30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7"/>
                <w:szCs w:val="7"/>
                <w:color w:val="auto"/>
              </w:rPr>
              <w:t>CA</w:t>
            </w:r>
          </w:p>
        </w:tc>
        <w:tc>
          <w:tcPr>
            <w:tcW w:w="36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7"/>
                <w:szCs w:val="7"/>
                <w:color w:val="auto"/>
              </w:rPr>
              <w:t>92705-</w:t>
            </w: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7"/>
                <w:szCs w:val="7"/>
                <w:color w:val="auto"/>
              </w:rPr>
              <w:t>MAINPLACE SHOPPINGTOWN LLC</w:t>
            </w:r>
          </w:p>
        </w:tc>
        <w:tc>
          <w:tcPr>
            <w:tcW w:w="102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CHIEF OPERATING</w:t>
            </w:r>
          </w:p>
        </w:tc>
        <w:tc>
          <w:tcPr>
            <w:tcW w:w="104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CENTENNIAL REAL ESTATE</w:t>
            </w:r>
          </w:p>
        </w:tc>
        <w:tc>
          <w:tcPr>
            <w:tcW w:w="76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8750 NORTH</w:t>
            </w:r>
          </w:p>
        </w:tc>
        <w:tc>
          <w:tcPr>
            <w:tcW w:w="82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DALLAS</w:t>
            </w:r>
          </w:p>
        </w:tc>
        <w:tc>
          <w:tcPr>
            <w:tcW w:w="2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TX</w:t>
            </w:r>
          </w:p>
        </w:tc>
        <w:tc>
          <w:tcPr>
            <w:tcW w:w="50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75231</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714-559-6525</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STORE, LLC</w:t>
            </w: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STREET #1140</w:t>
            </w:r>
          </w:p>
        </w:tc>
        <w:tc>
          <w:tcPr>
            <w:tcW w:w="780" w:type="dxa"/>
            <w:vAlign w:val="bottom"/>
            <w:tcBorders>
              <w:right w:val="single" w:sz="8" w:color="auto"/>
            </w:tcBorders>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vMerge w:val="restart"/>
          </w:tcPr>
          <w:p>
            <w:pPr>
              <w:ind w:left="80"/>
              <w:spacing w:after="0"/>
              <w:rPr>
                <w:sz w:val="20"/>
                <w:szCs w:val="20"/>
                <w:color w:val="auto"/>
              </w:rPr>
            </w:pPr>
            <w:r>
              <w:rPr>
                <w:rFonts w:ascii="Arial" w:cs="Arial" w:eastAsia="Arial" w:hAnsi="Arial"/>
                <w:sz w:val="7"/>
                <w:szCs w:val="7"/>
                <w:color w:val="auto"/>
              </w:rPr>
              <w:t>6615</w:t>
            </w:r>
          </w:p>
        </w:tc>
        <w:tc>
          <w:tcPr>
            <w:tcW w:w="144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OFFICER</w:t>
            </w: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MANAGEMENT, LLC</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7"/>
                <w:szCs w:val="7"/>
                <w:color w:val="auto"/>
              </w:rPr>
              <w:t>CENTRAL</w:t>
            </w:r>
          </w:p>
        </w:tc>
        <w:tc>
          <w:tcPr>
            <w:tcW w:w="82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vMerge w:val="continue"/>
          </w:tcPr>
          <w:p>
            <w:pPr>
              <w:spacing w:after="0"/>
              <w:rPr>
                <w:sz w:val="3"/>
                <w:szCs w:val="3"/>
                <w:color w:val="auto"/>
              </w:rPr>
            </w:pPr>
          </w:p>
        </w:tc>
        <w:tc>
          <w:tcPr>
            <w:tcW w:w="260" w:type="dxa"/>
            <w:vAlign w:val="bottom"/>
            <w:tcBorders>
              <w:right w:val="single" w:sz="8" w:color="auto"/>
            </w:tcBorders>
            <w:vMerge w:val="continue"/>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vMerge w:val="continue"/>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vMerge w:val="continue"/>
          </w:tcPr>
          <w:p>
            <w:pPr>
              <w:spacing w:after="0"/>
              <w:rPr>
                <w:sz w:val="4"/>
                <w:szCs w:val="4"/>
                <w:color w:val="auto"/>
              </w:rPr>
            </w:pPr>
          </w:p>
        </w:tc>
        <w:tc>
          <w:tcPr>
            <w:tcW w:w="1040" w:type="dxa"/>
            <w:vAlign w:val="bottom"/>
            <w:tcBorders>
              <w:bottom w:val="single" w:sz="8" w:color="auto"/>
              <w:right w:val="single" w:sz="8" w:color="auto"/>
            </w:tcBorders>
            <w:vMerge w:val="continue"/>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9"/>
        </w:trPr>
        <w:tc>
          <w:tcPr>
            <w:tcW w:w="3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20" w:right="179" w:bottom="1440" w:gutter="0" w:footer="0" w:header="0"/>
        </w:sectPr>
      </w:pPr>
    </w:p>
    <w:bookmarkStart w:id="167" w:name="page168"/>
    <w:bookmarkEnd w:id="167"/>
    <w:p>
      <w:pPr>
        <w:jc w:val="center"/>
        <w:spacing w:after="0"/>
        <w:rPr>
          <w:sz w:val="20"/>
          <w:szCs w:val="20"/>
          <w:color w:val="auto"/>
        </w:rPr>
      </w:pPr>
      <w:r>
        <w:rPr>
          <w:rFonts w:ascii="Arial" w:cs="Arial" w:eastAsia="Arial" w:hAnsi="Arial"/>
          <w:sz w:val="13"/>
          <w:szCs w:val="13"/>
          <w:color w:val="auto"/>
        </w:rPr>
        <w:t>Schedule 5.10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Insurance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(Please 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445770</wp:posOffset>
            </wp:positionV>
            <wp:extent cx="7329170" cy="368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68" w:name="page169"/>
    <w:bookmarkEnd w:id="168"/>
    <w:tbl>
      <w:tblPr>
        <w:tblLayout w:type="fixed"/>
        <w:tblInd w:w="18" w:type="dxa"/>
        <w:tblCellMar>
          <w:top w:w="0" w:type="dxa"/>
          <w:left w:w="0" w:type="dxa"/>
          <w:bottom w:w="0" w:type="dxa"/>
          <w:right w:w="0" w:type="dxa"/>
        </w:tblCellMar>
      </w:tblPr>
      <w:tr>
        <w:trPr>
          <w:trHeight w:val="157"/>
        </w:trPr>
        <w:tc>
          <w:tcPr>
            <w:tcW w:w="1820" w:type="dxa"/>
            <w:vAlign w:val="bottom"/>
          </w:tcPr>
          <w:p>
            <w:pPr>
              <w:spacing w:after="0"/>
              <w:rPr>
                <w:sz w:val="20"/>
                <w:szCs w:val="20"/>
                <w:color w:val="auto"/>
              </w:rPr>
            </w:pPr>
            <w:r>
              <w:rPr>
                <w:rFonts w:ascii="Arial" w:cs="Arial" w:eastAsia="Arial" w:hAnsi="Arial"/>
                <w:sz w:val="12"/>
                <w:szCs w:val="12"/>
                <w:b w:val="1"/>
                <w:bCs w:val="1"/>
                <w:color w:val="auto"/>
              </w:rPr>
              <w:t>Schedule 5.10 Insurance</w:t>
            </w:r>
          </w:p>
        </w:tc>
        <w:tc>
          <w:tcPr>
            <w:tcW w:w="14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8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820" w:type="dxa"/>
            <w:vAlign w:val="bottom"/>
            <w:tcBorders>
              <w:left w:val="single" w:sz="8" w:color="auto"/>
              <w:bottom w:val="single" w:sz="8" w:color="auto"/>
              <w:right w:val="single" w:sz="8" w:color="BEBEBE"/>
            </w:tcBorders>
            <w:shd w:val="clear" w:color="auto" w:fill="BEBEBE"/>
          </w:tcPr>
          <w:p>
            <w:pPr>
              <w:ind w:left="80"/>
              <w:spacing w:after="0" w:line="133" w:lineRule="exact"/>
              <w:rPr>
                <w:sz w:val="20"/>
                <w:szCs w:val="20"/>
                <w:color w:val="auto"/>
              </w:rPr>
            </w:pPr>
            <w:r>
              <w:rPr>
                <w:rFonts w:ascii="Arial" w:cs="Arial" w:eastAsia="Arial" w:hAnsi="Arial"/>
                <w:sz w:val="12"/>
                <w:szCs w:val="12"/>
                <w:b w:val="1"/>
                <w:bCs w:val="1"/>
                <w:color w:val="auto"/>
              </w:rPr>
              <w:t>Coverage/Limits as of:</w:t>
            </w:r>
          </w:p>
        </w:tc>
        <w:tc>
          <w:tcPr>
            <w:tcW w:w="1480" w:type="dxa"/>
            <w:vAlign w:val="bottom"/>
            <w:tcBorders>
              <w:bottom w:val="single" w:sz="8" w:color="auto"/>
              <w:right w:val="single" w:sz="8" w:color="auto"/>
            </w:tcBorders>
            <w:shd w:val="clear" w:color="auto" w:fill="BEBEBE"/>
          </w:tcPr>
          <w:p>
            <w:pPr>
              <w:spacing w:after="0"/>
              <w:rPr>
                <w:sz w:val="11"/>
                <w:szCs w:val="11"/>
                <w:color w:val="auto"/>
              </w:rPr>
            </w:pPr>
          </w:p>
        </w:tc>
        <w:tc>
          <w:tcPr>
            <w:tcW w:w="1780" w:type="dxa"/>
            <w:vAlign w:val="bottom"/>
            <w:tcBorders>
              <w:bottom w:val="single" w:sz="8" w:color="auto"/>
              <w:right w:val="single" w:sz="8" w:color="auto"/>
            </w:tcBorders>
            <w:shd w:val="clear" w:color="auto" w:fill="BEBEBE"/>
          </w:tcPr>
          <w:p>
            <w:pPr>
              <w:ind w:left="40"/>
              <w:spacing w:after="0" w:line="133" w:lineRule="exact"/>
              <w:rPr>
                <w:sz w:val="20"/>
                <w:szCs w:val="20"/>
                <w:color w:val="auto"/>
              </w:rPr>
            </w:pPr>
            <w:r>
              <w:rPr>
                <w:rFonts w:ascii="Arial" w:cs="Arial" w:eastAsia="Arial" w:hAnsi="Arial"/>
                <w:sz w:val="12"/>
                <w:szCs w:val="12"/>
                <w:b w:val="1"/>
                <w:bCs w:val="1"/>
                <w:color w:val="auto"/>
              </w:rPr>
              <w:t>July 1, 2017</w:t>
            </w:r>
          </w:p>
        </w:tc>
        <w:tc>
          <w:tcPr>
            <w:tcW w:w="1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18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1"/>
        </w:trPr>
        <w:tc>
          <w:tcPr>
            <w:tcW w:w="1820" w:type="dxa"/>
            <w:vAlign w:val="bottom"/>
            <w:tcBorders>
              <w:left w:val="single" w:sz="8" w:color="auto"/>
              <w:bottom w:val="single" w:sz="8" w:color="auto"/>
              <w:right w:val="single" w:sz="8" w:color="auto"/>
            </w:tcBorders>
            <w:shd w:val="clear" w:color="auto" w:fill="000080"/>
          </w:tcPr>
          <w:p>
            <w:pPr>
              <w:ind w:left="880"/>
              <w:spacing w:after="0" w:line="124" w:lineRule="exact"/>
              <w:rPr>
                <w:sz w:val="20"/>
                <w:szCs w:val="20"/>
                <w:color w:val="auto"/>
              </w:rPr>
            </w:pPr>
            <w:r>
              <w:rPr>
                <w:rFonts w:ascii="Arial" w:cs="Arial" w:eastAsia="Arial" w:hAnsi="Arial"/>
                <w:sz w:val="11"/>
                <w:szCs w:val="11"/>
                <w:b w:val="1"/>
                <w:bCs w:val="1"/>
                <w:color w:val="FFFFFF"/>
              </w:rPr>
              <w:t>Insurer</w:t>
            </w:r>
          </w:p>
        </w:tc>
        <w:tc>
          <w:tcPr>
            <w:tcW w:w="1480" w:type="dxa"/>
            <w:vAlign w:val="bottom"/>
            <w:tcBorders>
              <w:bottom w:val="single" w:sz="8" w:color="auto"/>
              <w:right w:val="single" w:sz="8" w:color="auto"/>
            </w:tcBorders>
            <w:shd w:val="clear" w:color="auto" w:fill="000080"/>
          </w:tcPr>
          <w:p>
            <w:pPr>
              <w:jc w:val="right"/>
              <w:ind w:right="746"/>
              <w:spacing w:after="0" w:line="124" w:lineRule="exact"/>
              <w:rPr>
                <w:sz w:val="20"/>
                <w:szCs w:val="20"/>
                <w:color w:val="auto"/>
              </w:rPr>
            </w:pPr>
            <w:r>
              <w:rPr>
                <w:rFonts w:ascii="Arial" w:cs="Arial" w:eastAsia="Arial" w:hAnsi="Arial"/>
                <w:sz w:val="11"/>
                <w:szCs w:val="11"/>
                <w:b w:val="1"/>
                <w:bCs w:val="1"/>
                <w:color w:val="FFFFFF"/>
              </w:rPr>
              <w:t>Policy #</w:t>
            </w:r>
          </w:p>
        </w:tc>
        <w:tc>
          <w:tcPr>
            <w:tcW w:w="1780" w:type="dxa"/>
            <w:vAlign w:val="bottom"/>
            <w:tcBorders>
              <w:bottom w:val="single" w:sz="8" w:color="auto"/>
              <w:right w:val="single" w:sz="8" w:color="000080"/>
            </w:tcBorders>
            <w:shd w:val="clear" w:color="auto" w:fill="000080"/>
          </w:tcPr>
          <w:p>
            <w:pPr>
              <w:jc w:val="center"/>
              <w:ind w:left="144"/>
              <w:spacing w:after="0" w:line="124" w:lineRule="exact"/>
              <w:rPr>
                <w:sz w:val="20"/>
                <w:szCs w:val="20"/>
                <w:color w:val="auto"/>
              </w:rPr>
            </w:pPr>
            <w:r>
              <w:rPr>
                <w:rFonts w:ascii="Arial" w:cs="Arial" w:eastAsia="Arial" w:hAnsi="Arial"/>
                <w:sz w:val="11"/>
                <w:szCs w:val="11"/>
                <w:b w:val="1"/>
                <w:bCs w:val="1"/>
                <w:color w:val="FFFFFF"/>
                <w:w w:val="88"/>
              </w:rPr>
              <w:t>Policy Period</w:t>
            </w:r>
          </w:p>
        </w:tc>
        <w:tc>
          <w:tcPr>
            <w:tcW w:w="120" w:type="dxa"/>
            <w:vAlign w:val="bottom"/>
            <w:tcBorders>
              <w:bottom w:val="single" w:sz="8" w:color="auto"/>
              <w:right w:val="single" w:sz="8" w:color="auto"/>
            </w:tcBorders>
            <w:shd w:val="clear" w:color="auto" w:fill="000080"/>
          </w:tcPr>
          <w:p>
            <w:pPr>
              <w:spacing w:after="0"/>
              <w:rPr>
                <w:sz w:val="11"/>
                <w:szCs w:val="11"/>
                <w:color w:val="auto"/>
              </w:rPr>
            </w:pPr>
          </w:p>
        </w:tc>
        <w:tc>
          <w:tcPr>
            <w:tcW w:w="3960" w:type="dxa"/>
            <w:vAlign w:val="bottom"/>
            <w:tcBorders>
              <w:bottom w:val="single" w:sz="8" w:color="auto"/>
              <w:right w:val="single" w:sz="8" w:color="auto"/>
            </w:tcBorders>
            <w:shd w:val="clear" w:color="auto" w:fill="000080"/>
          </w:tcPr>
          <w:p>
            <w:pPr>
              <w:ind w:left="1900"/>
              <w:spacing w:after="0" w:line="124" w:lineRule="exact"/>
              <w:rPr>
                <w:sz w:val="20"/>
                <w:szCs w:val="20"/>
                <w:color w:val="auto"/>
              </w:rPr>
            </w:pPr>
            <w:r>
              <w:rPr>
                <w:rFonts w:ascii="Arial" w:cs="Arial" w:eastAsia="Arial" w:hAnsi="Arial"/>
                <w:sz w:val="11"/>
                <w:szCs w:val="11"/>
                <w:b w:val="1"/>
                <w:bCs w:val="1"/>
                <w:color w:val="FFFFFF"/>
              </w:rPr>
              <w:t>Coverage</w:t>
            </w:r>
          </w:p>
        </w:tc>
        <w:tc>
          <w:tcPr>
            <w:tcW w:w="1340" w:type="dxa"/>
            <w:vAlign w:val="bottom"/>
            <w:tcBorders>
              <w:bottom w:val="single" w:sz="8" w:color="auto"/>
              <w:right w:val="single" w:sz="8" w:color="auto"/>
            </w:tcBorders>
            <w:shd w:val="clear" w:color="auto" w:fill="000080"/>
          </w:tcPr>
          <w:p>
            <w:pPr>
              <w:jc w:val="right"/>
              <w:ind w:right="511"/>
              <w:spacing w:after="0" w:line="124" w:lineRule="exact"/>
              <w:rPr>
                <w:sz w:val="20"/>
                <w:szCs w:val="20"/>
                <w:color w:val="auto"/>
              </w:rPr>
            </w:pPr>
            <w:r>
              <w:rPr>
                <w:rFonts w:ascii="Arial" w:cs="Arial" w:eastAsia="Arial" w:hAnsi="Arial"/>
                <w:sz w:val="11"/>
                <w:szCs w:val="11"/>
                <w:b w:val="1"/>
                <w:bCs w:val="1"/>
                <w:color w:val="FFFFFF"/>
              </w:rPr>
              <w:t>Limit</w:t>
            </w:r>
          </w:p>
        </w:tc>
        <w:tc>
          <w:tcPr>
            <w:tcW w:w="980" w:type="dxa"/>
            <w:vAlign w:val="bottom"/>
            <w:tcBorders>
              <w:bottom w:val="single" w:sz="8" w:color="auto"/>
              <w:right w:val="single" w:sz="8" w:color="auto"/>
            </w:tcBorders>
            <w:shd w:val="clear" w:color="auto" w:fill="000080"/>
          </w:tcPr>
          <w:p>
            <w:pPr>
              <w:ind w:left="200"/>
              <w:spacing w:after="0" w:line="124" w:lineRule="exact"/>
              <w:rPr>
                <w:sz w:val="20"/>
                <w:szCs w:val="20"/>
                <w:color w:val="auto"/>
              </w:rPr>
            </w:pPr>
            <w:r>
              <w:rPr>
                <w:rFonts w:ascii="Arial" w:cs="Arial" w:eastAsia="Arial" w:hAnsi="Arial"/>
                <w:sz w:val="11"/>
                <w:szCs w:val="11"/>
                <w:b w:val="1"/>
                <w:bCs w:val="1"/>
                <w:color w:val="FFFFFF"/>
              </w:rPr>
              <w:t>Total</w:t>
            </w:r>
          </w:p>
        </w:tc>
        <w:tc>
          <w:tcPr>
            <w:tcW w:w="0" w:type="dxa"/>
            <w:vAlign w:val="bottom"/>
          </w:tcPr>
          <w:p>
            <w:pPr>
              <w:spacing w:after="0"/>
              <w:rPr>
                <w:sz w:val="1"/>
                <w:szCs w:val="1"/>
                <w:color w:val="auto"/>
              </w:rPr>
            </w:pPr>
          </w:p>
        </w:tc>
      </w:tr>
      <w:tr>
        <w:trPr>
          <w:trHeight w:val="135"/>
        </w:trPr>
        <w:tc>
          <w:tcPr>
            <w:tcW w:w="3300" w:type="dxa"/>
            <w:vAlign w:val="bottom"/>
            <w:tcBorders>
              <w:left w:val="single" w:sz="8" w:color="auto"/>
              <w:bottom w:val="single" w:sz="8" w:color="auto"/>
              <w:right w:val="single" w:sz="8" w:color="C0C0C0"/>
            </w:tcBorders>
            <w:gridSpan w:val="2"/>
            <w:shd w:val="clear" w:color="auto" w:fill="C0C0C0"/>
          </w:tcPr>
          <w:p>
            <w:pPr>
              <w:ind w:left="20"/>
              <w:spacing w:after="0"/>
              <w:rPr>
                <w:sz w:val="20"/>
                <w:szCs w:val="20"/>
                <w:color w:val="auto"/>
              </w:rPr>
            </w:pPr>
            <w:r>
              <w:rPr>
                <w:rFonts w:ascii="Arial" w:cs="Arial" w:eastAsia="Arial" w:hAnsi="Arial"/>
                <w:sz w:val="11"/>
                <w:szCs w:val="11"/>
                <w:b w:val="1"/>
                <w:bCs w:val="1"/>
                <w:color w:val="auto"/>
                <w:w w:val="88"/>
              </w:rPr>
              <w:t>Global Property - Does not include all Limits, please consult Policy for</w:t>
            </w:r>
          </w:p>
        </w:tc>
        <w:tc>
          <w:tcPr>
            <w:tcW w:w="1900" w:type="dxa"/>
            <w:vAlign w:val="bottom"/>
            <w:tcBorders>
              <w:bottom w:val="single" w:sz="8" w:color="auto"/>
              <w:right w:val="single" w:sz="8" w:color="C0C0C0"/>
            </w:tcBorders>
            <w:gridSpan w:val="2"/>
            <w:shd w:val="clear" w:color="auto" w:fill="C0C0C0"/>
          </w:tcPr>
          <w:p>
            <w:pPr>
              <w:spacing w:after="0"/>
              <w:rPr>
                <w:sz w:val="20"/>
                <w:szCs w:val="20"/>
                <w:color w:val="auto"/>
              </w:rPr>
            </w:pPr>
            <w:r>
              <w:rPr>
                <w:rFonts w:ascii="Arial" w:cs="Arial" w:eastAsia="Arial" w:hAnsi="Arial"/>
                <w:sz w:val="11"/>
                <w:szCs w:val="11"/>
                <w:b w:val="1"/>
                <w:bCs w:val="1"/>
                <w:color w:val="auto"/>
                <w:w w:val="82"/>
              </w:rPr>
              <w:t>full set of Coverage Limits and Deductibles</w:t>
            </w:r>
          </w:p>
        </w:tc>
        <w:tc>
          <w:tcPr>
            <w:tcW w:w="3960" w:type="dxa"/>
            <w:vAlign w:val="bottom"/>
            <w:tcBorders>
              <w:bottom w:val="single" w:sz="8" w:color="auto"/>
              <w:right w:val="single" w:sz="8" w:color="C0C0C0"/>
            </w:tcBorders>
            <w:shd w:val="clear" w:color="auto" w:fill="C0C0C0"/>
          </w:tcPr>
          <w:p>
            <w:pPr>
              <w:spacing w:after="0"/>
              <w:rPr>
                <w:sz w:val="11"/>
                <w:szCs w:val="11"/>
                <w:color w:val="auto"/>
              </w:rPr>
            </w:pPr>
          </w:p>
        </w:tc>
        <w:tc>
          <w:tcPr>
            <w:tcW w:w="1340" w:type="dxa"/>
            <w:vAlign w:val="bottom"/>
            <w:tcBorders>
              <w:bottom w:val="single" w:sz="8" w:color="auto"/>
              <w:right w:val="single" w:sz="8" w:color="C0C0C0"/>
            </w:tcBorders>
            <w:shd w:val="clear" w:color="auto" w:fill="C0C0C0"/>
          </w:tcPr>
          <w:p>
            <w:pPr>
              <w:spacing w:after="0"/>
              <w:rPr>
                <w:sz w:val="11"/>
                <w:szCs w:val="11"/>
                <w:color w:val="auto"/>
              </w:rPr>
            </w:pPr>
          </w:p>
        </w:tc>
        <w:tc>
          <w:tcPr>
            <w:tcW w:w="980" w:type="dxa"/>
            <w:vAlign w:val="bottom"/>
            <w:tcBorders>
              <w:bottom w:val="single" w:sz="8" w:color="auto"/>
              <w:right w:val="single" w:sz="8" w:color="auto"/>
            </w:tcBorders>
            <w:shd w:val="clear" w:color="auto" w:fill="C0C0C0"/>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82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American Home</w:t>
            </w:r>
          </w:p>
        </w:tc>
        <w:tc>
          <w:tcPr>
            <w:tcW w:w="1480" w:type="dxa"/>
            <w:vAlign w:val="bottom"/>
            <w:tcBorders>
              <w:right w:val="single" w:sz="8" w:color="auto"/>
            </w:tcBorders>
          </w:tcPr>
          <w:p>
            <w:pPr>
              <w:jc w:val="right"/>
              <w:ind w:right="606"/>
              <w:spacing w:after="0" w:line="124" w:lineRule="exact"/>
              <w:rPr>
                <w:sz w:val="20"/>
                <w:szCs w:val="20"/>
                <w:color w:val="auto"/>
              </w:rPr>
            </w:pPr>
            <w:r>
              <w:rPr>
                <w:rFonts w:ascii="Arial" w:cs="Arial" w:eastAsia="Arial" w:hAnsi="Arial"/>
                <w:sz w:val="11"/>
                <w:szCs w:val="11"/>
                <w:b w:val="1"/>
                <w:bCs w:val="1"/>
                <w:color w:val="auto"/>
              </w:rPr>
              <w:t>***</w:t>
            </w:r>
          </w:p>
        </w:tc>
        <w:tc>
          <w:tcPr>
            <w:tcW w:w="1780" w:type="dxa"/>
            <w:vAlign w:val="bottom"/>
          </w:tcPr>
          <w:p>
            <w:pPr>
              <w:jc w:val="right"/>
              <w:ind w:right="264"/>
              <w:spacing w:after="0" w:line="124" w:lineRule="exact"/>
              <w:rPr>
                <w:sz w:val="20"/>
                <w:szCs w:val="20"/>
                <w:color w:val="auto"/>
              </w:rPr>
            </w:pPr>
            <w:r>
              <w:rPr>
                <w:rFonts w:ascii="Arial" w:cs="Arial" w:eastAsia="Arial" w:hAnsi="Arial"/>
                <w:sz w:val="11"/>
                <w:szCs w:val="11"/>
                <w:color w:val="auto"/>
              </w:rPr>
              <w:t>6/30/2017 - 6/30/2018</w:t>
            </w:r>
          </w:p>
        </w:tc>
        <w:tc>
          <w:tcPr>
            <w:tcW w:w="120" w:type="dxa"/>
            <w:vAlign w:val="bottom"/>
            <w:tcBorders>
              <w:right w:val="single" w:sz="8" w:color="auto"/>
            </w:tcBorders>
          </w:tcPr>
          <w:p>
            <w:pPr>
              <w:spacing w:after="0"/>
              <w:rPr>
                <w:sz w:val="10"/>
                <w:szCs w:val="10"/>
                <w:color w:val="auto"/>
              </w:rPr>
            </w:pPr>
          </w:p>
        </w:tc>
        <w:tc>
          <w:tcPr>
            <w:tcW w:w="39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Master Policy: Total Limit</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$250,000,000</w:t>
            </w:r>
          </w:p>
        </w:tc>
        <w:tc>
          <w:tcPr>
            <w:tcW w:w="980" w:type="dxa"/>
            <w:vAlign w:val="bottom"/>
            <w:tcBorders>
              <w:right w:val="single" w:sz="8" w:color="auto"/>
            </w:tcBorders>
          </w:tcPr>
          <w:p>
            <w:pPr>
              <w:jc w:val="right"/>
              <w:ind w:right="468"/>
              <w:spacing w:after="0" w:line="124"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4"/>
        </w:trPr>
        <w:tc>
          <w:tcPr>
            <w:tcW w:w="1820" w:type="dxa"/>
            <w:vAlign w:val="bottom"/>
            <w:tcBorders>
              <w:left w:val="single" w:sz="8" w:color="auto"/>
              <w:right w:val="single" w:sz="8" w:color="auto"/>
            </w:tcBorders>
          </w:tcPr>
          <w:p>
            <w:pPr>
              <w:ind w:left="20"/>
              <w:spacing w:after="0" w:line="116" w:lineRule="exact"/>
              <w:rPr>
                <w:sz w:val="20"/>
                <w:szCs w:val="20"/>
                <w:color w:val="auto"/>
              </w:rPr>
            </w:pPr>
            <w:r>
              <w:rPr>
                <w:rFonts w:ascii="Arial" w:cs="Arial" w:eastAsia="Arial" w:hAnsi="Arial"/>
                <w:sz w:val="11"/>
                <w:szCs w:val="11"/>
                <w:color w:val="auto"/>
              </w:rPr>
              <w:t>Assurance Company</w:t>
            </w: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Earth Movement</w:t>
            </w:r>
          </w:p>
        </w:tc>
        <w:tc>
          <w:tcPr>
            <w:tcW w:w="1340" w:type="dxa"/>
            <w:vAlign w:val="bottom"/>
            <w:tcBorders>
              <w:bottom w:val="single" w:sz="8" w:color="auto"/>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60" w:type="dxa"/>
            <w:vAlign w:val="bottom"/>
            <w:tcBorders>
              <w:bottom w:val="single" w:sz="8" w:color="auto"/>
              <w:right w:val="single" w:sz="8" w:color="auto"/>
            </w:tcBorders>
          </w:tcPr>
          <w:p>
            <w:pPr>
              <w:ind w:left="80"/>
              <w:spacing w:after="0" w:line="124" w:lineRule="exact"/>
              <w:rPr>
                <w:sz w:val="20"/>
                <w:szCs w:val="20"/>
                <w:color w:val="auto"/>
              </w:rPr>
            </w:pPr>
            <w:r>
              <w:rPr>
                <w:rFonts w:ascii="Arial" w:cs="Arial" w:eastAsia="Arial" w:hAnsi="Arial"/>
                <w:sz w:val="11"/>
                <w:szCs w:val="11"/>
                <w:color w:val="auto"/>
              </w:rPr>
              <w:t>Aggregate</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$250,000,000</w:t>
            </w:r>
          </w:p>
        </w:tc>
        <w:tc>
          <w:tcPr>
            <w:tcW w:w="9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60" w:type="dxa"/>
            <w:vAlign w:val="bottom"/>
            <w:tcBorders>
              <w:bottom w:val="single" w:sz="8" w:color="auto"/>
              <w:right w:val="single" w:sz="8" w:color="auto"/>
            </w:tcBorders>
          </w:tcPr>
          <w:p>
            <w:pPr>
              <w:ind w:left="80"/>
              <w:spacing w:after="0" w:line="124" w:lineRule="exact"/>
              <w:rPr>
                <w:sz w:val="20"/>
                <w:szCs w:val="20"/>
                <w:color w:val="auto"/>
              </w:rPr>
            </w:pPr>
            <w:r>
              <w:rPr>
                <w:rFonts w:ascii="Arial" w:cs="Arial" w:eastAsia="Arial" w:hAnsi="Arial"/>
                <w:sz w:val="11"/>
                <w:szCs w:val="11"/>
                <w:color w:val="auto"/>
              </w:rPr>
              <w:t>CA, AK, Hi, PR</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$5,000,000</w:t>
            </w:r>
          </w:p>
        </w:tc>
        <w:tc>
          <w:tcPr>
            <w:tcW w:w="9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60" w:type="dxa"/>
            <w:vAlign w:val="bottom"/>
            <w:tcBorders>
              <w:bottom w:val="single" w:sz="8" w:color="auto"/>
              <w:right w:val="single" w:sz="8" w:color="auto"/>
            </w:tcBorders>
          </w:tcPr>
          <w:p>
            <w:pPr>
              <w:ind w:left="80"/>
              <w:spacing w:after="0" w:line="124" w:lineRule="exact"/>
              <w:rPr>
                <w:sz w:val="20"/>
                <w:szCs w:val="20"/>
                <w:color w:val="auto"/>
              </w:rPr>
            </w:pPr>
            <w:r>
              <w:rPr>
                <w:rFonts w:ascii="Arial" w:cs="Arial" w:eastAsia="Arial" w:hAnsi="Arial"/>
                <w:sz w:val="11"/>
                <w:szCs w:val="11"/>
                <w:color w:val="auto"/>
              </w:rPr>
              <w:t>New Madrid Earthquake Zone Counties</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$5,000,000</w:t>
            </w:r>
          </w:p>
        </w:tc>
        <w:tc>
          <w:tcPr>
            <w:tcW w:w="9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60" w:type="dxa"/>
            <w:vAlign w:val="bottom"/>
            <w:tcBorders>
              <w:bottom w:val="single" w:sz="8" w:color="auto"/>
              <w:right w:val="single" w:sz="8" w:color="auto"/>
            </w:tcBorders>
          </w:tcPr>
          <w:p>
            <w:pPr>
              <w:ind w:left="80"/>
              <w:spacing w:after="0" w:line="124" w:lineRule="exact"/>
              <w:rPr>
                <w:sz w:val="20"/>
                <w:szCs w:val="20"/>
                <w:color w:val="auto"/>
              </w:rPr>
            </w:pPr>
            <w:r>
              <w:rPr>
                <w:rFonts w:ascii="Arial" w:cs="Arial" w:eastAsia="Arial" w:hAnsi="Arial"/>
                <w:sz w:val="11"/>
                <w:szCs w:val="11"/>
                <w:color w:val="auto"/>
              </w:rPr>
              <w:t>Pacific Northwest Earthquake Zone Counties</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$5,000,000</w:t>
            </w:r>
          </w:p>
        </w:tc>
        <w:tc>
          <w:tcPr>
            <w:tcW w:w="9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60" w:type="dxa"/>
            <w:vAlign w:val="bottom"/>
            <w:tcBorders>
              <w:bottom w:val="single" w:sz="8" w:color="auto"/>
              <w:right w:val="single" w:sz="8" w:color="auto"/>
            </w:tcBorders>
          </w:tcPr>
          <w:p>
            <w:pPr>
              <w:ind w:left="80"/>
              <w:spacing w:after="0" w:line="124" w:lineRule="exact"/>
              <w:rPr>
                <w:sz w:val="20"/>
                <w:szCs w:val="20"/>
                <w:color w:val="auto"/>
              </w:rPr>
            </w:pPr>
            <w:r>
              <w:rPr>
                <w:rFonts w:ascii="Arial" w:cs="Arial" w:eastAsia="Arial" w:hAnsi="Arial"/>
                <w:sz w:val="11"/>
                <w:szCs w:val="11"/>
                <w:i w:val="1"/>
                <w:iCs w:val="1"/>
                <w:color w:val="auto"/>
              </w:rPr>
              <w:t>Earth Movement Deductibles</w:t>
            </w:r>
          </w:p>
        </w:tc>
        <w:tc>
          <w:tcPr>
            <w:tcW w:w="1340" w:type="dxa"/>
            <w:vAlign w:val="bottom"/>
            <w:tcBorders>
              <w:bottom w:val="single" w:sz="8" w:color="auto"/>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60" w:type="dxa"/>
            <w:vAlign w:val="bottom"/>
            <w:tcBorders>
              <w:bottom w:val="single" w:sz="8" w:color="auto"/>
              <w:right w:val="single" w:sz="8" w:color="auto"/>
            </w:tcBorders>
          </w:tcPr>
          <w:p>
            <w:pPr>
              <w:ind w:left="180"/>
              <w:spacing w:after="0" w:line="124" w:lineRule="exact"/>
              <w:rPr>
                <w:sz w:val="20"/>
                <w:szCs w:val="20"/>
                <w:color w:val="auto"/>
              </w:rPr>
            </w:pPr>
            <w:r>
              <w:rPr>
                <w:rFonts w:ascii="Arial" w:cs="Arial" w:eastAsia="Arial" w:hAnsi="Arial"/>
                <w:sz w:val="11"/>
                <w:szCs w:val="11"/>
                <w:i w:val="1"/>
                <w:iCs w:val="1"/>
                <w:color w:val="auto"/>
              </w:rPr>
              <w:t>Per Occurrence</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i w:val="1"/>
                <w:iCs w:val="1"/>
                <w:color w:val="auto"/>
              </w:rPr>
              <w:t>$100,000</w:t>
            </w:r>
          </w:p>
        </w:tc>
        <w:tc>
          <w:tcPr>
            <w:tcW w:w="9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right w:val="single" w:sz="8" w:color="auto"/>
            </w:tcBorders>
          </w:tcPr>
          <w:p>
            <w:pPr>
              <w:spacing w:after="0"/>
              <w:rPr>
                <w:sz w:val="7"/>
                <w:szCs w:val="7"/>
                <w:color w:val="auto"/>
              </w:rPr>
            </w:pPr>
          </w:p>
        </w:tc>
        <w:tc>
          <w:tcPr>
            <w:tcW w:w="1480" w:type="dxa"/>
            <w:vAlign w:val="bottom"/>
            <w:tcBorders>
              <w:right w:val="single" w:sz="8" w:color="auto"/>
            </w:tcBorders>
          </w:tcPr>
          <w:p>
            <w:pPr>
              <w:spacing w:after="0"/>
              <w:rPr>
                <w:sz w:val="7"/>
                <w:szCs w:val="7"/>
                <w:color w:val="auto"/>
              </w:rPr>
            </w:pPr>
          </w:p>
        </w:tc>
        <w:tc>
          <w:tcPr>
            <w:tcW w:w="178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3960" w:type="dxa"/>
            <w:vAlign w:val="bottom"/>
            <w:tcBorders>
              <w:right w:val="single" w:sz="8" w:color="auto"/>
            </w:tcBorders>
          </w:tcPr>
          <w:p>
            <w:pPr>
              <w:ind w:left="180"/>
              <w:spacing w:after="0" w:line="88" w:lineRule="exact"/>
              <w:rPr>
                <w:sz w:val="20"/>
                <w:szCs w:val="20"/>
                <w:color w:val="auto"/>
              </w:rPr>
            </w:pPr>
            <w:r>
              <w:rPr>
                <w:rFonts w:ascii="Arial" w:cs="Arial" w:eastAsia="Arial" w:hAnsi="Arial"/>
                <w:sz w:val="10"/>
                <w:szCs w:val="10"/>
                <w:i w:val="1"/>
                <w:iCs w:val="1"/>
                <w:color w:val="auto"/>
              </w:rPr>
              <w:t>CA, AK, HI, PR</w:t>
            </w:r>
          </w:p>
        </w:tc>
        <w:tc>
          <w:tcPr>
            <w:tcW w:w="1340" w:type="dxa"/>
            <w:vAlign w:val="bottom"/>
            <w:tcBorders>
              <w:right w:val="single" w:sz="8" w:color="auto"/>
            </w:tcBorders>
          </w:tcPr>
          <w:p>
            <w:pPr>
              <w:jc w:val="right"/>
              <w:ind w:right="211"/>
              <w:spacing w:after="0" w:line="88" w:lineRule="exact"/>
              <w:rPr>
                <w:sz w:val="20"/>
                <w:szCs w:val="20"/>
                <w:color w:val="auto"/>
              </w:rPr>
            </w:pPr>
            <w:r>
              <w:rPr>
                <w:rFonts w:ascii="Arial" w:cs="Arial" w:eastAsia="Arial" w:hAnsi="Arial"/>
                <w:sz w:val="9"/>
                <w:szCs w:val="9"/>
                <w:i w:val="1"/>
                <w:iCs w:val="1"/>
                <w:color w:val="auto"/>
              </w:rPr>
              <w:t>5% of Total Insurable</w:t>
            </w:r>
          </w:p>
        </w:tc>
        <w:tc>
          <w:tcPr>
            <w:tcW w:w="9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820" w:type="dxa"/>
            <w:vAlign w:val="bottom"/>
            <w:tcBorders>
              <w:left w:val="single" w:sz="8" w:color="auto"/>
              <w:right w:val="single" w:sz="8" w:color="auto"/>
            </w:tcBorders>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178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3960" w:type="dxa"/>
            <w:vAlign w:val="bottom"/>
            <w:tcBorders>
              <w:right w:val="single" w:sz="8" w:color="auto"/>
            </w:tcBorders>
          </w:tcPr>
          <w:p>
            <w:pPr>
              <w:spacing w:after="0"/>
              <w:rPr>
                <w:sz w:val="9"/>
                <w:szCs w:val="9"/>
                <w:color w:val="auto"/>
              </w:rPr>
            </w:pPr>
          </w:p>
        </w:tc>
        <w:tc>
          <w:tcPr>
            <w:tcW w:w="1340" w:type="dxa"/>
            <w:vAlign w:val="bottom"/>
            <w:tcBorders>
              <w:right w:val="single" w:sz="8" w:color="auto"/>
            </w:tcBorders>
          </w:tcPr>
          <w:p>
            <w:pPr>
              <w:jc w:val="right"/>
              <w:ind w:right="211"/>
              <w:spacing w:after="0"/>
              <w:rPr>
                <w:sz w:val="20"/>
                <w:szCs w:val="20"/>
                <w:color w:val="auto"/>
              </w:rPr>
            </w:pPr>
            <w:r>
              <w:rPr>
                <w:rFonts w:ascii="Arial" w:cs="Arial" w:eastAsia="Arial" w:hAnsi="Arial"/>
                <w:sz w:val="9"/>
                <w:szCs w:val="9"/>
                <w:i w:val="1"/>
                <w:iCs w:val="1"/>
                <w:color w:val="auto"/>
              </w:rPr>
              <w:t>Values at the time of the</w:t>
            </w:r>
          </w:p>
        </w:tc>
        <w:tc>
          <w:tcPr>
            <w:tcW w:w="9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6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9"/>
                <w:szCs w:val="9"/>
                <w:i w:val="1"/>
                <w:iCs w:val="1"/>
                <w:color w:val="auto"/>
              </w:rPr>
              <w:t>loss at each covered</w:t>
            </w:r>
          </w:p>
        </w:tc>
        <w:tc>
          <w:tcPr>
            <w:tcW w:w="9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6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9"/>
                <w:szCs w:val="9"/>
                <w:i w:val="1"/>
                <w:iCs w:val="1"/>
                <w:color w:val="auto"/>
              </w:rPr>
              <w:t>location involved in the</w:t>
            </w:r>
          </w:p>
        </w:tc>
        <w:tc>
          <w:tcPr>
            <w:tcW w:w="9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6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9"/>
                <w:szCs w:val="9"/>
                <w:i w:val="1"/>
                <w:iCs w:val="1"/>
                <w:color w:val="auto"/>
              </w:rPr>
              <w:t>loss or damage, subject</w:t>
            </w:r>
          </w:p>
        </w:tc>
        <w:tc>
          <w:tcPr>
            <w:tcW w:w="9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6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9"/>
                <w:szCs w:val="9"/>
                <w:i w:val="1"/>
                <w:iCs w:val="1"/>
                <w:color w:val="auto"/>
              </w:rPr>
              <w:t>to a minimum of $250K</w:t>
            </w:r>
          </w:p>
        </w:tc>
        <w:tc>
          <w:tcPr>
            <w:tcW w:w="9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6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9"/>
                <w:szCs w:val="9"/>
                <w:i w:val="1"/>
                <w:iCs w:val="1"/>
                <w:color w:val="auto"/>
              </w:rPr>
              <w:t>and a max of $1M</w:t>
            </w:r>
          </w:p>
        </w:tc>
        <w:tc>
          <w:tcPr>
            <w:tcW w:w="9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820" w:type="dxa"/>
            <w:vAlign w:val="bottom"/>
            <w:tcBorders>
              <w:left w:val="single" w:sz="8" w:color="auto"/>
              <w:right w:val="single" w:sz="8" w:color="auto"/>
            </w:tcBorders>
          </w:tcPr>
          <w:p>
            <w:pPr>
              <w:spacing w:after="0"/>
              <w:rPr>
                <w:sz w:val="11"/>
                <w:szCs w:val="11"/>
                <w:color w:val="auto"/>
              </w:rPr>
            </w:pPr>
          </w:p>
        </w:tc>
        <w:tc>
          <w:tcPr>
            <w:tcW w:w="1480" w:type="dxa"/>
            <w:vAlign w:val="bottom"/>
            <w:tcBorders>
              <w:right w:val="single" w:sz="8" w:color="auto"/>
            </w:tcBorders>
          </w:tcPr>
          <w:p>
            <w:pPr>
              <w:spacing w:after="0"/>
              <w:rPr>
                <w:sz w:val="11"/>
                <w:szCs w:val="11"/>
                <w:color w:val="auto"/>
              </w:rPr>
            </w:pPr>
          </w:p>
        </w:tc>
        <w:tc>
          <w:tcPr>
            <w:tcW w:w="17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3960" w:type="dxa"/>
            <w:vAlign w:val="bottom"/>
            <w:tcBorders>
              <w:bottom w:val="single" w:sz="8" w:color="auto"/>
              <w:right w:val="single" w:sz="8" w:color="auto"/>
            </w:tcBorders>
          </w:tcPr>
          <w:p>
            <w:pPr>
              <w:spacing w:after="0"/>
              <w:rPr>
                <w:sz w:val="11"/>
                <w:szCs w:val="11"/>
                <w:color w:val="auto"/>
              </w:rPr>
            </w:pPr>
          </w:p>
        </w:tc>
        <w:tc>
          <w:tcPr>
            <w:tcW w:w="1340" w:type="dxa"/>
            <w:vAlign w:val="bottom"/>
            <w:tcBorders>
              <w:bottom w:val="single" w:sz="8" w:color="auto"/>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right w:val="single" w:sz="8" w:color="auto"/>
            </w:tcBorders>
          </w:tcPr>
          <w:p>
            <w:pPr>
              <w:spacing w:after="0"/>
              <w:rPr>
                <w:sz w:val="7"/>
                <w:szCs w:val="7"/>
                <w:color w:val="auto"/>
              </w:rPr>
            </w:pPr>
          </w:p>
        </w:tc>
        <w:tc>
          <w:tcPr>
            <w:tcW w:w="1480" w:type="dxa"/>
            <w:vAlign w:val="bottom"/>
            <w:tcBorders>
              <w:right w:val="single" w:sz="8" w:color="auto"/>
            </w:tcBorders>
          </w:tcPr>
          <w:p>
            <w:pPr>
              <w:spacing w:after="0"/>
              <w:rPr>
                <w:sz w:val="7"/>
                <w:szCs w:val="7"/>
                <w:color w:val="auto"/>
              </w:rPr>
            </w:pPr>
          </w:p>
        </w:tc>
        <w:tc>
          <w:tcPr>
            <w:tcW w:w="178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3960" w:type="dxa"/>
            <w:vAlign w:val="bottom"/>
            <w:tcBorders>
              <w:right w:val="single" w:sz="8" w:color="auto"/>
            </w:tcBorders>
          </w:tcPr>
          <w:p>
            <w:pPr>
              <w:ind w:left="180"/>
              <w:spacing w:after="0" w:line="88" w:lineRule="exact"/>
              <w:rPr>
                <w:sz w:val="20"/>
                <w:szCs w:val="20"/>
                <w:color w:val="auto"/>
              </w:rPr>
            </w:pPr>
            <w:r>
              <w:rPr>
                <w:rFonts w:ascii="Arial" w:cs="Arial" w:eastAsia="Arial" w:hAnsi="Arial"/>
                <w:sz w:val="10"/>
                <w:szCs w:val="10"/>
                <w:i w:val="1"/>
                <w:iCs w:val="1"/>
                <w:color w:val="auto"/>
              </w:rPr>
              <w:t>Pacific Northwest Earthquake Zone Counties and New Madrid Earthquake Zone</w:t>
            </w:r>
          </w:p>
        </w:tc>
        <w:tc>
          <w:tcPr>
            <w:tcW w:w="1340" w:type="dxa"/>
            <w:vAlign w:val="bottom"/>
            <w:tcBorders>
              <w:right w:val="single" w:sz="8" w:color="auto"/>
            </w:tcBorders>
          </w:tcPr>
          <w:p>
            <w:pPr>
              <w:jc w:val="right"/>
              <w:ind w:right="431"/>
              <w:spacing w:after="0" w:line="88" w:lineRule="exact"/>
              <w:rPr>
                <w:sz w:val="20"/>
                <w:szCs w:val="20"/>
                <w:color w:val="auto"/>
              </w:rPr>
            </w:pPr>
            <w:r>
              <w:rPr>
                <w:rFonts w:ascii="Arial" w:cs="Arial" w:eastAsia="Arial" w:hAnsi="Arial"/>
                <w:sz w:val="9"/>
                <w:szCs w:val="9"/>
                <w:i w:val="1"/>
                <w:iCs w:val="1"/>
                <w:color w:val="auto"/>
                <w:w w:val="98"/>
              </w:rPr>
              <w:t>5% of Total Insurable</w:t>
            </w:r>
          </w:p>
        </w:tc>
        <w:tc>
          <w:tcPr>
            <w:tcW w:w="9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tcPr>
          <w:p>
            <w:pPr>
              <w:spacing w:after="0"/>
              <w:rPr>
                <w:sz w:val="7"/>
                <w:szCs w:val="7"/>
                <w:color w:val="auto"/>
              </w:rPr>
            </w:pPr>
          </w:p>
        </w:tc>
        <w:tc>
          <w:tcPr>
            <w:tcW w:w="1480" w:type="dxa"/>
            <w:vAlign w:val="bottom"/>
            <w:tcBorders>
              <w:right w:val="single" w:sz="8" w:color="auto"/>
            </w:tcBorders>
          </w:tcPr>
          <w:p>
            <w:pPr>
              <w:spacing w:after="0"/>
              <w:rPr>
                <w:sz w:val="7"/>
                <w:szCs w:val="7"/>
                <w:color w:val="auto"/>
              </w:rPr>
            </w:pPr>
          </w:p>
        </w:tc>
        <w:tc>
          <w:tcPr>
            <w:tcW w:w="178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39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1"/>
                <w:szCs w:val="11"/>
                <w:i w:val="1"/>
                <w:iCs w:val="1"/>
                <w:color w:val="auto"/>
              </w:rPr>
              <w:t>Counties</w:t>
            </w:r>
          </w:p>
        </w:tc>
        <w:tc>
          <w:tcPr>
            <w:tcW w:w="1340" w:type="dxa"/>
            <w:vAlign w:val="bottom"/>
            <w:tcBorders>
              <w:right w:val="single" w:sz="8" w:color="auto"/>
            </w:tcBorders>
          </w:tcPr>
          <w:p>
            <w:pPr>
              <w:jc w:val="right"/>
              <w:ind w:right="171"/>
              <w:spacing w:after="0" w:line="92" w:lineRule="exact"/>
              <w:rPr>
                <w:sz w:val="20"/>
                <w:szCs w:val="20"/>
                <w:color w:val="auto"/>
              </w:rPr>
            </w:pPr>
            <w:r>
              <w:rPr>
                <w:rFonts w:ascii="Arial" w:cs="Arial" w:eastAsia="Arial" w:hAnsi="Arial"/>
                <w:sz w:val="9"/>
                <w:szCs w:val="9"/>
                <w:i w:val="1"/>
                <w:iCs w:val="1"/>
                <w:color w:val="auto"/>
                <w:w w:val="87"/>
              </w:rPr>
              <w:t>Values at the time of the loss at</w:t>
            </w:r>
          </w:p>
        </w:tc>
        <w:tc>
          <w:tcPr>
            <w:tcW w:w="9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820" w:type="dxa"/>
            <w:vAlign w:val="bottom"/>
            <w:tcBorders>
              <w:left w:val="single" w:sz="8" w:color="auto"/>
              <w:right w:val="single" w:sz="8" w:color="auto"/>
            </w:tcBorders>
          </w:tcPr>
          <w:p>
            <w:pPr>
              <w:spacing w:after="0"/>
              <w:rPr>
                <w:sz w:val="6"/>
                <w:szCs w:val="6"/>
                <w:color w:val="auto"/>
              </w:rPr>
            </w:pPr>
          </w:p>
        </w:tc>
        <w:tc>
          <w:tcPr>
            <w:tcW w:w="1480" w:type="dxa"/>
            <w:vAlign w:val="bottom"/>
            <w:tcBorders>
              <w:right w:val="single" w:sz="8" w:color="auto"/>
            </w:tcBorders>
          </w:tcPr>
          <w:p>
            <w:pPr>
              <w:spacing w:after="0"/>
              <w:rPr>
                <w:sz w:val="6"/>
                <w:szCs w:val="6"/>
                <w:color w:val="auto"/>
              </w:rPr>
            </w:pPr>
          </w:p>
        </w:tc>
        <w:tc>
          <w:tcPr>
            <w:tcW w:w="178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3960" w:type="dxa"/>
            <w:vAlign w:val="bottom"/>
            <w:tcBorders>
              <w:right w:val="single" w:sz="8" w:color="auto"/>
            </w:tcBorders>
            <w:vMerge w:val="continue"/>
          </w:tcPr>
          <w:p>
            <w:pPr>
              <w:spacing w:after="0"/>
              <w:rPr>
                <w:sz w:val="6"/>
                <w:szCs w:val="6"/>
                <w:color w:val="auto"/>
              </w:rPr>
            </w:pPr>
          </w:p>
        </w:tc>
        <w:tc>
          <w:tcPr>
            <w:tcW w:w="1340" w:type="dxa"/>
            <w:vAlign w:val="bottom"/>
            <w:tcBorders>
              <w:right w:val="single" w:sz="8" w:color="auto"/>
            </w:tcBorders>
            <w:vMerge w:val="restart"/>
          </w:tcPr>
          <w:p>
            <w:pPr>
              <w:jc w:val="right"/>
              <w:ind w:right="671"/>
              <w:spacing w:after="0"/>
              <w:rPr>
                <w:sz w:val="20"/>
                <w:szCs w:val="20"/>
                <w:color w:val="auto"/>
              </w:rPr>
            </w:pPr>
            <w:r>
              <w:rPr>
                <w:rFonts w:ascii="Arial" w:cs="Arial" w:eastAsia="Arial" w:hAnsi="Arial"/>
                <w:sz w:val="9"/>
                <w:szCs w:val="9"/>
                <w:i w:val="1"/>
                <w:iCs w:val="1"/>
                <w:color w:val="auto"/>
              </w:rPr>
              <w:t>each covered</w:t>
            </w:r>
          </w:p>
        </w:tc>
        <w:tc>
          <w:tcPr>
            <w:tcW w:w="9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1820" w:type="dxa"/>
            <w:vAlign w:val="bottom"/>
            <w:tcBorders>
              <w:left w:val="single" w:sz="8" w:color="auto"/>
              <w:right w:val="single" w:sz="8" w:color="auto"/>
            </w:tcBorders>
          </w:tcPr>
          <w:p>
            <w:pPr>
              <w:spacing w:after="0"/>
              <w:rPr>
                <w:sz w:val="3"/>
                <w:szCs w:val="3"/>
                <w:color w:val="auto"/>
              </w:rPr>
            </w:pPr>
          </w:p>
        </w:tc>
        <w:tc>
          <w:tcPr>
            <w:tcW w:w="1480" w:type="dxa"/>
            <w:vAlign w:val="bottom"/>
            <w:tcBorders>
              <w:right w:val="single" w:sz="8" w:color="auto"/>
            </w:tcBorders>
          </w:tcPr>
          <w:p>
            <w:pPr>
              <w:spacing w:after="0"/>
              <w:rPr>
                <w:sz w:val="3"/>
                <w:szCs w:val="3"/>
                <w:color w:val="auto"/>
              </w:rPr>
            </w:pPr>
          </w:p>
        </w:tc>
        <w:tc>
          <w:tcPr>
            <w:tcW w:w="178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3960" w:type="dxa"/>
            <w:vAlign w:val="bottom"/>
            <w:tcBorders>
              <w:right w:val="single" w:sz="8" w:color="auto"/>
            </w:tcBorders>
          </w:tcPr>
          <w:p>
            <w:pPr>
              <w:spacing w:after="0"/>
              <w:rPr>
                <w:sz w:val="3"/>
                <w:szCs w:val="3"/>
                <w:color w:val="auto"/>
              </w:rPr>
            </w:pPr>
          </w:p>
        </w:tc>
        <w:tc>
          <w:tcPr>
            <w:tcW w:w="1340" w:type="dxa"/>
            <w:vAlign w:val="bottom"/>
            <w:tcBorders>
              <w:right w:val="single" w:sz="8" w:color="auto"/>
            </w:tcBorders>
            <w:vMerge w:val="continue"/>
          </w:tcPr>
          <w:p>
            <w:pPr>
              <w:spacing w:after="0"/>
              <w:rPr>
                <w:sz w:val="3"/>
                <w:szCs w:val="3"/>
                <w:color w:val="auto"/>
              </w:rPr>
            </w:pPr>
          </w:p>
        </w:tc>
        <w:tc>
          <w:tcPr>
            <w:tcW w:w="9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1820" w:type="dxa"/>
            <w:vAlign w:val="bottom"/>
            <w:tcBorders>
              <w:left w:val="single" w:sz="8" w:color="auto"/>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39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9"/>
                <w:szCs w:val="9"/>
                <w:i w:val="1"/>
                <w:iCs w:val="1"/>
                <w:color w:val="auto"/>
              </w:rPr>
              <w:t>location involved in the</w:t>
            </w:r>
          </w:p>
        </w:tc>
        <w:tc>
          <w:tcPr>
            <w:tcW w:w="9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6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9"/>
                <w:szCs w:val="9"/>
                <w:i w:val="1"/>
                <w:iCs w:val="1"/>
                <w:color w:val="auto"/>
              </w:rPr>
              <w:t>loss or damage, subject</w:t>
            </w:r>
          </w:p>
        </w:tc>
        <w:tc>
          <w:tcPr>
            <w:tcW w:w="9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6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9"/>
                <w:szCs w:val="9"/>
                <w:i w:val="1"/>
                <w:iCs w:val="1"/>
                <w:color w:val="auto"/>
              </w:rPr>
              <w:t>to a minimum of $250K</w:t>
            </w:r>
          </w:p>
        </w:tc>
        <w:tc>
          <w:tcPr>
            <w:tcW w:w="9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6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9"/>
                <w:szCs w:val="9"/>
                <w:i w:val="1"/>
                <w:iCs w:val="1"/>
                <w:color w:val="auto"/>
              </w:rPr>
              <w:t>and a max of $1M</w:t>
            </w:r>
          </w:p>
        </w:tc>
        <w:tc>
          <w:tcPr>
            <w:tcW w:w="9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820" w:type="dxa"/>
            <w:vAlign w:val="bottom"/>
            <w:tcBorders>
              <w:left w:val="single" w:sz="8" w:color="auto"/>
              <w:right w:val="single" w:sz="8" w:color="auto"/>
            </w:tcBorders>
          </w:tcPr>
          <w:p>
            <w:pPr>
              <w:spacing w:after="0"/>
              <w:rPr>
                <w:sz w:val="11"/>
                <w:szCs w:val="11"/>
                <w:color w:val="auto"/>
              </w:rPr>
            </w:pPr>
          </w:p>
        </w:tc>
        <w:tc>
          <w:tcPr>
            <w:tcW w:w="1480" w:type="dxa"/>
            <w:vAlign w:val="bottom"/>
            <w:tcBorders>
              <w:right w:val="single" w:sz="8" w:color="auto"/>
            </w:tcBorders>
          </w:tcPr>
          <w:p>
            <w:pPr>
              <w:spacing w:after="0"/>
              <w:rPr>
                <w:sz w:val="11"/>
                <w:szCs w:val="11"/>
                <w:color w:val="auto"/>
              </w:rPr>
            </w:pPr>
          </w:p>
        </w:tc>
        <w:tc>
          <w:tcPr>
            <w:tcW w:w="17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3960" w:type="dxa"/>
            <w:vAlign w:val="bottom"/>
            <w:tcBorders>
              <w:bottom w:val="single" w:sz="8" w:color="auto"/>
              <w:right w:val="single" w:sz="8" w:color="auto"/>
            </w:tcBorders>
          </w:tcPr>
          <w:p>
            <w:pPr>
              <w:spacing w:after="0"/>
              <w:rPr>
                <w:sz w:val="11"/>
                <w:szCs w:val="11"/>
                <w:color w:val="auto"/>
              </w:rPr>
            </w:pPr>
          </w:p>
        </w:tc>
        <w:tc>
          <w:tcPr>
            <w:tcW w:w="1340" w:type="dxa"/>
            <w:vAlign w:val="bottom"/>
            <w:tcBorders>
              <w:bottom w:val="single" w:sz="8" w:color="auto"/>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Flood</w:t>
            </w:r>
          </w:p>
        </w:tc>
        <w:tc>
          <w:tcPr>
            <w:tcW w:w="1340" w:type="dxa"/>
            <w:vAlign w:val="bottom"/>
            <w:tcBorders>
              <w:bottom w:val="single" w:sz="8" w:color="auto"/>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60" w:type="dxa"/>
            <w:vAlign w:val="bottom"/>
            <w:tcBorders>
              <w:bottom w:val="single" w:sz="8" w:color="auto"/>
              <w:right w:val="single" w:sz="8" w:color="auto"/>
            </w:tcBorders>
          </w:tcPr>
          <w:p>
            <w:pPr>
              <w:ind w:left="80"/>
              <w:spacing w:after="0" w:line="124" w:lineRule="exact"/>
              <w:rPr>
                <w:sz w:val="20"/>
                <w:szCs w:val="20"/>
                <w:color w:val="auto"/>
              </w:rPr>
            </w:pPr>
            <w:r>
              <w:rPr>
                <w:rFonts w:ascii="Arial" w:cs="Arial" w:eastAsia="Arial" w:hAnsi="Arial"/>
                <w:sz w:val="11"/>
                <w:szCs w:val="11"/>
                <w:color w:val="auto"/>
              </w:rPr>
              <w:t>Annual Aggregate</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$250,000,000</w:t>
            </w:r>
          </w:p>
        </w:tc>
        <w:tc>
          <w:tcPr>
            <w:tcW w:w="9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60" w:type="dxa"/>
            <w:vAlign w:val="bottom"/>
            <w:tcBorders>
              <w:bottom w:val="single" w:sz="8" w:color="auto"/>
              <w:right w:val="single" w:sz="8" w:color="auto"/>
            </w:tcBorders>
          </w:tcPr>
          <w:p>
            <w:pPr>
              <w:ind w:left="80"/>
              <w:spacing w:after="0" w:line="124" w:lineRule="exact"/>
              <w:rPr>
                <w:sz w:val="20"/>
                <w:szCs w:val="20"/>
                <w:color w:val="auto"/>
              </w:rPr>
            </w:pPr>
            <w:r>
              <w:rPr>
                <w:rFonts w:ascii="Arial" w:cs="Arial" w:eastAsia="Arial" w:hAnsi="Arial"/>
                <w:sz w:val="11"/>
                <w:szCs w:val="11"/>
                <w:color w:val="auto"/>
              </w:rPr>
              <w:t>SFHA Zones</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$10,000,000</w:t>
            </w:r>
          </w:p>
        </w:tc>
        <w:tc>
          <w:tcPr>
            <w:tcW w:w="9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60" w:type="dxa"/>
            <w:vAlign w:val="bottom"/>
            <w:tcBorders>
              <w:bottom w:val="single" w:sz="8" w:color="auto"/>
              <w:right w:val="single" w:sz="8" w:color="auto"/>
            </w:tcBorders>
          </w:tcPr>
          <w:p>
            <w:pPr>
              <w:ind w:left="80"/>
              <w:spacing w:after="0" w:line="124" w:lineRule="exact"/>
              <w:rPr>
                <w:sz w:val="20"/>
                <w:szCs w:val="20"/>
                <w:color w:val="auto"/>
              </w:rPr>
            </w:pPr>
            <w:r>
              <w:rPr>
                <w:rFonts w:ascii="Arial" w:cs="Arial" w:eastAsia="Arial" w:hAnsi="Arial"/>
                <w:sz w:val="11"/>
                <w:szCs w:val="11"/>
                <w:i w:val="1"/>
                <w:iCs w:val="1"/>
                <w:color w:val="auto"/>
              </w:rPr>
              <w:t>Deductible</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i w:val="1"/>
                <w:iCs w:val="1"/>
                <w:color w:val="auto"/>
              </w:rPr>
              <w:t>$100,000</w:t>
            </w:r>
          </w:p>
        </w:tc>
        <w:tc>
          <w:tcPr>
            <w:tcW w:w="9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60" w:type="dxa"/>
            <w:vAlign w:val="bottom"/>
            <w:tcBorders>
              <w:bottom w:val="single" w:sz="8" w:color="auto"/>
              <w:right w:val="single" w:sz="8" w:color="auto"/>
            </w:tcBorders>
          </w:tcPr>
          <w:p>
            <w:pPr>
              <w:ind w:left="80"/>
              <w:spacing w:after="0" w:line="124" w:lineRule="exact"/>
              <w:rPr>
                <w:sz w:val="20"/>
                <w:szCs w:val="20"/>
                <w:color w:val="auto"/>
              </w:rPr>
            </w:pPr>
            <w:r>
              <w:rPr>
                <w:rFonts w:ascii="Arial" w:cs="Arial" w:eastAsia="Arial" w:hAnsi="Arial"/>
                <w:sz w:val="11"/>
                <w:szCs w:val="11"/>
                <w:i w:val="1"/>
                <w:iCs w:val="1"/>
                <w:color w:val="auto"/>
              </w:rPr>
              <w:t>SFHA Zone Property Damage</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i w:val="1"/>
                <w:iCs w:val="1"/>
                <w:color w:val="auto"/>
              </w:rPr>
              <w:t>$500,000</w:t>
            </w:r>
          </w:p>
        </w:tc>
        <w:tc>
          <w:tcPr>
            <w:tcW w:w="9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Wind</w:t>
            </w:r>
          </w:p>
        </w:tc>
        <w:tc>
          <w:tcPr>
            <w:tcW w:w="1340" w:type="dxa"/>
            <w:vAlign w:val="bottom"/>
            <w:tcBorders>
              <w:bottom w:val="single" w:sz="8" w:color="auto"/>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60" w:type="dxa"/>
            <w:vAlign w:val="bottom"/>
            <w:tcBorders>
              <w:bottom w:val="single" w:sz="8" w:color="auto"/>
              <w:right w:val="single" w:sz="8" w:color="auto"/>
            </w:tcBorders>
          </w:tcPr>
          <w:p>
            <w:pPr>
              <w:ind w:left="80"/>
              <w:spacing w:after="0" w:line="124" w:lineRule="exact"/>
              <w:rPr>
                <w:sz w:val="20"/>
                <w:szCs w:val="20"/>
                <w:color w:val="auto"/>
              </w:rPr>
            </w:pPr>
            <w:r>
              <w:rPr>
                <w:rFonts w:ascii="Arial" w:cs="Arial" w:eastAsia="Arial" w:hAnsi="Arial"/>
                <w:sz w:val="11"/>
                <w:szCs w:val="11"/>
                <w:color w:val="auto"/>
              </w:rPr>
              <w:t>Annual Aggregate</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$250,000,000</w:t>
            </w:r>
          </w:p>
        </w:tc>
        <w:tc>
          <w:tcPr>
            <w:tcW w:w="9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60" w:type="dxa"/>
            <w:vAlign w:val="bottom"/>
            <w:tcBorders>
              <w:bottom w:val="single" w:sz="8" w:color="auto"/>
              <w:right w:val="single" w:sz="8" w:color="auto"/>
            </w:tcBorders>
          </w:tcPr>
          <w:p>
            <w:pPr>
              <w:ind w:left="80"/>
              <w:spacing w:after="0" w:line="124" w:lineRule="exact"/>
              <w:rPr>
                <w:sz w:val="20"/>
                <w:szCs w:val="20"/>
                <w:color w:val="auto"/>
              </w:rPr>
            </w:pPr>
            <w:r>
              <w:rPr>
                <w:rFonts w:ascii="Arial" w:cs="Arial" w:eastAsia="Arial" w:hAnsi="Arial"/>
                <w:sz w:val="11"/>
                <w:szCs w:val="11"/>
                <w:color w:val="auto"/>
              </w:rPr>
              <w:t>High Hazard Wind Zones</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$25,000,000</w:t>
            </w:r>
          </w:p>
        </w:tc>
        <w:tc>
          <w:tcPr>
            <w:tcW w:w="9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60" w:type="dxa"/>
            <w:vAlign w:val="bottom"/>
            <w:tcBorders>
              <w:bottom w:val="single" w:sz="8" w:color="auto"/>
              <w:right w:val="single" w:sz="8" w:color="auto"/>
            </w:tcBorders>
          </w:tcPr>
          <w:p>
            <w:pPr>
              <w:spacing w:after="0"/>
              <w:rPr>
                <w:sz w:val="10"/>
                <w:szCs w:val="10"/>
                <w:color w:val="auto"/>
              </w:rPr>
            </w:pPr>
          </w:p>
        </w:tc>
        <w:tc>
          <w:tcPr>
            <w:tcW w:w="1340" w:type="dxa"/>
            <w:vAlign w:val="bottom"/>
            <w:tcBorders>
              <w:bottom w:val="single" w:sz="8" w:color="auto"/>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14"/>
        </w:trPr>
        <w:tc>
          <w:tcPr>
            <w:tcW w:w="9160" w:type="dxa"/>
            <w:vAlign w:val="bottom"/>
            <w:gridSpan w:val="5"/>
          </w:tcPr>
          <w:p>
            <w:pPr>
              <w:spacing w:after="0"/>
              <w:rPr>
                <w:sz w:val="20"/>
                <w:szCs w:val="20"/>
                <w:color w:val="auto"/>
              </w:rPr>
            </w:pPr>
            <w:r>
              <w:rPr>
                <w:rFonts w:ascii="Arial" w:cs="Arial" w:eastAsia="Arial" w:hAnsi="Arial"/>
                <w:sz w:val="10"/>
                <w:szCs w:val="10"/>
                <w:color w:val="auto"/>
              </w:rPr>
              <w:t>Note 1: This Document is intended as a guide only, please consult your policy for a complete listings of all applicable terms, conditions, and limits.</w:t>
            </w: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1820" w:type="dxa"/>
            <w:vAlign w:val="bottom"/>
          </w:tcPr>
          <w:p>
            <w:pPr>
              <w:spacing w:after="0"/>
              <w:rPr>
                <w:sz w:val="20"/>
                <w:szCs w:val="20"/>
                <w:color w:val="auto"/>
              </w:rPr>
            </w:pPr>
            <w:r>
              <w:rPr>
                <w:rFonts w:ascii="Arial" w:cs="Arial" w:eastAsia="Arial" w:hAnsi="Arial"/>
                <w:sz w:val="10"/>
                <w:szCs w:val="10"/>
                <w:color w:val="auto"/>
              </w:rPr>
              <w:t>Note 2: All premiums are in US Dollars.</w:t>
            </w:r>
          </w:p>
        </w:tc>
        <w:tc>
          <w:tcPr>
            <w:tcW w:w="14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80" w:type="dxa"/>
            <w:vAlign w:val="bottom"/>
          </w:tcPr>
          <w:p>
            <w:pPr>
              <w:ind w:left="740"/>
              <w:spacing w:after="0"/>
              <w:rPr>
                <w:sz w:val="20"/>
                <w:szCs w:val="20"/>
                <w:color w:val="auto"/>
              </w:rPr>
            </w:pPr>
            <w:r>
              <w:rPr>
                <w:rFonts w:ascii="Arial" w:cs="Arial" w:eastAsia="Arial" w:hAnsi="Arial"/>
                <w:sz w:val="10"/>
                <w:szCs w:val="10"/>
                <w:color w:val="auto"/>
                <w:w w:val="85"/>
              </w:rPr>
              <w:t>Page</w:t>
            </w:r>
          </w:p>
        </w:tc>
        <w:tc>
          <w:tcPr>
            <w:tcW w:w="0" w:type="dxa"/>
            <w:vAlign w:val="bottom"/>
          </w:tcPr>
          <w:p>
            <w:pPr>
              <w:spacing w:after="0"/>
              <w:rPr>
                <w:sz w:val="1"/>
                <w:szCs w:val="1"/>
                <w:color w:val="auto"/>
              </w:rPr>
            </w:pPr>
          </w:p>
        </w:tc>
      </w:tr>
      <w:tr>
        <w:trPr>
          <w:trHeight w:val="108"/>
        </w:trPr>
        <w:tc>
          <w:tcPr>
            <w:tcW w:w="18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980" w:type="dxa"/>
            <w:vAlign w:val="bottom"/>
          </w:tcPr>
          <w:p>
            <w:pPr>
              <w:ind w:left="740"/>
              <w:spacing w:after="0" w:line="108" w:lineRule="exact"/>
              <w:rPr>
                <w:sz w:val="20"/>
                <w:szCs w:val="20"/>
                <w:color w:val="auto"/>
              </w:rPr>
            </w:pPr>
            <w:r>
              <w:rPr>
                <w:rFonts w:ascii="Arial" w:cs="Arial" w:eastAsia="Arial" w:hAnsi="Arial"/>
                <w:sz w:val="10"/>
                <w:szCs w:val="10"/>
                <w:color w:val="auto"/>
              </w:rPr>
              <w:t>1 of</w:t>
            </w:r>
          </w:p>
        </w:tc>
        <w:tc>
          <w:tcPr>
            <w:tcW w:w="0" w:type="dxa"/>
            <w:vAlign w:val="bottom"/>
          </w:tcPr>
          <w:p>
            <w:pPr>
              <w:spacing w:after="0"/>
              <w:rPr>
                <w:sz w:val="1"/>
                <w:szCs w:val="1"/>
                <w:color w:val="auto"/>
              </w:rPr>
            </w:pPr>
          </w:p>
        </w:tc>
      </w:tr>
      <w:tr>
        <w:trPr>
          <w:trHeight w:val="108"/>
        </w:trPr>
        <w:tc>
          <w:tcPr>
            <w:tcW w:w="18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980" w:type="dxa"/>
            <w:vAlign w:val="bottom"/>
          </w:tcPr>
          <w:p>
            <w:pPr>
              <w:ind w:left="740"/>
              <w:spacing w:after="0" w:line="108" w:lineRule="exact"/>
              <w:rPr>
                <w:sz w:val="20"/>
                <w:szCs w:val="20"/>
                <w:color w:val="auto"/>
              </w:rPr>
            </w:pPr>
            <w:r>
              <w:rPr>
                <w:rFonts w:ascii="Arial" w:cs="Arial" w:eastAsia="Arial" w:hAnsi="Arial"/>
                <w:sz w:val="10"/>
                <w:szCs w:val="10"/>
                <w:color w:val="auto"/>
              </w:rPr>
              <w:t>8</w:t>
            </w:r>
          </w:p>
        </w:tc>
        <w:tc>
          <w:tcPr>
            <w:tcW w:w="0" w:type="dxa"/>
            <w:vAlign w:val="bottom"/>
          </w:tcPr>
          <w:p>
            <w:pPr>
              <w:spacing w:after="0"/>
              <w:rPr>
                <w:sz w:val="1"/>
                <w:szCs w:val="1"/>
                <w:color w:val="auto"/>
              </w:rPr>
            </w:pPr>
          </w:p>
        </w:tc>
      </w:tr>
    </w:tbl>
    <w:p>
      <w:pPr>
        <w:ind w:left="388" w:hanging="388"/>
        <w:spacing w:after="0"/>
        <w:tabs>
          <w:tab w:leader="none" w:pos="388" w:val="left"/>
        </w:tabs>
        <w:numPr>
          <w:ilvl w:val="0"/>
          <w:numId w:val="189"/>
        </w:numPr>
        <w:rPr>
          <w:rFonts w:ascii="Arial" w:cs="Arial" w:eastAsia="Arial" w:hAnsi="Arial"/>
          <w:sz w:val="10"/>
          <w:szCs w:val="10"/>
          <w:b w:val="1"/>
          <w:bCs w:val="1"/>
          <w:color w:val="auto"/>
        </w:rPr>
      </w:pPr>
      <w:r>
        <w:rPr>
          <w:rFonts w:ascii="Arial" w:cs="Arial" w:eastAsia="Arial" w:hAnsi="Arial"/>
          <w:sz w:val="10"/>
          <w:szCs w:val="10"/>
          <w:b w:val="1"/>
          <w:bCs w:val="1"/>
          <w:color w:val="auto"/>
        </w:rPr>
        <w:t>Represents text omitted pursuant to a request for confidential treatment. The omitted material has been filed separately with the Securities and Exchange Commission</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267335</wp:posOffset>
            </wp:positionV>
            <wp:extent cx="7329170" cy="368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127" w:right="199" w:bottom="1440" w:gutter="0" w:footer="0" w:header="0"/>
        </w:sectPr>
      </w:pPr>
    </w:p>
    <w:bookmarkStart w:id="169" w:name="page170"/>
    <w:bookmarkEnd w:id="169"/>
    <w:tbl>
      <w:tblPr>
        <w:tblLayout w:type="fixed"/>
        <w:tblInd w:w="18" w:type="dxa"/>
        <w:tblCellMar>
          <w:top w:w="0" w:type="dxa"/>
          <w:left w:w="0" w:type="dxa"/>
          <w:bottom w:w="0" w:type="dxa"/>
          <w:right w:w="0" w:type="dxa"/>
        </w:tblCellMar>
      </w:tblPr>
      <w:tr>
        <w:trPr>
          <w:trHeight w:val="157"/>
        </w:trPr>
        <w:tc>
          <w:tcPr>
            <w:tcW w:w="1820" w:type="dxa"/>
            <w:vAlign w:val="bottom"/>
          </w:tcPr>
          <w:p>
            <w:pPr>
              <w:spacing w:after="0"/>
              <w:rPr>
                <w:sz w:val="20"/>
                <w:szCs w:val="20"/>
                <w:color w:val="auto"/>
              </w:rPr>
            </w:pPr>
            <w:r>
              <w:rPr>
                <w:rFonts w:ascii="Arial" w:cs="Arial" w:eastAsia="Arial" w:hAnsi="Arial"/>
                <w:sz w:val="12"/>
                <w:szCs w:val="12"/>
                <w:b w:val="1"/>
                <w:bCs w:val="1"/>
                <w:color w:val="auto"/>
              </w:rPr>
              <w:t>Schedule 5.10 Insurance</w:t>
            </w:r>
          </w:p>
        </w:tc>
        <w:tc>
          <w:tcPr>
            <w:tcW w:w="14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44"/>
        </w:trPr>
        <w:tc>
          <w:tcPr>
            <w:tcW w:w="18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33"/>
        </w:trPr>
        <w:tc>
          <w:tcPr>
            <w:tcW w:w="1820" w:type="dxa"/>
            <w:vAlign w:val="bottom"/>
            <w:tcBorders>
              <w:left w:val="single" w:sz="8" w:color="auto"/>
              <w:bottom w:val="single" w:sz="8" w:color="auto"/>
              <w:right w:val="single" w:sz="8" w:color="BEBEBE"/>
            </w:tcBorders>
            <w:shd w:val="clear" w:color="auto" w:fill="BEBEBE"/>
          </w:tcPr>
          <w:p>
            <w:pPr>
              <w:ind w:left="80"/>
              <w:spacing w:after="0" w:line="133" w:lineRule="exact"/>
              <w:rPr>
                <w:sz w:val="20"/>
                <w:szCs w:val="20"/>
                <w:color w:val="auto"/>
              </w:rPr>
            </w:pPr>
            <w:r>
              <w:rPr>
                <w:rFonts w:ascii="Arial" w:cs="Arial" w:eastAsia="Arial" w:hAnsi="Arial"/>
                <w:sz w:val="12"/>
                <w:szCs w:val="12"/>
                <w:b w:val="1"/>
                <w:bCs w:val="1"/>
                <w:color w:val="auto"/>
              </w:rPr>
              <w:t>Coverage/Limits as of:</w:t>
            </w:r>
          </w:p>
        </w:tc>
        <w:tc>
          <w:tcPr>
            <w:tcW w:w="1480" w:type="dxa"/>
            <w:vAlign w:val="bottom"/>
            <w:tcBorders>
              <w:bottom w:val="single" w:sz="8" w:color="auto"/>
              <w:right w:val="single" w:sz="8" w:color="auto"/>
            </w:tcBorders>
            <w:shd w:val="clear" w:color="auto" w:fill="BEBEBE"/>
          </w:tcPr>
          <w:p>
            <w:pPr>
              <w:spacing w:after="0"/>
              <w:rPr>
                <w:sz w:val="11"/>
                <w:szCs w:val="11"/>
                <w:color w:val="auto"/>
              </w:rPr>
            </w:pPr>
          </w:p>
        </w:tc>
        <w:tc>
          <w:tcPr>
            <w:tcW w:w="1780" w:type="dxa"/>
            <w:vAlign w:val="bottom"/>
            <w:tcBorders>
              <w:bottom w:val="single" w:sz="8" w:color="auto"/>
              <w:right w:val="single" w:sz="8" w:color="auto"/>
            </w:tcBorders>
            <w:shd w:val="clear" w:color="auto" w:fill="BEBEBE"/>
          </w:tcPr>
          <w:p>
            <w:pPr>
              <w:jc w:val="right"/>
              <w:ind w:right="1063"/>
              <w:spacing w:after="0" w:line="133" w:lineRule="exact"/>
              <w:rPr>
                <w:sz w:val="20"/>
                <w:szCs w:val="20"/>
                <w:color w:val="auto"/>
              </w:rPr>
            </w:pPr>
            <w:r>
              <w:rPr>
                <w:rFonts w:ascii="Arial" w:cs="Arial" w:eastAsia="Arial" w:hAnsi="Arial"/>
                <w:sz w:val="12"/>
                <w:szCs w:val="12"/>
                <w:b w:val="1"/>
                <w:bCs w:val="1"/>
                <w:color w:val="auto"/>
                <w:w w:val="94"/>
              </w:rPr>
              <w:t>July 1, 2017</w:t>
            </w:r>
          </w:p>
        </w:tc>
        <w:tc>
          <w:tcPr>
            <w:tcW w:w="1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277"/>
        </w:trPr>
        <w:tc>
          <w:tcPr>
            <w:tcW w:w="18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0" w:type="dxa"/>
            <w:vAlign w:val="bottom"/>
          </w:tcPr>
          <w:p>
            <w:pPr>
              <w:spacing w:after="0"/>
              <w:rPr>
                <w:sz w:val="24"/>
                <w:szCs w:val="24"/>
                <w:color w:val="auto"/>
              </w:rPr>
            </w:pPr>
          </w:p>
        </w:tc>
      </w:tr>
      <w:tr>
        <w:trPr>
          <w:trHeight w:val="125"/>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right w:val="single" w:sz="8" w:color="auto"/>
            </w:tcBorders>
          </w:tcPr>
          <w:p>
            <w:pPr>
              <w:ind w:left="80"/>
              <w:spacing w:after="0" w:line="125" w:lineRule="exact"/>
              <w:rPr>
                <w:sz w:val="20"/>
                <w:szCs w:val="20"/>
                <w:color w:val="auto"/>
              </w:rPr>
            </w:pPr>
            <w:r>
              <w:rPr>
                <w:rFonts w:ascii="Arial" w:cs="Arial" w:eastAsia="Arial" w:hAnsi="Arial"/>
                <w:sz w:val="11"/>
                <w:szCs w:val="11"/>
                <w:i w:val="1"/>
                <w:iCs w:val="1"/>
                <w:color w:val="auto"/>
              </w:rPr>
              <w:t>Wind/Hail in High Hazard Wind Zones</w:t>
            </w:r>
          </w:p>
        </w:tc>
        <w:tc>
          <w:tcPr>
            <w:tcW w:w="1340" w:type="dxa"/>
            <w:vAlign w:val="bottom"/>
            <w:tcBorders>
              <w:right w:val="single" w:sz="8" w:color="auto"/>
            </w:tcBorders>
          </w:tcPr>
          <w:p>
            <w:pPr>
              <w:jc w:val="right"/>
              <w:ind w:right="206"/>
              <w:spacing w:after="0" w:line="125" w:lineRule="exact"/>
              <w:rPr>
                <w:sz w:val="20"/>
                <w:szCs w:val="20"/>
                <w:color w:val="auto"/>
              </w:rPr>
            </w:pPr>
            <w:r>
              <w:rPr>
                <w:rFonts w:ascii="Arial" w:cs="Arial" w:eastAsia="Arial" w:hAnsi="Arial"/>
                <w:sz w:val="11"/>
                <w:szCs w:val="11"/>
                <w:i w:val="1"/>
                <w:iCs w:val="1"/>
                <w:color w:val="auto"/>
              </w:rPr>
              <w:t>5% of the property</w:t>
            </w:r>
          </w:p>
        </w:tc>
        <w:tc>
          <w:tcPr>
            <w:tcW w:w="1000" w:type="dxa"/>
            <w:vAlign w:val="bottom"/>
            <w:tcBorders>
              <w:right w:val="single" w:sz="8" w:color="auto"/>
            </w:tcBorders>
          </w:tcPr>
          <w:p>
            <w:pPr>
              <w:spacing w:after="0"/>
              <w:rPr>
                <w:sz w:val="10"/>
                <w:szCs w:val="10"/>
                <w:color w:val="auto"/>
              </w:rPr>
            </w:pPr>
          </w:p>
        </w:tc>
      </w:tr>
      <w:tr>
        <w:trPr>
          <w:trHeight w:val="139"/>
        </w:trPr>
        <w:tc>
          <w:tcPr>
            <w:tcW w:w="1820" w:type="dxa"/>
            <w:vAlign w:val="bottom"/>
            <w:tcBorders>
              <w:left w:val="single" w:sz="8" w:color="auto"/>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394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jc w:val="right"/>
              <w:ind w:right="426"/>
              <w:spacing w:after="0"/>
              <w:rPr>
                <w:sz w:val="20"/>
                <w:szCs w:val="20"/>
                <w:color w:val="auto"/>
              </w:rPr>
            </w:pPr>
            <w:r>
              <w:rPr>
                <w:rFonts w:ascii="Arial" w:cs="Arial" w:eastAsia="Arial" w:hAnsi="Arial"/>
                <w:sz w:val="11"/>
                <w:szCs w:val="11"/>
                <w:i w:val="1"/>
                <w:iCs w:val="1"/>
                <w:color w:val="auto"/>
              </w:rPr>
              <w:t>Value with a</w:t>
            </w:r>
          </w:p>
        </w:tc>
        <w:tc>
          <w:tcPr>
            <w:tcW w:w="1000" w:type="dxa"/>
            <w:vAlign w:val="bottom"/>
            <w:tcBorders>
              <w:right w:val="single" w:sz="8" w:color="auto"/>
            </w:tcBorders>
          </w:tcPr>
          <w:p>
            <w:pPr>
              <w:spacing w:after="0"/>
              <w:rPr>
                <w:sz w:val="12"/>
                <w:szCs w:val="12"/>
                <w:color w:val="auto"/>
              </w:rPr>
            </w:pPr>
          </w:p>
        </w:tc>
      </w:tr>
      <w:tr>
        <w:trPr>
          <w:trHeight w:val="153"/>
        </w:trPr>
        <w:tc>
          <w:tcPr>
            <w:tcW w:w="1820" w:type="dxa"/>
            <w:vAlign w:val="bottom"/>
            <w:tcBorders>
              <w:left w:val="single" w:sz="8" w:color="auto"/>
              <w:right w:val="single" w:sz="8" w:color="auto"/>
            </w:tcBorders>
          </w:tcPr>
          <w:p>
            <w:pPr>
              <w:spacing w:after="0"/>
              <w:rPr>
                <w:sz w:val="13"/>
                <w:szCs w:val="13"/>
                <w:color w:val="auto"/>
              </w:rPr>
            </w:pPr>
          </w:p>
        </w:tc>
        <w:tc>
          <w:tcPr>
            <w:tcW w:w="1480" w:type="dxa"/>
            <w:vAlign w:val="bottom"/>
            <w:tcBorders>
              <w:right w:val="single" w:sz="8" w:color="auto"/>
            </w:tcBorders>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394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jc w:val="right"/>
              <w:ind w:right="206"/>
              <w:spacing w:after="0"/>
              <w:rPr>
                <w:sz w:val="20"/>
                <w:szCs w:val="20"/>
                <w:color w:val="auto"/>
              </w:rPr>
            </w:pPr>
            <w:r>
              <w:rPr>
                <w:rFonts w:ascii="Arial" w:cs="Arial" w:eastAsia="Arial" w:hAnsi="Arial"/>
                <w:sz w:val="11"/>
                <w:szCs w:val="11"/>
                <w:i w:val="1"/>
                <w:iCs w:val="1"/>
                <w:color w:val="auto"/>
              </w:rPr>
              <w:t>$250K min and a</w:t>
            </w:r>
          </w:p>
        </w:tc>
        <w:tc>
          <w:tcPr>
            <w:tcW w:w="1000" w:type="dxa"/>
            <w:vAlign w:val="bottom"/>
            <w:tcBorders>
              <w:right w:val="single" w:sz="8" w:color="auto"/>
            </w:tcBorders>
          </w:tcPr>
          <w:p>
            <w:pPr>
              <w:spacing w:after="0"/>
              <w:rPr>
                <w:sz w:val="13"/>
                <w:szCs w:val="13"/>
                <w:color w:val="auto"/>
              </w:rPr>
            </w:pPr>
          </w:p>
        </w:tc>
      </w:tr>
      <w:tr>
        <w:trPr>
          <w:trHeight w:val="144"/>
        </w:trPr>
        <w:tc>
          <w:tcPr>
            <w:tcW w:w="1820" w:type="dxa"/>
            <w:vAlign w:val="bottom"/>
            <w:tcBorders>
              <w:left w:val="single" w:sz="8" w:color="auto"/>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394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jc w:val="right"/>
              <w:ind w:right="406"/>
              <w:spacing w:after="0"/>
              <w:rPr>
                <w:sz w:val="20"/>
                <w:szCs w:val="20"/>
                <w:color w:val="auto"/>
              </w:rPr>
            </w:pPr>
            <w:r>
              <w:rPr>
                <w:rFonts w:ascii="Arial" w:cs="Arial" w:eastAsia="Arial" w:hAnsi="Arial"/>
                <w:sz w:val="11"/>
                <w:szCs w:val="11"/>
                <w:i w:val="1"/>
                <w:iCs w:val="1"/>
                <w:color w:val="auto"/>
              </w:rPr>
              <w:t>max of $1M</w:t>
            </w:r>
          </w:p>
        </w:tc>
        <w:tc>
          <w:tcPr>
            <w:tcW w:w="1000" w:type="dxa"/>
            <w:vAlign w:val="bottom"/>
            <w:tcBorders>
              <w:right w:val="single" w:sz="8" w:color="auto"/>
            </w:tcBorders>
          </w:tcPr>
          <w:p>
            <w:pPr>
              <w:spacing w:after="0"/>
              <w:rPr>
                <w:sz w:val="12"/>
                <w:szCs w:val="12"/>
                <w:color w:val="auto"/>
              </w:rPr>
            </w:pPr>
          </w:p>
        </w:tc>
      </w:tr>
      <w:tr>
        <w:trPr>
          <w:trHeight w:val="157"/>
        </w:trPr>
        <w:tc>
          <w:tcPr>
            <w:tcW w:w="1820" w:type="dxa"/>
            <w:vAlign w:val="bottom"/>
            <w:tcBorders>
              <w:left w:val="single" w:sz="8" w:color="auto"/>
              <w:right w:val="single" w:sz="8" w:color="auto"/>
            </w:tcBorders>
          </w:tcPr>
          <w:p>
            <w:pPr>
              <w:spacing w:after="0"/>
              <w:rPr>
                <w:sz w:val="13"/>
                <w:szCs w:val="13"/>
                <w:color w:val="auto"/>
              </w:rPr>
            </w:pPr>
          </w:p>
        </w:tc>
        <w:tc>
          <w:tcPr>
            <w:tcW w:w="1480" w:type="dxa"/>
            <w:vAlign w:val="bottom"/>
            <w:tcBorders>
              <w:right w:val="single" w:sz="8" w:color="auto"/>
            </w:tcBorders>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394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r>
      <w:tr>
        <w:trPr>
          <w:trHeight w:val="115"/>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15" w:lineRule="exact"/>
              <w:rPr>
                <w:sz w:val="20"/>
                <w:szCs w:val="20"/>
                <w:color w:val="auto"/>
              </w:rPr>
            </w:pPr>
            <w:r>
              <w:rPr>
                <w:rFonts w:ascii="Arial" w:cs="Arial" w:eastAsia="Arial" w:hAnsi="Arial"/>
                <w:sz w:val="11"/>
                <w:szCs w:val="11"/>
                <w:color w:val="auto"/>
              </w:rPr>
              <w:t>Installation Coverage</w:t>
            </w:r>
          </w:p>
        </w:tc>
        <w:tc>
          <w:tcPr>
            <w:tcW w:w="1340" w:type="dxa"/>
            <w:vAlign w:val="bottom"/>
            <w:tcBorders>
              <w:bottom w:val="single" w:sz="8" w:color="auto"/>
              <w:right w:val="single" w:sz="8" w:color="auto"/>
            </w:tcBorders>
          </w:tcPr>
          <w:p>
            <w:pPr>
              <w:jc w:val="right"/>
              <w:spacing w:after="0" w:line="115" w:lineRule="exact"/>
              <w:rPr>
                <w:sz w:val="20"/>
                <w:szCs w:val="20"/>
                <w:color w:val="auto"/>
              </w:rPr>
            </w:pPr>
            <w:r>
              <w:rPr>
                <w:rFonts w:ascii="Arial" w:cs="Arial" w:eastAsia="Arial" w:hAnsi="Arial"/>
                <w:sz w:val="11"/>
                <w:szCs w:val="11"/>
                <w:color w:val="auto"/>
              </w:rPr>
              <w:t>$500,000</w:t>
            </w:r>
          </w:p>
        </w:tc>
        <w:tc>
          <w:tcPr>
            <w:tcW w:w="1000" w:type="dxa"/>
            <w:vAlign w:val="bottom"/>
            <w:tcBorders>
              <w:right w:val="single" w:sz="8" w:color="auto"/>
            </w:tcBorders>
          </w:tcPr>
          <w:p>
            <w:pPr>
              <w:spacing w:after="0"/>
              <w:rPr>
                <w:sz w:val="10"/>
                <w:szCs w:val="10"/>
                <w:color w:val="auto"/>
              </w:rPr>
            </w:pPr>
          </w:p>
        </w:tc>
      </w:tr>
      <w:tr>
        <w:trPr>
          <w:trHeight w:val="115"/>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15" w:lineRule="exact"/>
              <w:rPr>
                <w:sz w:val="20"/>
                <w:szCs w:val="20"/>
                <w:color w:val="auto"/>
              </w:rPr>
            </w:pPr>
            <w:r>
              <w:rPr>
                <w:rFonts w:ascii="Arial" w:cs="Arial" w:eastAsia="Arial" w:hAnsi="Arial"/>
                <w:sz w:val="11"/>
                <w:szCs w:val="11"/>
                <w:color w:val="auto"/>
              </w:rPr>
              <w:t>Transit</w:t>
            </w:r>
          </w:p>
        </w:tc>
        <w:tc>
          <w:tcPr>
            <w:tcW w:w="1340" w:type="dxa"/>
            <w:vAlign w:val="bottom"/>
            <w:tcBorders>
              <w:bottom w:val="single" w:sz="8" w:color="auto"/>
              <w:right w:val="single" w:sz="8" w:color="auto"/>
            </w:tcBorders>
          </w:tcPr>
          <w:p>
            <w:pPr>
              <w:jc w:val="right"/>
              <w:spacing w:after="0" w:line="115" w:lineRule="exact"/>
              <w:rPr>
                <w:sz w:val="20"/>
                <w:szCs w:val="20"/>
                <w:color w:val="auto"/>
              </w:rPr>
            </w:pPr>
            <w:r>
              <w:rPr>
                <w:rFonts w:ascii="Arial" w:cs="Arial" w:eastAsia="Arial" w:hAnsi="Arial"/>
                <w:sz w:val="11"/>
                <w:szCs w:val="11"/>
                <w:color w:val="auto"/>
              </w:rPr>
              <w:t>$500,000</w:t>
            </w:r>
          </w:p>
        </w:tc>
        <w:tc>
          <w:tcPr>
            <w:tcW w:w="1000" w:type="dxa"/>
            <w:vAlign w:val="bottom"/>
            <w:tcBorders>
              <w:right w:val="single" w:sz="8" w:color="auto"/>
            </w:tcBorders>
          </w:tcPr>
          <w:p>
            <w:pPr>
              <w:spacing w:after="0"/>
              <w:rPr>
                <w:sz w:val="10"/>
                <w:szCs w:val="10"/>
                <w:color w:val="auto"/>
              </w:rPr>
            </w:pPr>
          </w:p>
        </w:tc>
      </w:tr>
      <w:tr>
        <w:trPr>
          <w:trHeight w:val="115"/>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15" w:lineRule="exact"/>
              <w:rPr>
                <w:sz w:val="20"/>
                <w:szCs w:val="20"/>
                <w:color w:val="auto"/>
              </w:rPr>
            </w:pPr>
            <w:r>
              <w:rPr>
                <w:rFonts w:ascii="Arial" w:cs="Arial" w:eastAsia="Arial" w:hAnsi="Arial"/>
                <w:sz w:val="11"/>
                <w:szCs w:val="11"/>
                <w:color w:val="auto"/>
              </w:rPr>
              <w:t>Extra Expense</w:t>
            </w:r>
          </w:p>
        </w:tc>
        <w:tc>
          <w:tcPr>
            <w:tcW w:w="1340" w:type="dxa"/>
            <w:vAlign w:val="bottom"/>
            <w:tcBorders>
              <w:bottom w:val="single" w:sz="8" w:color="auto"/>
              <w:right w:val="single" w:sz="8" w:color="auto"/>
            </w:tcBorders>
          </w:tcPr>
          <w:p>
            <w:pPr>
              <w:jc w:val="right"/>
              <w:spacing w:after="0" w:line="115" w:lineRule="exact"/>
              <w:rPr>
                <w:sz w:val="20"/>
                <w:szCs w:val="20"/>
                <w:color w:val="auto"/>
              </w:rPr>
            </w:pPr>
            <w:r>
              <w:rPr>
                <w:rFonts w:ascii="Arial" w:cs="Arial" w:eastAsia="Arial" w:hAnsi="Arial"/>
                <w:sz w:val="11"/>
                <w:szCs w:val="11"/>
                <w:color w:val="auto"/>
              </w:rPr>
              <w:t>$10,000,000</w:t>
            </w:r>
          </w:p>
        </w:tc>
        <w:tc>
          <w:tcPr>
            <w:tcW w:w="1000" w:type="dxa"/>
            <w:vAlign w:val="bottom"/>
            <w:tcBorders>
              <w:right w:val="single" w:sz="8" w:color="auto"/>
            </w:tcBorders>
          </w:tcPr>
          <w:p>
            <w:pPr>
              <w:spacing w:after="0"/>
              <w:rPr>
                <w:sz w:val="10"/>
                <w:szCs w:val="10"/>
                <w:color w:val="auto"/>
              </w:rPr>
            </w:pPr>
          </w:p>
        </w:tc>
      </w:tr>
      <w:tr>
        <w:trPr>
          <w:trHeight w:val="115"/>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15" w:lineRule="exact"/>
              <w:rPr>
                <w:sz w:val="20"/>
                <w:szCs w:val="20"/>
                <w:color w:val="auto"/>
              </w:rPr>
            </w:pPr>
            <w:r>
              <w:rPr>
                <w:rFonts w:ascii="Arial" w:cs="Arial" w:eastAsia="Arial" w:hAnsi="Arial"/>
                <w:sz w:val="11"/>
                <w:szCs w:val="11"/>
                <w:color w:val="auto"/>
              </w:rPr>
              <w:t>Brands and Labels</w:t>
            </w:r>
          </w:p>
        </w:tc>
        <w:tc>
          <w:tcPr>
            <w:tcW w:w="1340" w:type="dxa"/>
            <w:vAlign w:val="bottom"/>
            <w:tcBorders>
              <w:bottom w:val="single" w:sz="8" w:color="auto"/>
              <w:right w:val="single" w:sz="8" w:color="auto"/>
            </w:tcBorders>
          </w:tcPr>
          <w:p>
            <w:pPr>
              <w:jc w:val="right"/>
              <w:spacing w:after="0" w:line="115" w:lineRule="exact"/>
              <w:rPr>
                <w:sz w:val="20"/>
                <w:szCs w:val="20"/>
                <w:color w:val="auto"/>
              </w:rPr>
            </w:pPr>
            <w:r>
              <w:rPr>
                <w:rFonts w:ascii="Arial" w:cs="Arial" w:eastAsia="Arial" w:hAnsi="Arial"/>
                <w:sz w:val="11"/>
                <w:szCs w:val="11"/>
                <w:color w:val="auto"/>
              </w:rPr>
              <w:t>$1,000,000</w:t>
            </w:r>
          </w:p>
        </w:tc>
        <w:tc>
          <w:tcPr>
            <w:tcW w:w="1000" w:type="dxa"/>
            <w:vAlign w:val="bottom"/>
            <w:tcBorders>
              <w:right w:val="single" w:sz="8" w:color="auto"/>
            </w:tcBorders>
          </w:tcPr>
          <w:p>
            <w:pPr>
              <w:spacing w:after="0"/>
              <w:rPr>
                <w:sz w:val="10"/>
                <w:szCs w:val="10"/>
                <w:color w:val="auto"/>
              </w:rPr>
            </w:pPr>
          </w:p>
        </w:tc>
      </w:tr>
      <w:tr>
        <w:trPr>
          <w:trHeight w:val="115"/>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15" w:lineRule="exact"/>
              <w:rPr>
                <w:sz w:val="20"/>
                <w:szCs w:val="20"/>
                <w:color w:val="auto"/>
              </w:rPr>
            </w:pPr>
            <w:r>
              <w:rPr>
                <w:rFonts w:ascii="Arial" w:cs="Arial" w:eastAsia="Arial" w:hAnsi="Arial"/>
                <w:sz w:val="11"/>
                <w:szCs w:val="11"/>
                <w:color w:val="auto"/>
              </w:rPr>
              <w:t>Newly Acquired Property</w:t>
            </w:r>
          </w:p>
        </w:tc>
        <w:tc>
          <w:tcPr>
            <w:tcW w:w="1340" w:type="dxa"/>
            <w:vAlign w:val="bottom"/>
            <w:tcBorders>
              <w:bottom w:val="single" w:sz="8" w:color="auto"/>
              <w:right w:val="single" w:sz="8" w:color="auto"/>
            </w:tcBorders>
          </w:tcPr>
          <w:p>
            <w:pPr>
              <w:jc w:val="right"/>
              <w:spacing w:after="0" w:line="115" w:lineRule="exact"/>
              <w:rPr>
                <w:sz w:val="20"/>
                <w:szCs w:val="20"/>
                <w:color w:val="auto"/>
              </w:rPr>
            </w:pPr>
            <w:r>
              <w:rPr>
                <w:rFonts w:ascii="Arial" w:cs="Arial" w:eastAsia="Arial" w:hAnsi="Arial"/>
                <w:sz w:val="11"/>
                <w:szCs w:val="11"/>
                <w:color w:val="auto"/>
              </w:rPr>
              <w:t>$3,000,000</w:t>
            </w:r>
          </w:p>
        </w:tc>
        <w:tc>
          <w:tcPr>
            <w:tcW w:w="1000" w:type="dxa"/>
            <w:vAlign w:val="bottom"/>
            <w:tcBorders>
              <w:right w:val="single" w:sz="8" w:color="auto"/>
            </w:tcBorders>
          </w:tcPr>
          <w:p>
            <w:pPr>
              <w:spacing w:after="0"/>
              <w:rPr>
                <w:sz w:val="10"/>
                <w:szCs w:val="10"/>
                <w:color w:val="auto"/>
              </w:rPr>
            </w:pPr>
          </w:p>
        </w:tc>
      </w:tr>
      <w:tr>
        <w:trPr>
          <w:trHeight w:val="115"/>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15" w:lineRule="exact"/>
              <w:rPr>
                <w:sz w:val="20"/>
                <w:szCs w:val="20"/>
                <w:color w:val="auto"/>
              </w:rPr>
            </w:pPr>
            <w:r>
              <w:rPr>
                <w:rFonts w:ascii="Arial" w:cs="Arial" w:eastAsia="Arial" w:hAnsi="Arial"/>
                <w:sz w:val="11"/>
                <w:szCs w:val="11"/>
                <w:color w:val="auto"/>
              </w:rPr>
              <w:t>Unnamed Locations</w:t>
            </w:r>
          </w:p>
        </w:tc>
        <w:tc>
          <w:tcPr>
            <w:tcW w:w="1340" w:type="dxa"/>
            <w:vAlign w:val="bottom"/>
            <w:tcBorders>
              <w:bottom w:val="single" w:sz="8" w:color="auto"/>
              <w:right w:val="single" w:sz="8" w:color="auto"/>
            </w:tcBorders>
          </w:tcPr>
          <w:p>
            <w:pPr>
              <w:jc w:val="right"/>
              <w:spacing w:after="0" w:line="115" w:lineRule="exact"/>
              <w:rPr>
                <w:sz w:val="20"/>
                <w:szCs w:val="20"/>
                <w:color w:val="auto"/>
              </w:rPr>
            </w:pPr>
            <w:r>
              <w:rPr>
                <w:rFonts w:ascii="Arial" w:cs="Arial" w:eastAsia="Arial" w:hAnsi="Arial"/>
                <w:sz w:val="11"/>
                <w:szCs w:val="11"/>
                <w:color w:val="auto"/>
              </w:rPr>
              <w:t>$3,000,000</w:t>
            </w:r>
          </w:p>
        </w:tc>
        <w:tc>
          <w:tcPr>
            <w:tcW w:w="1000" w:type="dxa"/>
            <w:vAlign w:val="bottom"/>
            <w:tcBorders>
              <w:right w:val="single" w:sz="8" w:color="auto"/>
            </w:tcBorders>
          </w:tcPr>
          <w:p>
            <w:pPr>
              <w:spacing w:after="0"/>
              <w:rPr>
                <w:sz w:val="10"/>
                <w:szCs w:val="10"/>
                <w:color w:val="auto"/>
              </w:rPr>
            </w:pPr>
          </w:p>
        </w:tc>
      </w:tr>
      <w:tr>
        <w:trPr>
          <w:trHeight w:val="115"/>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15" w:lineRule="exact"/>
              <w:rPr>
                <w:sz w:val="20"/>
                <w:szCs w:val="20"/>
                <w:color w:val="auto"/>
              </w:rPr>
            </w:pPr>
            <w:r>
              <w:rPr>
                <w:rFonts w:ascii="Arial" w:cs="Arial" w:eastAsia="Arial" w:hAnsi="Arial"/>
                <w:sz w:val="11"/>
                <w:szCs w:val="11"/>
                <w:color w:val="auto"/>
              </w:rPr>
              <w:t>Accounts Receivable</w:t>
            </w:r>
          </w:p>
        </w:tc>
        <w:tc>
          <w:tcPr>
            <w:tcW w:w="1340" w:type="dxa"/>
            <w:vAlign w:val="bottom"/>
            <w:tcBorders>
              <w:bottom w:val="single" w:sz="8" w:color="auto"/>
              <w:right w:val="single" w:sz="8" w:color="auto"/>
            </w:tcBorders>
          </w:tcPr>
          <w:p>
            <w:pPr>
              <w:jc w:val="right"/>
              <w:spacing w:after="0" w:line="115" w:lineRule="exact"/>
              <w:rPr>
                <w:sz w:val="20"/>
                <w:szCs w:val="20"/>
                <w:color w:val="auto"/>
              </w:rPr>
            </w:pPr>
            <w:r>
              <w:rPr>
                <w:rFonts w:ascii="Arial" w:cs="Arial" w:eastAsia="Arial" w:hAnsi="Arial"/>
                <w:sz w:val="11"/>
                <w:szCs w:val="11"/>
                <w:color w:val="auto"/>
              </w:rPr>
              <w:t>$1,000,000</w:t>
            </w:r>
          </w:p>
        </w:tc>
        <w:tc>
          <w:tcPr>
            <w:tcW w:w="1000" w:type="dxa"/>
            <w:vAlign w:val="bottom"/>
            <w:tcBorders>
              <w:right w:val="single" w:sz="8" w:color="auto"/>
            </w:tcBorders>
          </w:tcPr>
          <w:p>
            <w:pPr>
              <w:spacing w:after="0"/>
              <w:rPr>
                <w:sz w:val="10"/>
                <w:szCs w:val="10"/>
                <w:color w:val="auto"/>
              </w:rPr>
            </w:pPr>
          </w:p>
        </w:tc>
      </w:tr>
      <w:tr>
        <w:trPr>
          <w:trHeight w:val="115"/>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15" w:lineRule="exact"/>
              <w:rPr>
                <w:sz w:val="20"/>
                <w:szCs w:val="20"/>
                <w:color w:val="auto"/>
              </w:rPr>
            </w:pPr>
            <w:r>
              <w:rPr>
                <w:rFonts w:ascii="Arial" w:cs="Arial" w:eastAsia="Arial" w:hAnsi="Arial"/>
                <w:sz w:val="11"/>
                <w:szCs w:val="11"/>
                <w:color w:val="auto"/>
              </w:rPr>
              <w:t>Valuable Papers and Records</w:t>
            </w:r>
          </w:p>
        </w:tc>
        <w:tc>
          <w:tcPr>
            <w:tcW w:w="1340" w:type="dxa"/>
            <w:vAlign w:val="bottom"/>
            <w:tcBorders>
              <w:bottom w:val="single" w:sz="8" w:color="auto"/>
              <w:right w:val="single" w:sz="8" w:color="auto"/>
            </w:tcBorders>
          </w:tcPr>
          <w:p>
            <w:pPr>
              <w:jc w:val="right"/>
              <w:spacing w:after="0" w:line="115" w:lineRule="exact"/>
              <w:rPr>
                <w:sz w:val="20"/>
                <w:szCs w:val="20"/>
                <w:color w:val="auto"/>
              </w:rPr>
            </w:pPr>
            <w:r>
              <w:rPr>
                <w:rFonts w:ascii="Arial" w:cs="Arial" w:eastAsia="Arial" w:hAnsi="Arial"/>
                <w:sz w:val="11"/>
                <w:szCs w:val="11"/>
                <w:color w:val="auto"/>
              </w:rPr>
              <w:t>$1,000,000</w:t>
            </w:r>
          </w:p>
        </w:tc>
        <w:tc>
          <w:tcPr>
            <w:tcW w:w="1000" w:type="dxa"/>
            <w:vAlign w:val="bottom"/>
            <w:tcBorders>
              <w:right w:val="single" w:sz="8" w:color="auto"/>
            </w:tcBorders>
          </w:tcPr>
          <w:p>
            <w:pPr>
              <w:spacing w:after="0"/>
              <w:rPr>
                <w:sz w:val="10"/>
                <w:szCs w:val="10"/>
                <w:color w:val="auto"/>
              </w:rPr>
            </w:pPr>
          </w:p>
        </w:tc>
      </w:tr>
      <w:tr>
        <w:trPr>
          <w:trHeight w:val="115"/>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15" w:lineRule="exact"/>
              <w:rPr>
                <w:sz w:val="20"/>
                <w:szCs w:val="20"/>
                <w:color w:val="auto"/>
              </w:rPr>
            </w:pPr>
            <w:r>
              <w:rPr>
                <w:rFonts w:ascii="Arial" w:cs="Arial" w:eastAsia="Arial" w:hAnsi="Arial"/>
                <w:sz w:val="11"/>
                <w:szCs w:val="11"/>
                <w:color w:val="auto"/>
              </w:rPr>
              <w:t>Electronic Data and Media (other than cyber)</w:t>
            </w:r>
          </w:p>
        </w:tc>
        <w:tc>
          <w:tcPr>
            <w:tcW w:w="1340" w:type="dxa"/>
            <w:vAlign w:val="bottom"/>
            <w:tcBorders>
              <w:bottom w:val="single" w:sz="8" w:color="auto"/>
              <w:right w:val="single" w:sz="8" w:color="auto"/>
            </w:tcBorders>
          </w:tcPr>
          <w:p>
            <w:pPr>
              <w:jc w:val="right"/>
              <w:spacing w:after="0" w:line="115" w:lineRule="exact"/>
              <w:rPr>
                <w:sz w:val="20"/>
                <w:szCs w:val="20"/>
                <w:color w:val="auto"/>
              </w:rPr>
            </w:pPr>
            <w:r>
              <w:rPr>
                <w:rFonts w:ascii="Arial" w:cs="Arial" w:eastAsia="Arial" w:hAnsi="Arial"/>
                <w:sz w:val="11"/>
                <w:szCs w:val="11"/>
                <w:color w:val="auto"/>
              </w:rPr>
              <w:t>$3,500,000</w:t>
            </w:r>
          </w:p>
        </w:tc>
        <w:tc>
          <w:tcPr>
            <w:tcW w:w="1000" w:type="dxa"/>
            <w:vAlign w:val="bottom"/>
            <w:tcBorders>
              <w:right w:val="single" w:sz="8" w:color="auto"/>
            </w:tcBorders>
          </w:tcPr>
          <w:p>
            <w:pPr>
              <w:spacing w:after="0"/>
              <w:rPr>
                <w:sz w:val="10"/>
                <w:szCs w:val="10"/>
                <w:color w:val="auto"/>
              </w:rPr>
            </w:pPr>
          </w:p>
        </w:tc>
      </w:tr>
      <w:tr>
        <w:trPr>
          <w:trHeight w:val="115"/>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15" w:lineRule="exact"/>
              <w:rPr>
                <w:sz w:val="20"/>
                <w:szCs w:val="20"/>
                <w:color w:val="auto"/>
              </w:rPr>
            </w:pPr>
            <w:r>
              <w:rPr>
                <w:rFonts w:ascii="Arial" w:cs="Arial" w:eastAsia="Arial" w:hAnsi="Arial"/>
                <w:sz w:val="11"/>
                <w:szCs w:val="11"/>
                <w:color w:val="auto"/>
              </w:rPr>
              <w:t>Demolition and Increased Cost of Construction</w:t>
            </w:r>
          </w:p>
        </w:tc>
        <w:tc>
          <w:tcPr>
            <w:tcW w:w="1340" w:type="dxa"/>
            <w:vAlign w:val="bottom"/>
            <w:tcBorders>
              <w:bottom w:val="single" w:sz="8" w:color="auto"/>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r>
      <w:tr>
        <w:trPr>
          <w:trHeight w:val="115"/>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ind w:left="80"/>
              <w:spacing w:after="0" w:line="115" w:lineRule="exact"/>
              <w:rPr>
                <w:sz w:val="20"/>
                <w:szCs w:val="20"/>
                <w:color w:val="auto"/>
              </w:rPr>
            </w:pPr>
            <w:r>
              <w:rPr>
                <w:rFonts w:ascii="Arial" w:cs="Arial" w:eastAsia="Arial" w:hAnsi="Arial"/>
                <w:sz w:val="11"/>
                <w:szCs w:val="11"/>
                <w:color w:val="auto"/>
              </w:rPr>
              <w:t>A. Undamaged Portion</w:t>
            </w:r>
          </w:p>
        </w:tc>
        <w:tc>
          <w:tcPr>
            <w:tcW w:w="1340" w:type="dxa"/>
            <w:vAlign w:val="bottom"/>
            <w:tcBorders>
              <w:bottom w:val="single" w:sz="8" w:color="auto"/>
              <w:right w:val="single" w:sz="8" w:color="auto"/>
            </w:tcBorders>
          </w:tcPr>
          <w:p>
            <w:pPr>
              <w:jc w:val="right"/>
              <w:spacing w:after="0" w:line="115" w:lineRule="exact"/>
              <w:rPr>
                <w:sz w:val="20"/>
                <w:szCs w:val="20"/>
                <w:color w:val="auto"/>
              </w:rPr>
            </w:pPr>
            <w:r>
              <w:rPr>
                <w:rFonts w:ascii="Arial" w:cs="Arial" w:eastAsia="Arial" w:hAnsi="Arial"/>
                <w:sz w:val="11"/>
                <w:szCs w:val="11"/>
                <w:color w:val="auto"/>
              </w:rPr>
              <w:t>Policy Limit</w:t>
            </w:r>
          </w:p>
        </w:tc>
        <w:tc>
          <w:tcPr>
            <w:tcW w:w="1000" w:type="dxa"/>
            <w:vAlign w:val="bottom"/>
            <w:tcBorders>
              <w:right w:val="single" w:sz="8" w:color="auto"/>
            </w:tcBorders>
          </w:tcPr>
          <w:p>
            <w:pPr>
              <w:spacing w:after="0"/>
              <w:rPr>
                <w:sz w:val="10"/>
                <w:szCs w:val="10"/>
                <w:color w:val="auto"/>
              </w:rPr>
            </w:pPr>
          </w:p>
        </w:tc>
      </w:tr>
      <w:tr>
        <w:trPr>
          <w:trHeight w:val="115"/>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ind w:left="80"/>
              <w:spacing w:after="0" w:line="115" w:lineRule="exact"/>
              <w:rPr>
                <w:sz w:val="20"/>
                <w:szCs w:val="20"/>
                <w:color w:val="auto"/>
              </w:rPr>
            </w:pPr>
            <w:r>
              <w:rPr>
                <w:rFonts w:ascii="Arial" w:cs="Arial" w:eastAsia="Arial" w:hAnsi="Arial"/>
                <w:sz w:val="11"/>
                <w:szCs w:val="11"/>
                <w:color w:val="auto"/>
              </w:rPr>
              <w:t>B. Demolition</w:t>
            </w:r>
          </w:p>
        </w:tc>
        <w:tc>
          <w:tcPr>
            <w:tcW w:w="1340" w:type="dxa"/>
            <w:vAlign w:val="bottom"/>
            <w:tcBorders>
              <w:bottom w:val="single" w:sz="8" w:color="auto"/>
              <w:right w:val="single" w:sz="8" w:color="auto"/>
            </w:tcBorders>
          </w:tcPr>
          <w:p>
            <w:pPr>
              <w:jc w:val="right"/>
              <w:spacing w:after="0" w:line="115" w:lineRule="exact"/>
              <w:rPr>
                <w:sz w:val="20"/>
                <w:szCs w:val="20"/>
                <w:color w:val="auto"/>
              </w:rPr>
            </w:pPr>
            <w:r>
              <w:rPr>
                <w:rFonts w:ascii="Arial" w:cs="Arial" w:eastAsia="Arial" w:hAnsi="Arial"/>
                <w:sz w:val="11"/>
                <w:szCs w:val="11"/>
                <w:color w:val="auto"/>
              </w:rPr>
              <w:t>$5,000,000</w:t>
            </w:r>
          </w:p>
        </w:tc>
        <w:tc>
          <w:tcPr>
            <w:tcW w:w="1000" w:type="dxa"/>
            <w:vAlign w:val="bottom"/>
            <w:tcBorders>
              <w:right w:val="single" w:sz="8" w:color="auto"/>
            </w:tcBorders>
          </w:tcPr>
          <w:p>
            <w:pPr>
              <w:spacing w:after="0"/>
              <w:rPr>
                <w:sz w:val="10"/>
                <w:szCs w:val="10"/>
                <w:color w:val="auto"/>
              </w:rPr>
            </w:pPr>
          </w:p>
        </w:tc>
      </w:tr>
      <w:tr>
        <w:trPr>
          <w:trHeight w:val="115"/>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ind w:left="80"/>
              <w:spacing w:after="0" w:line="115" w:lineRule="exact"/>
              <w:rPr>
                <w:sz w:val="20"/>
                <w:szCs w:val="20"/>
                <w:color w:val="auto"/>
              </w:rPr>
            </w:pPr>
            <w:r>
              <w:rPr>
                <w:rFonts w:ascii="Arial" w:cs="Arial" w:eastAsia="Arial" w:hAnsi="Arial"/>
                <w:sz w:val="11"/>
                <w:szCs w:val="11"/>
                <w:color w:val="auto"/>
              </w:rPr>
              <w:t>C. Compliance with Laws</w:t>
            </w:r>
          </w:p>
        </w:tc>
        <w:tc>
          <w:tcPr>
            <w:tcW w:w="1340" w:type="dxa"/>
            <w:vAlign w:val="bottom"/>
            <w:tcBorders>
              <w:bottom w:val="single" w:sz="8" w:color="auto"/>
              <w:right w:val="single" w:sz="8" w:color="auto"/>
            </w:tcBorders>
          </w:tcPr>
          <w:p>
            <w:pPr>
              <w:jc w:val="right"/>
              <w:spacing w:after="0" w:line="115" w:lineRule="exact"/>
              <w:rPr>
                <w:sz w:val="20"/>
                <w:szCs w:val="20"/>
                <w:color w:val="auto"/>
              </w:rPr>
            </w:pPr>
            <w:r>
              <w:rPr>
                <w:rFonts w:ascii="Arial" w:cs="Arial" w:eastAsia="Arial" w:hAnsi="Arial"/>
                <w:sz w:val="11"/>
                <w:szCs w:val="11"/>
                <w:color w:val="auto"/>
              </w:rPr>
              <w:t>$5,000,000</w:t>
            </w:r>
          </w:p>
        </w:tc>
        <w:tc>
          <w:tcPr>
            <w:tcW w:w="1000" w:type="dxa"/>
            <w:vAlign w:val="bottom"/>
            <w:tcBorders>
              <w:right w:val="single" w:sz="8" w:color="auto"/>
            </w:tcBorders>
          </w:tcPr>
          <w:p>
            <w:pPr>
              <w:spacing w:after="0"/>
              <w:rPr>
                <w:sz w:val="10"/>
                <w:szCs w:val="10"/>
                <w:color w:val="auto"/>
              </w:rPr>
            </w:pPr>
          </w:p>
        </w:tc>
      </w:tr>
      <w:tr>
        <w:trPr>
          <w:trHeight w:val="115"/>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15" w:lineRule="exact"/>
              <w:rPr>
                <w:sz w:val="20"/>
                <w:szCs w:val="20"/>
                <w:color w:val="auto"/>
              </w:rPr>
            </w:pPr>
            <w:r>
              <w:rPr>
                <w:rFonts w:ascii="Arial" w:cs="Arial" w:eastAsia="Arial" w:hAnsi="Arial"/>
                <w:sz w:val="11"/>
                <w:szCs w:val="11"/>
                <w:color w:val="auto"/>
              </w:rPr>
              <w:t>Errors &amp; Omissions</w:t>
            </w:r>
          </w:p>
        </w:tc>
        <w:tc>
          <w:tcPr>
            <w:tcW w:w="1340" w:type="dxa"/>
            <w:vAlign w:val="bottom"/>
            <w:tcBorders>
              <w:bottom w:val="single" w:sz="8" w:color="auto"/>
              <w:right w:val="single" w:sz="8" w:color="auto"/>
            </w:tcBorders>
          </w:tcPr>
          <w:p>
            <w:pPr>
              <w:jc w:val="right"/>
              <w:spacing w:after="0" w:line="115" w:lineRule="exact"/>
              <w:rPr>
                <w:sz w:val="20"/>
                <w:szCs w:val="20"/>
                <w:color w:val="auto"/>
              </w:rPr>
            </w:pPr>
            <w:r>
              <w:rPr>
                <w:rFonts w:ascii="Arial" w:cs="Arial" w:eastAsia="Arial" w:hAnsi="Arial"/>
                <w:sz w:val="11"/>
                <w:szCs w:val="11"/>
                <w:color w:val="auto"/>
              </w:rPr>
              <w:t>$3,000,000</w:t>
            </w:r>
          </w:p>
        </w:tc>
        <w:tc>
          <w:tcPr>
            <w:tcW w:w="1000" w:type="dxa"/>
            <w:vAlign w:val="bottom"/>
            <w:tcBorders>
              <w:right w:val="single" w:sz="8" w:color="auto"/>
            </w:tcBorders>
          </w:tcPr>
          <w:p>
            <w:pPr>
              <w:spacing w:after="0"/>
              <w:rPr>
                <w:sz w:val="10"/>
                <w:szCs w:val="10"/>
                <w:color w:val="auto"/>
              </w:rPr>
            </w:pPr>
          </w:p>
        </w:tc>
      </w:tr>
      <w:tr>
        <w:trPr>
          <w:trHeight w:val="115"/>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15" w:lineRule="exact"/>
              <w:rPr>
                <w:sz w:val="20"/>
                <w:szCs w:val="20"/>
                <w:color w:val="auto"/>
              </w:rPr>
            </w:pPr>
            <w:r>
              <w:rPr>
                <w:rFonts w:ascii="Arial" w:cs="Arial" w:eastAsia="Arial" w:hAnsi="Arial"/>
                <w:sz w:val="11"/>
                <w:szCs w:val="11"/>
                <w:color w:val="auto"/>
              </w:rPr>
              <w:t>Terrorism Inside the US</w:t>
            </w:r>
          </w:p>
        </w:tc>
        <w:tc>
          <w:tcPr>
            <w:tcW w:w="1340" w:type="dxa"/>
            <w:vAlign w:val="bottom"/>
            <w:tcBorders>
              <w:bottom w:val="single" w:sz="8" w:color="auto"/>
              <w:right w:val="single" w:sz="8" w:color="auto"/>
            </w:tcBorders>
          </w:tcPr>
          <w:p>
            <w:pPr>
              <w:jc w:val="right"/>
              <w:spacing w:after="0" w:line="115" w:lineRule="exact"/>
              <w:rPr>
                <w:sz w:val="20"/>
                <w:szCs w:val="20"/>
                <w:color w:val="auto"/>
              </w:rPr>
            </w:pPr>
            <w:r>
              <w:rPr>
                <w:rFonts w:ascii="Arial" w:cs="Arial" w:eastAsia="Arial" w:hAnsi="Arial"/>
                <w:sz w:val="11"/>
                <w:szCs w:val="11"/>
                <w:color w:val="auto"/>
              </w:rPr>
              <w:t>$250,000,000</w:t>
            </w:r>
          </w:p>
        </w:tc>
        <w:tc>
          <w:tcPr>
            <w:tcW w:w="1000" w:type="dxa"/>
            <w:vAlign w:val="bottom"/>
            <w:tcBorders>
              <w:right w:val="single" w:sz="8" w:color="auto"/>
            </w:tcBorders>
          </w:tcPr>
          <w:p>
            <w:pPr>
              <w:spacing w:after="0"/>
              <w:rPr>
                <w:sz w:val="10"/>
                <w:szCs w:val="10"/>
                <w:color w:val="auto"/>
              </w:rPr>
            </w:pPr>
          </w:p>
        </w:tc>
      </w:tr>
      <w:tr>
        <w:trPr>
          <w:trHeight w:val="115"/>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15" w:lineRule="exact"/>
              <w:rPr>
                <w:sz w:val="20"/>
                <w:szCs w:val="20"/>
                <w:color w:val="auto"/>
              </w:rPr>
            </w:pPr>
            <w:r>
              <w:rPr>
                <w:rFonts w:ascii="Arial" w:cs="Arial" w:eastAsia="Arial" w:hAnsi="Arial"/>
                <w:sz w:val="11"/>
                <w:szCs w:val="11"/>
                <w:color w:val="auto"/>
              </w:rPr>
              <w:t>Terrorism Outside the US</w:t>
            </w:r>
          </w:p>
        </w:tc>
        <w:tc>
          <w:tcPr>
            <w:tcW w:w="1340" w:type="dxa"/>
            <w:vAlign w:val="bottom"/>
            <w:tcBorders>
              <w:bottom w:val="single" w:sz="8" w:color="auto"/>
              <w:right w:val="single" w:sz="8" w:color="auto"/>
            </w:tcBorders>
          </w:tcPr>
          <w:p>
            <w:pPr>
              <w:jc w:val="right"/>
              <w:spacing w:after="0" w:line="115" w:lineRule="exact"/>
              <w:rPr>
                <w:sz w:val="20"/>
                <w:szCs w:val="20"/>
                <w:color w:val="auto"/>
              </w:rPr>
            </w:pPr>
            <w:r>
              <w:rPr>
                <w:rFonts w:ascii="Arial" w:cs="Arial" w:eastAsia="Arial" w:hAnsi="Arial"/>
                <w:sz w:val="11"/>
                <w:szCs w:val="11"/>
                <w:color w:val="auto"/>
              </w:rPr>
              <w:t>Not Included</w:t>
            </w:r>
          </w:p>
        </w:tc>
        <w:tc>
          <w:tcPr>
            <w:tcW w:w="1000" w:type="dxa"/>
            <w:vAlign w:val="bottom"/>
            <w:tcBorders>
              <w:right w:val="single" w:sz="8" w:color="auto"/>
            </w:tcBorders>
          </w:tcPr>
          <w:p>
            <w:pPr>
              <w:spacing w:after="0"/>
              <w:rPr>
                <w:sz w:val="10"/>
                <w:szCs w:val="10"/>
                <w:color w:val="auto"/>
              </w:rPr>
            </w:pPr>
          </w:p>
        </w:tc>
      </w:tr>
      <w:tr>
        <w:trPr>
          <w:trHeight w:val="115"/>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15" w:lineRule="exact"/>
              <w:rPr>
                <w:sz w:val="20"/>
                <w:szCs w:val="20"/>
                <w:color w:val="auto"/>
              </w:rPr>
            </w:pPr>
            <w:r>
              <w:rPr>
                <w:rFonts w:ascii="Arial" w:cs="Arial" w:eastAsia="Arial" w:hAnsi="Arial"/>
                <w:sz w:val="11"/>
                <w:szCs w:val="11"/>
                <w:color w:val="auto"/>
              </w:rPr>
              <w:t>Fungus, Mold, or Mildew</w:t>
            </w:r>
          </w:p>
        </w:tc>
        <w:tc>
          <w:tcPr>
            <w:tcW w:w="1340" w:type="dxa"/>
            <w:vAlign w:val="bottom"/>
            <w:tcBorders>
              <w:bottom w:val="single" w:sz="8" w:color="auto"/>
              <w:right w:val="single" w:sz="8" w:color="auto"/>
            </w:tcBorders>
          </w:tcPr>
          <w:p>
            <w:pPr>
              <w:jc w:val="right"/>
              <w:spacing w:after="0" w:line="115" w:lineRule="exact"/>
              <w:rPr>
                <w:sz w:val="20"/>
                <w:szCs w:val="20"/>
                <w:color w:val="auto"/>
              </w:rPr>
            </w:pPr>
            <w:r>
              <w:rPr>
                <w:rFonts w:ascii="Arial" w:cs="Arial" w:eastAsia="Arial" w:hAnsi="Arial"/>
                <w:sz w:val="11"/>
                <w:szCs w:val="11"/>
                <w:color w:val="auto"/>
              </w:rPr>
              <w:t>$1,000,000</w:t>
            </w:r>
          </w:p>
        </w:tc>
        <w:tc>
          <w:tcPr>
            <w:tcW w:w="1000" w:type="dxa"/>
            <w:vAlign w:val="bottom"/>
            <w:tcBorders>
              <w:right w:val="single" w:sz="8" w:color="auto"/>
            </w:tcBorders>
          </w:tcPr>
          <w:p>
            <w:pPr>
              <w:spacing w:after="0"/>
              <w:rPr>
                <w:sz w:val="10"/>
                <w:szCs w:val="10"/>
                <w:color w:val="auto"/>
              </w:rPr>
            </w:pPr>
          </w:p>
        </w:tc>
      </w:tr>
      <w:tr>
        <w:trPr>
          <w:trHeight w:val="115"/>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15" w:lineRule="exact"/>
              <w:rPr>
                <w:sz w:val="20"/>
                <w:szCs w:val="20"/>
                <w:color w:val="auto"/>
              </w:rPr>
            </w:pPr>
            <w:r>
              <w:rPr>
                <w:rFonts w:ascii="Arial" w:cs="Arial" w:eastAsia="Arial" w:hAnsi="Arial"/>
                <w:sz w:val="11"/>
                <w:szCs w:val="11"/>
                <w:color w:val="auto"/>
              </w:rPr>
              <w:t>Service Interruption</w:t>
            </w:r>
          </w:p>
        </w:tc>
        <w:tc>
          <w:tcPr>
            <w:tcW w:w="1340" w:type="dxa"/>
            <w:vAlign w:val="bottom"/>
            <w:tcBorders>
              <w:bottom w:val="single" w:sz="8" w:color="auto"/>
              <w:right w:val="single" w:sz="8" w:color="auto"/>
            </w:tcBorders>
          </w:tcPr>
          <w:p>
            <w:pPr>
              <w:jc w:val="right"/>
              <w:spacing w:after="0" w:line="115" w:lineRule="exact"/>
              <w:rPr>
                <w:sz w:val="20"/>
                <w:szCs w:val="20"/>
                <w:color w:val="auto"/>
              </w:rPr>
            </w:pPr>
            <w:r>
              <w:rPr>
                <w:rFonts w:ascii="Arial" w:cs="Arial" w:eastAsia="Arial" w:hAnsi="Arial"/>
                <w:sz w:val="11"/>
                <w:szCs w:val="11"/>
                <w:color w:val="auto"/>
              </w:rPr>
              <w:t>$1,000,000</w:t>
            </w:r>
          </w:p>
        </w:tc>
        <w:tc>
          <w:tcPr>
            <w:tcW w:w="1000" w:type="dxa"/>
            <w:vAlign w:val="bottom"/>
            <w:tcBorders>
              <w:right w:val="single" w:sz="8" w:color="auto"/>
            </w:tcBorders>
          </w:tcPr>
          <w:p>
            <w:pPr>
              <w:spacing w:after="0"/>
              <w:rPr>
                <w:sz w:val="10"/>
                <w:szCs w:val="10"/>
                <w:color w:val="auto"/>
              </w:rPr>
            </w:pPr>
          </w:p>
        </w:tc>
      </w:tr>
      <w:tr>
        <w:trPr>
          <w:trHeight w:val="115"/>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15" w:lineRule="exact"/>
              <w:rPr>
                <w:sz w:val="20"/>
                <w:szCs w:val="20"/>
                <w:color w:val="auto"/>
              </w:rPr>
            </w:pPr>
            <w:r>
              <w:rPr>
                <w:rFonts w:ascii="Arial" w:cs="Arial" w:eastAsia="Arial" w:hAnsi="Arial"/>
                <w:sz w:val="11"/>
                <w:szCs w:val="11"/>
                <w:color w:val="auto"/>
              </w:rPr>
              <w:t>Ordinary Payroll</w:t>
            </w:r>
          </w:p>
        </w:tc>
        <w:tc>
          <w:tcPr>
            <w:tcW w:w="1340" w:type="dxa"/>
            <w:vAlign w:val="bottom"/>
            <w:tcBorders>
              <w:bottom w:val="single" w:sz="8" w:color="auto"/>
              <w:right w:val="single" w:sz="8" w:color="auto"/>
            </w:tcBorders>
          </w:tcPr>
          <w:p>
            <w:pPr>
              <w:jc w:val="right"/>
              <w:spacing w:after="0" w:line="115" w:lineRule="exact"/>
              <w:rPr>
                <w:sz w:val="20"/>
                <w:szCs w:val="20"/>
                <w:color w:val="auto"/>
              </w:rPr>
            </w:pPr>
            <w:r>
              <w:rPr>
                <w:rFonts w:ascii="Arial" w:cs="Arial" w:eastAsia="Arial" w:hAnsi="Arial"/>
                <w:sz w:val="11"/>
                <w:szCs w:val="11"/>
                <w:color w:val="auto"/>
              </w:rPr>
              <w:t>90 Days</w:t>
            </w:r>
          </w:p>
        </w:tc>
        <w:tc>
          <w:tcPr>
            <w:tcW w:w="1000" w:type="dxa"/>
            <w:vAlign w:val="bottom"/>
            <w:tcBorders>
              <w:right w:val="single" w:sz="8" w:color="auto"/>
            </w:tcBorders>
          </w:tcPr>
          <w:p>
            <w:pPr>
              <w:spacing w:after="0"/>
              <w:rPr>
                <w:sz w:val="10"/>
                <w:szCs w:val="10"/>
                <w:color w:val="auto"/>
              </w:rPr>
            </w:pPr>
          </w:p>
        </w:tc>
      </w:tr>
      <w:tr>
        <w:trPr>
          <w:trHeight w:val="115"/>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ind w:left="80"/>
              <w:spacing w:after="0" w:line="115" w:lineRule="exact"/>
              <w:rPr>
                <w:sz w:val="20"/>
                <w:szCs w:val="20"/>
                <w:color w:val="auto"/>
              </w:rPr>
            </w:pPr>
            <w:r>
              <w:rPr>
                <w:rFonts w:ascii="Arial" w:cs="Arial" w:eastAsia="Arial" w:hAnsi="Arial"/>
                <w:sz w:val="11"/>
                <w:szCs w:val="11"/>
                <w:i w:val="1"/>
                <w:iCs w:val="1"/>
                <w:color w:val="auto"/>
              </w:rPr>
              <w:t>All Losses unless specified</w:t>
            </w:r>
          </w:p>
        </w:tc>
        <w:tc>
          <w:tcPr>
            <w:tcW w:w="1340" w:type="dxa"/>
            <w:vAlign w:val="bottom"/>
            <w:tcBorders>
              <w:bottom w:val="single" w:sz="8" w:color="auto"/>
              <w:right w:val="single" w:sz="8" w:color="auto"/>
            </w:tcBorders>
          </w:tcPr>
          <w:p>
            <w:pPr>
              <w:jc w:val="right"/>
              <w:spacing w:after="0" w:line="115" w:lineRule="exact"/>
              <w:rPr>
                <w:sz w:val="20"/>
                <w:szCs w:val="20"/>
                <w:color w:val="auto"/>
              </w:rPr>
            </w:pPr>
            <w:r>
              <w:rPr>
                <w:rFonts w:ascii="Arial" w:cs="Arial" w:eastAsia="Arial" w:hAnsi="Arial"/>
                <w:sz w:val="11"/>
                <w:szCs w:val="11"/>
                <w:i w:val="1"/>
                <w:iCs w:val="1"/>
                <w:color w:val="auto"/>
              </w:rPr>
              <w:t>$25,000</w:t>
            </w:r>
          </w:p>
        </w:tc>
        <w:tc>
          <w:tcPr>
            <w:tcW w:w="1000" w:type="dxa"/>
            <w:vAlign w:val="bottom"/>
            <w:tcBorders>
              <w:right w:val="single" w:sz="8" w:color="auto"/>
            </w:tcBorders>
          </w:tcPr>
          <w:p>
            <w:pPr>
              <w:spacing w:after="0"/>
              <w:rPr>
                <w:sz w:val="10"/>
                <w:szCs w:val="10"/>
                <w:color w:val="auto"/>
              </w:rPr>
            </w:pPr>
          </w:p>
        </w:tc>
      </w:tr>
      <w:tr>
        <w:trPr>
          <w:trHeight w:val="115"/>
        </w:trPr>
        <w:tc>
          <w:tcPr>
            <w:tcW w:w="1820" w:type="dxa"/>
            <w:vAlign w:val="bottom"/>
            <w:tcBorders>
              <w:left w:val="single" w:sz="8" w:color="auto"/>
              <w:bottom w:val="single" w:sz="8" w:color="auto"/>
              <w:right w:val="single" w:sz="8" w:color="auto"/>
            </w:tcBorders>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ind w:left="80"/>
              <w:spacing w:after="0" w:line="115" w:lineRule="exact"/>
              <w:rPr>
                <w:sz w:val="20"/>
                <w:szCs w:val="20"/>
                <w:color w:val="auto"/>
              </w:rPr>
            </w:pPr>
            <w:r>
              <w:rPr>
                <w:rFonts w:ascii="Arial" w:cs="Arial" w:eastAsia="Arial" w:hAnsi="Arial"/>
                <w:sz w:val="11"/>
                <w:szCs w:val="11"/>
                <w:i w:val="1"/>
                <w:iCs w:val="1"/>
                <w:color w:val="auto"/>
              </w:rPr>
              <w:t>Equipment Breakdown</w:t>
            </w:r>
          </w:p>
        </w:tc>
        <w:tc>
          <w:tcPr>
            <w:tcW w:w="1340" w:type="dxa"/>
            <w:vAlign w:val="bottom"/>
            <w:tcBorders>
              <w:bottom w:val="single" w:sz="8" w:color="auto"/>
              <w:right w:val="single" w:sz="8" w:color="auto"/>
            </w:tcBorders>
          </w:tcPr>
          <w:p>
            <w:pPr>
              <w:jc w:val="right"/>
              <w:spacing w:after="0" w:line="115" w:lineRule="exact"/>
              <w:rPr>
                <w:sz w:val="20"/>
                <w:szCs w:val="20"/>
                <w:color w:val="auto"/>
              </w:rPr>
            </w:pPr>
            <w:r>
              <w:rPr>
                <w:rFonts w:ascii="Arial" w:cs="Arial" w:eastAsia="Arial" w:hAnsi="Arial"/>
                <w:sz w:val="11"/>
                <w:szCs w:val="11"/>
                <w:i w:val="1"/>
                <w:iCs w:val="1"/>
                <w:color w:val="auto"/>
              </w:rPr>
              <w:t>$10,000</w:t>
            </w:r>
          </w:p>
        </w:tc>
        <w:tc>
          <w:tcPr>
            <w:tcW w:w="1000" w:type="dxa"/>
            <w:vAlign w:val="bottom"/>
            <w:tcBorders>
              <w:bottom w:val="single" w:sz="8" w:color="auto"/>
              <w:right w:val="single" w:sz="8" w:color="auto"/>
            </w:tcBorders>
          </w:tcPr>
          <w:p>
            <w:pPr>
              <w:spacing w:after="0"/>
              <w:rPr>
                <w:sz w:val="10"/>
                <w:szCs w:val="10"/>
                <w:color w:val="auto"/>
              </w:rPr>
            </w:pPr>
          </w:p>
        </w:tc>
      </w:tr>
      <w:tr>
        <w:trPr>
          <w:trHeight w:val="115"/>
        </w:trPr>
        <w:tc>
          <w:tcPr>
            <w:tcW w:w="1820" w:type="dxa"/>
            <w:vAlign w:val="bottom"/>
            <w:tcBorders>
              <w:left w:val="single" w:sz="8" w:color="auto"/>
              <w:right w:val="single" w:sz="8" w:color="auto"/>
            </w:tcBorders>
          </w:tcPr>
          <w:p>
            <w:pPr>
              <w:ind w:left="20"/>
              <w:spacing w:after="0" w:line="115" w:lineRule="exact"/>
              <w:rPr>
                <w:sz w:val="20"/>
                <w:szCs w:val="20"/>
                <w:color w:val="auto"/>
              </w:rPr>
            </w:pPr>
            <w:r>
              <w:rPr>
                <w:rFonts w:ascii="Arial" w:cs="Arial" w:eastAsia="Arial" w:hAnsi="Arial"/>
                <w:sz w:val="11"/>
                <w:szCs w:val="11"/>
                <w:color w:val="auto"/>
              </w:rPr>
              <w:t>Insurance Company of the State of</w:t>
            </w:r>
          </w:p>
        </w:tc>
        <w:tc>
          <w:tcPr>
            <w:tcW w:w="1480" w:type="dxa"/>
            <w:vAlign w:val="bottom"/>
            <w:tcBorders>
              <w:right w:val="single" w:sz="8" w:color="auto"/>
            </w:tcBorders>
          </w:tcPr>
          <w:p>
            <w:pPr>
              <w:jc w:val="right"/>
              <w:ind w:right="606"/>
              <w:spacing w:after="0" w:line="115" w:lineRule="exact"/>
              <w:rPr>
                <w:sz w:val="20"/>
                <w:szCs w:val="20"/>
                <w:color w:val="auto"/>
              </w:rPr>
            </w:pPr>
            <w:r>
              <w:rPr>
                <w:rFonts w:ascii="Arial" w:cs="Arial" w:eastAsia="Arial" w:hAnsi="Arial"/>
                <w:sz w:val="11"/>
                <w:szCs w:val="11"/>
                <w:color w:val="auto"/>
              </w:rPr>
              <w:t>***</w:t>
            </w:r>
          </w:p>
        </w:tc>
        <w:tc>
          <w:tcPr>
            <w:tcW w:w="1780" w:type="dxa"/>
            <w:vAlign w:val="bottom"/>
          </w:tcPr>
          <w:p>
            <w:pPr>
              <w:jc w:val="right"/>
              <w:ind w:right="603"/>
              <w:spacing w:after="0" w:line="115" w:lineRule="exact"/>
              <w:rPr>
                <w:sz w:val="20"/>
                <w:szCs w:val="20"/>
                <w:color w:val="auto"/>
              </w:rPr>
            </w:pPr>
            <w:r>
              <w:rPr>
                <w:rFonts w:ascii="Arial" w:cs="Arial" w:eastAsia="Arial" w:hAnsi="Arial"/>
                <w:sz w:val="11"/>
                <w:szCs w:val="11"/>
                <w:color w:val="auto"/>
              </w:rPr>
              <w:t>6/30/2017 - 6/30/2018</w:t>
            </w: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15" w:lineRule="exact"/>
              <w:rPr>
                <w:sz w:val="20"/>
                <w:szCs w:val="20"/>
                <w:color w:val="auto"/>
              </w:rPr>
            </w:pPr>
            <w:r>
              <w:rPr>
                <w:rFonts w:ascii="Arial" w:cs="Arial" w:eastAsia="Arial" w:hAnsi="Arial"/>
                <w:sz w:val="11"/>
                <w:szCs w:val="11"/>
                <w:color w:val="auto"/>
              </w:rPr>
              <w:t>United Kingdom Total Limit</w:t>
            </w:r>
          </w:p>
        </w:tc>
        <w:tc>
          <w:tcPr>
            <w:tcW w:w="1340" w:type="dxa"/>
            <w:vAlign w:val="bottom"/>
            <w:tcBorders>
              <w:bottom w:val="single" w:sz="8" w:color="auto"/>
              <w:right w:val="single" w:sz="8" w:color="auto"/>
            </w:tcBorders>
          </w:tcPr>
          <w:p>
            <w:pPr>
              <w:jc w:val="right"/>
              <w:spacing w:after="0" w:line="115" w:lineRule="exact"/>
              <w:rPr>
                <w:sz w:val="20"/>
                <w:szCs w:val="20"/>
                <w:color w:val="auto"/>
              </w:rPr>
            </w:pPr>
            <w:r>
              <w:rPr>
                <w:rFonts w:ascii="Arial" w:cs="Arial" w:eastAsia="Arial" w:hAnsi="Arial"/>
                <w:sz w:val="11"/>
                <w:szCs w:val="11"/>
                <w:color w:val="auto"/>
              </w:rPr>
              <w:t>$1,625,707</w:t>
            </w:r>
          </w:p>
        </w:tc>
        <w:tc>
          <w:tcPr>
            <w:tcW w:w="1000" w:type="dxa"/>
            <w:vAlign w:val="bottom"/>
            <w:tcBorders>
              <w:right w:val="single" w:sz="8" w:color="auto"/>
            </w:tcBorders>
          </w:tcPr>
          <w:p>
            <w:pPr>
              <w:jc w:val="right"/>
              <w:ind w:right="588"/>
              <w:spacing w:after="0" w:line="115" w:lineRule="exact"/>
              <w:rPr>
                <w:sz w:val="20"/>
                <w:szCs w:val="20"/>
                <w:color w:val="auto"/>
              </w:rPr>
            </w:pPr>
            <w:r>
              <w:rPr>
                <w:rFonts w:ascii="Arial" w:cs="Arial" w:eastAsia="Arial" w:hAnsi="Arial"/>
                <w:sz w:val="11"/>
                <w:szCs w:val="11"/>
                <w:color w:val="auto"/>
              </w:rPr>
              <w:t>$***</w:t>
            </w:r>
          </w:p>
        </w:tc>
      </w:tr>
      <w:tr>
        <w:trPr>
          <w:trHeight w:val="115"/>
        </w:trPr>
        <w:tc>
          <w:tcPr>
            <w:tcW w:w="1820" w:type="dxa"/>
            <w:vAlign w:val="bottom"/>
            <w:tcBorders>
              <w:left w:val="single" w:sz="8" w:color="auto"/>
              <w:right w:val="single" w:sz="8" w:color="auto"/>
            </w:tcBorders>
          </w:tcPr>
          <w:p>
            <w:pPr>
              <w:ind w:left="20"/>
              <w:spacing w:after="0" w:line="115" w:lineRule="exact"/>
              <w:rPr>
                <w:sz w:val="20"/>
                <w:szCs w:val="20"/>
                <w:color w:val="auto"/>
              </w:rPr>
            </w:pPr>
            <w:r>
              <w:rPr>
                <w:rFonts w:ascii="Arial" w:cs="Arial" w:eastAsia="Arial" w:hAnsi="Arial"/>
                <w:sz w:val="11"/>
                <w:szCs w:val="11"/>
                <w:color w:val="auto"/>
              </w:rPr>
              <w:t>Pennsylvania</w:t>
            </w: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15" w:lineRule="exact"/>
              <w:rPr>
                <w:sz w:val="20"/>
                <w:szCs w:val="20"/>
                <w:color w:val="auto"/>
              </w:rPr>
            </w:pPr>
            <w:r>
              <w:rPr>
                <w:rFonts w:ascii="Arial" w:cs="Arial" w:eastAsia="Arial" w:hAnsi="Arial"/>
                <w:sz w:val="11"/>
                <w:szCs w:val="11"/>
                <w:color w:val="auto"/>
              </w:rPr>
              <w:t>Earth Movement</w:t>
            </w:r>
          </w:p>
        </w:tc>
        <w:tc>
          <w:tcPr>
            <w:tcW w:w="1340" w:type="dxa"/>
            <w:vAlign w:val="bottom"/>
            <w:tcBorders>
              <w:bottom w:val="single" w:sz="8" w:color="auto"/>
              <w:right w:val="single" w:sz="8" w:color="auto"/>
            </w:tcBorders>
          </w:tcPr>
          <w:p>
            <w:pPr>
              <w:jc w:val="right"/>
              <w:spacing w:after="0" w:line="115" w:lineRule="exact"/>
              <w:rPr>
                <w:sz w:val="20"/>
                <w:szCs w:val="20"/>
                <w:color w:val="auto"/>
              </w:rPr>
            </w:pPr>
            <w:r>
              <w:rPr>
                <w:rFonts w:ascii="Arial" w:cs="Arial" w:eastAsia="Arial" w:hAnsi="Arial"/>
                <w:sz w:val="11"/>
                <w:szCs w:val="11"/>
                <w:color w:val="auto"/>
              </w:rPr>
              <w:t>Not Covered</w:t>
            </w:r>
          </w:p>
        </w:tc>
        <w:tc>
          <w:tcPr>
            <w:tcW w:w="1000" w:type="dxa"/>
            <w:vAlign w:val="bottom"/>
            <w:tcBorders>
              <w:right w:val="single" w:sz="8" w:color="auto"/>
            </w:tcBorders>
          </w:tcPr>
          <w:p>
            <w:pPr>
              <w:spacing w:after="0"/>
              <w:rPr>
                <w:sz w:val="10"/>
                <w:szCs w:val="10"/>
                <w:color w:val="auto"/>
              </w:rPr>
            </w:pPr>
          </w:p>
        </w:tc>
      </w:tr>
      <w:tr>
        <w:trPr>
          <w:trHeight w:val="115"/>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15" w:lineRule="exact"/>
              <w:rPr>
                <w:sz w:val="20"/>
                <w:szCs w:val="20"/>
                <w:color w:val="auto"/>
              </w:rPr>
            </w:pPr>
            <w:r>
              <w:rPr>
                <w:rFonts w:ascii="Arial" w:cs="Arial" w:eastAsia="Arial" w:hAnsi="Arial"/>
                <w:sz w:val="11"/>
                <w:szCs w:val="11"/>
                <w:color w:val="auto"/>
              </w:rPr>
              <w:t>Flood</w:t>
            </w:r>
          </w:p>
        </w:tc>
        <w:tc>
          <w:tcPr>
            <w:tcW w:w="1340" w:type="dxa"/>
            <w:vAlign w:val="bottom"/>
            <w:tcBorders>
              <w:bottom w:val="single" w:sz="8" w:color="auto"/>
              <w:right w:val="single" w:sz="8" w:color="auto"/>
            </w:tcBorders>
          </w:tcPr>
          <w:p>
            <w:pPr>
              <w:jc w:val="right"/>
              <w:spacing w:after="0" w:line="115" w:lineRule="exact"/>
              <w:rPr>
                <w:sz w:val="20"/>
                <w:szCs w:val="20"/>
                <w:color w:val="auto"/>
              </w:rPr>
            </w:pPr>
            <w:r>
              <w:rPr>
                <w:rFonts w:ascii="Arial" w:cs="Arial" w:eastAsia="Arial" w:hAnsi="Arial"/>
                <w:sz w:val="11"/>
                <w:szCs w:val="11"/>
                <w:color w:val="auto"/>
              </w:rPr>
              <w:t>Not Covered</w:t>
            </w:r>
          </w:p>
        </w:tc>
        <w:tc>
          <w:tcPr>
            <w:tcW w:w="1000" w:type="dxa"/>
            <w:vAlign w:val="bottom"/>
            <w:tcBorders>
              <w:right w:val="single" w:sz="8" w:color="auto"/>
            </w:tcBorders>
          </w:tcPr>
          <w:p>
            <w:pPr>
              <w:spacing w:after="0"/>
              <w:rPr>
                <w:sz w:val="10"/>
                <w:szCs w:val="10"/>
                <w:color w:val="auto"/>
              </w:rPr>
            </w:pPr>
          </w:p>
        </w:tc>
      </w:tr>
      <w:tr>
        <w:trPr>
          <w:trHeight w:val="115"/>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15" w:lineRule="exact"/>
              <w:rPr>
                <w:sz w:val="20"/>
                <w:szCs w:val="20"/>
                <w:color w:val="auto"/>
              </w:rPr>
            </w:pPr>
            <w:r>
              <w:rPr>
                <w:rFonts w:ascii="Arial" w:cs="Arial" w:eastAsia="Arial" w:hAnsi="Arial"/>
                <w:sz w:val="11"/>
                <w:szCs w:val="11"/>
                <w:color w:val="auto"/>
              </w:rPr>
              <w:t>Windstorm</w:t>
            </w:r>
          </w:p>
        </w:tc>
        <w:tc>
          <w:tcPr>
            <w:tcW w:w="1340" w:type="dxa"/>
            <w:vAlign w:val="bottom"/>
            <w:tcBorders>
              <w:bottom w:val="single" w:sz="8" w:color="auto"/>
              <w:right w:val="single" w:sz="8" w:color="auto"/>
            </w:tcBorders>
          </w:tcPr>
          <w:p>
            <w:pPr>
              <w:jc w:val="right"/>
              <w:spacing w:after="0" w:line="115" w:lineRule="exact"/>
              <w:rPr>
                <w:sz w:val="20"/>
                <w:szCs w:val="20"/>
                <w:color w:val="auto"/>
              </w:rPr>
            </w:pPr>
            <w:r>
              <w:rPr>
                <w:rFonts w:ascii="Arial" w:cs="Arial" w:eastAsia="Arial" w:hAnsi="Arial"/>
                <w:sz w:val="11"/>
                <w:szCs w:val="11"/>
                <w:color w:val="auto"/>
              </w:rPr>
              <w:t>$1,625,707</w:t>
            </w:r>
          </w:p>
        </w:tc>
        <w:tc>
          <w:tcPr>
            <w:tcW w:w="1000" w:type="dxa"/>
            <w:vAlign w:val="bottom"/>
            <w:tcBorders>
              <w:right w:val="single" w:sz="8" w:color="auto"/>
            </w:tcBorders>
          </w:tcPr>
          <w:p>
            <w:pPr>
              <w:spacing w:after="0"/>
              <w:rPr>
                <w:sz w:val="10"/>
                <w:szCs w:val="10"/>
                <w:color w:val="auto"/>
              </w:rPr>
            </w:pPr>
          </w:p>
        </w:tc>
      </w:tr>
      <w:tr>
        <w:trPr>
          <w:trHeight w:val="115"/>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ind w:left="80"/>
              <w:spacing w:after="0" w:line="115" w:lineRule="exact"/>
              <w:rPr>
                <w:sz w:val="20"/>
                <w:szCs w:val="20"/>
                <w:color w:val="auto"/>
              </w:rPr>
            </w:pPr>
            <w:r>
              <w:rPr>
                <w:rFonts w:ascii="Arial" w:cs="Arial" w:eastAsia="Arial" w:hAnsi="Arial"/>
                <w:sz w:val="11"/>
                <w:szCs w:val="11"/>
                <w:i w:val="1"/>
                <w:iCs w:val="1"/>
                <w:color w:val="auto"/>
              </w:rPr>
              <w:t>All Other Perils Deductible</w:t>
            </w:r>
          </w:p>
        </w:tc>
        <w:tc>
          <w:tcPr>
            <w:tcW w:w="1340" w:type="dxa"/>
            <w:vAlign w:val="bottom"/>
            <w:tcBorders>
              <w:bottom w:val="single" w:sz="8" w:color="auto"/>
              <w:right w:val="single" w:sz="8" w:color="auto"/>
            </w:tcBorders>
          </w:tcPr>
          <w:p>
            <w:pPr>
              <w:jc w:val="right"/>
              <w:spacing w:after="0" w:line="115" w:lineRule="exact"/>
              <w:rPr>
                <w:sz w:val="20"/>
                <w:szCs w:val="20"/>
                <w:color w:val="auto"/>
              </w:rPr>
            </w:pPr>
            <w:r>
              <w:rPr>
                <w:rFonts w:ascii="Arial" w:cs="Arial" w:eastAsia="Arial" w:hAnsi="Arial"/>
                <w:sz w:val="11"/>
                <w:szCs w:val="11"/>
                <w:i w:val="1"/>
                <w:iCs w:val="1"/>
                <w:color w:val="auto"/>
              </w:rPr>
              <w:t>$25,000</w:t>
            </w:r>
          </w:p>
        </w:tc>
        <w:tc>
          <w:tcPr>
            <w:tcW w:w="1000" w:type="dxa"/>
            <w:vAlign w:val="bottom"/>
            <w:tcBorders>
              <w:bottom w:val="single" w:sz="8" w:color="auto"/>
              <w:right w:val="single" w:sz="8" w:color="auto"/>
            </w:tcBorders>
          </w:tcPr>
          <w:p>
            <w:pPr>
              <w:spacing w:after="0"/>
              <w:rPr>
                <w:sz w:val="10"/>
                <w:szCs w:val="10"/>
                <w:color w:val="auto"/>
              </w:rPr>
            </w:pPr>
          </w:p>
        </w:tc>
      </w:tr>
      <w:tr>
        <w:trPr>
          <w:trHeight w:val="115"/>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bottom w:val="single" w:sz="8" w:color="auto"/>
            </w:tcBorders>
          </w:tcPr>
          <w:p>
            <w:pPr>
              <w:jc w:val="right"/>
              <w:ind w:right="726"/>
              <w:spacing w:after="0" w:line="115" w:lineRule="exact"/>
              <w:rPr>
                <w:sz w:val="20"/>
                <w:szCs w:val="20"/>
                <w:color w:val="auto"/>
              </w:rPr>
            </w:pPr>
            <w:r>
              <w:rPr>
                <w:rFonts w:ascii="Arial" w:cs="Arial" w:eastAsia="Arial" w:hAnsi="Arial"/>
                <w:sz w:val="11"/>
                <w:szCs w:val="11"/>
                <w:b w:val="1"/>
                <w:bCs w:val="1"/>
                <w:color w:val="auto"/>
                <w:w w:val="87"/>
              </w:rPr>
              <w:t>Total US Billed</w:t>
            </w:r>
          </w:p>
        </w:tc>
        <w:tc>
          <w:tcPr>
            <w:tcW w:w="17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940" w:type="dxa"/>
            <w:vAlign w:val="bottom"/>
            <w:tcBorders>
              <w:bottom w:val="single" w:sz="8" w:color="auto"/>
            </w:tcBorders>
          </w:tcPr>
          <w:p>
            <w:pPr>
              <w:spacing w:after="0"/>
              <w:rPr>
                <w:sz w:val="10"/>
                <w:szCs w:val="10"/>
                <w:color w:val="auto"/>
              </w:rPr>
            </w:pPr>
          </w:p>
        </w:tc>
        <w:tc>
          <w:tcPr>
            <w:tcW w:w="134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jc w:val="right"/>
              <w:ind w:right="588"/>
              <w:spacing w:after="0" w:line="115" w:lineRule="exact"/>
              <w:rPr>
                <w:sz w:val="20"/>
                <w:szCs w:val="20"/>
                <w:color w:val="auto"/>
              </w:rPr>
            </w:pPr>
            <w:r>
              <w:rPr>
                <w:rFonts w:ascii="Arial" w:cs="Arial" w:eastAsia="Arial" w:hAnsi="Arial"/>
                <w:sz w:val="11"/>
                <w:szCs w:val="11"/>
                <w:b w:val="1"/>
                <w:bCs w:val="1"/>
                <w:color w:val="auto"/>
              </w:rPr>
              <w:t>$***</w:t>
            </w:r>
          </w:p>
        </w:tc>
      </w:tr>
      <w:tr>
        <w:trPr>
          <w:trHeight w:val="115"/>
        </w:trPr>
        <w:tc>
          <w:tcPr>
            <w:tcW w:w="1820" w:type="dxa"/>
            <w:vAlign w:val="bottom"/>
            <w:tcBorders>
              <w:left w:val="single" w:sz="8" w:color="auto"/>
              <w:bottom w:val="single" w:sz="8" w:color="auto"/>
              <w:right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gridSpan w:val="2"/>
          </w:tcPr>
          <w:p>
            <w:pPr>
              <w:spacing w:after="0"/>
              <w:rPr>
                <w:sz w:val="10"/>
                <w:szCs w:val="10"/>
                <w:color w:val="auto"/>
              </w:rPr>
            </w:pPr>
          </w:p>
        </w:tc>
        <w:tc>
          <w:tcPr>
            <w:tcW w:w="39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r>
      <w:tr>
        <w:trPr>
          <w:trHeight w:val="496"/>
        </w:trPr>
        <w:tc>
          <w:tcPr>
            <w:tcW w:w="9140" w:type="dxa"/>
            <w:vAlign w:val="bottom"/>
            <w:gridSpan w:val="5"/>
          </w:tcPr>
          <w:p>
            <w:pPr>
              <w:spacing w:after="0"/>
              <w:rPr>
                <w:sz w:val="20"/>
                <w:szCs w:val="20"/>
                <w:color w:val="auto"/>
              </w:rPr>
            </w:pPr>
            <w:r>
              <w:rPr>
                <w:rFonts w:ascii="Arial" w:cs="Arial" w:eastAsia="Arial" w:hAnsi="Arial"/>
                <w:sz w:val="10"/>
                <w:szCs w:val="10"/>
                <w:color w:val="auto"/>
              </w:rPr>
              <w:t>Note 1: This Document is intended as a guide only, please consult your policy for a complete listings of all applicable terms, conditions, and limits.</w:t>
            </w:r>
          </w:p>
        </w:tc>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30"/>
        </w:trPr>
        <w:tc>
          <w:tcPr>
            <w:tcW w:w="1820" w:type="dxa"/>
            <w:vAlign w:val="bottom"/>
          </w:tcPr>
          <w:p>
            <w:pPr>
              <w:spacing w:after="0"/>
              <w:rPr>
                <w:sz w:val="20"/>
                <w:szCs w:val="20"/>
                <w:color w:val="auto"/>
              </w:rPr>
            </w:pPr>
            <w:r>
              <w:rPr>
                <w:rFonts w:ascii="Arial" w:cs="Arial" w:eastAsia="Arial" w:hAnsi="Arial"/>
                <w:sz w:val="10"/>
                <w:szCs w:val="10"/>
                <w:color w:val="auto"/>
              </w:rPr>
              <w:t>Note 2: All premiums are in US Dollars.</w:t>
            </w:r>
          </w:p>
        </w:tc>
        <w:tc>
          <w:tcPr>
            <w:tcW w:w="14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0" w:type="dxa"/>
            <w:vAlign w:val="bottom"/>
          </w:tcPr>
          <w:p>
            <w:pPr>
              <w:ind w:left="760"/>
              <w:spacing w:after="0"/>
              <w:rPr>
                <w:sz w:val="20"/>
                <w:szCs w:val="20"/>
                <w:color w:val="auto"/>
              </w:rPr>
            </w:pPr>
            <w:r>
              <w:rPr>
                <w:rFonts w:ascii="Arial" w:cs="Arial" w:eastAsia="Arial" w:hAnsi="Arial"/>
                <w:sz w:val="10"/>
                <w:szCs w:val="10"/>
                <w:color w:val="auto"/>
                <w:w w:val="85"/>
              </w:rPr>
              <w:t>Page</w:t>
            </w:r>
          </w:p>
        </w:tc>
      </w:tr>
      <w:tr>
        <w:trPr>
          <w:trHeight w:val="108"/>
        </w:trPr>
        <w:tc>
          <w:tcPr>
            <w:tcW w:w="18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0" w:type="dxa"/>
            <w:vAlign w:val="bottom"/>
          </w:tcPr>
          <w:p>
            <w:pPr>
              <w:ind w:left="760"/>
              <w:spacing w:after="0" w:line="108" w:lineRule="exact"/>
              <w:rPr>
                <w:sz w:val="20"/>
                <w:szCs w:val="20"/>
                <w:color w:val="auto"/>
              </w:rPr>
            </w:pPr>
            <w:r>
              <w:rPr>
                <w:rFonts w:ascii="Arial" w:cs="Arial" w:eastAsia="Arial" w:hAnsi="Arial"/>
                <w:sz w:val="10"/>
                <w:szCs w:val="10"/>
                <w:color w:val="auto"/>
              </w:rPr>
              <w:t>2 of</w:t>
            </w:r>
          </w:p>
        </w:tc>
      </w:tr>
      <w:tr>
        <w:trPr>
          <w:trHeight w:val="108"/>
        </w:trPr>
        <w:tc>
          <w:tcPr>
            <w:tcW w:w="18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0" w:type="dxa"/>
            <w:vAlign w:val="bottom"/>
          </w:tcPr>
          <w:p>
            <w:pPr>
              <w:ind w:left="760"/>
              <w:spacing w:after="0" w:line="108" w:lineRule="exact"/>
              <w:rPr>
                <w:sz w:val="20"/>
                <w:szCs w:val="20"/>
                <w:color w:val="auto"/>
              </w:rPr>
            </w:pPr>
            <w:r>
              <w:rPr>
                <w:rFonts w:ascii="Arial" w:cs="Arial" w:eastAsia="Arial" w:hAnsi="Arial"/>
                <w:sz w:val="10"/>
                <w:szCs w:val="10"/>
                <w:color w:val="auto"/>
              </w:rPr>
              <w:t>8</w:t>
            </w:r>
          </w:p>
        </w:tc>
      </w:tr>
    </w:tbl>
    <w:p>
      <w:pPr>
        <w:ind w:left="388" w:hanging="388"/>
        <w:spacing w:after="0"/>
        <w:tabs>
          <w:tab w:leader="none" w:pos="388" w:val="left"/>
        </w:tabs>
        <w:numPr>
          <w:ilvl w:val="0"/>
          <w:numId w:val="190"/>
        </w:numPr>
        <w:rPr>
          <w:rFonts w:ascii="Arial" w:cs="Arial" w:eastAsia="Arial" w:hAnsi="Arial"/>
          <w:sz w:val="10"/>
          <w:szCs w:val="10"/>
          <w:b w:val="1"/>
          <w:bCs w:val="1"/>
          <w:color w:val="auto"/>
        </w:rPr>
      </w:pPr>
      <w:r>
        <w:rPr>
          <w:rFonts w:ascii="Arial" w:cs="Arial" w:eastAsia="Arial" w:hAnsi="Arial"/>
          <w:sz w:val="10"/>
          <w:szCs w:val="10"/>
          <w:b w:val="1"/>
          <w:bCs w:val="1"/>
          <w:color w:val="auto"/>
        </w:rPr>
        <w:t>Represents text omitted pursuant to a request for confidential treatment. The omitted material has been filed separately with the Securities and Exchange Commission</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267335</wp:posOffset>
            </wp:positionV>
            <wp:extent cx="7329170" cy="368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127" w:right="199" w:bottom="1440" w:gutter="0" w:footer="0" w:header="0"/>
        </w:sectPr>
      </w:pPr>
    </w:p>
    <w:bookmarkStart w:id="170" w:name="page171"/>
    <w:bookmarkEnd w:id="170"/>
    <w:tbl>
      <w:tblPr>
        <w:tblLayout w:type="fixed"/>
        <w:tblInd w:w="18" w:type="dxa"/>
        <w:tblCellMar>
          <w:top w:w="0" w:type="dxa"/>
          <w:left w:w="0" w:type="dxa"/>
          <w:bottom w:w="0" w:type="dxa"/>
          <w:right w:w="0" w:type="dxa"/>
        </w:tblCellMar>
      </w:tblPr>
      <w:tr>
        <w:trPr>
          <w:trHeight w:val="157"/>
        </w:trPr>
        <w:tc>
          <w:tcPr>
            <w:tcW w:w="1820" w:type="dxa"/>
            <w:vAlign w:val="bottom"/>
          </w:tcPr>
          <w:p>
            <w:pPr>
              <w:spacing w:after="0"/>
              <w:rPr>
                <w:sz w:val="20"/>
                <w:szCs w:val="20"/>
                <w:color w:val="auto"/>
              </w:rPr>
            </w:pPr>
            <w:r>
              <w:rPr>
                <w:rFonts w:ascii="Arial" w:cs="Arial" w:eastAsia="Arial" w:hAnsi="Arial"/>
                <w:sz w:val="12"/>
                <w:szCs w:val="12"/>
                <w:b w:val="1"/>
                <w:bCs w:val="1"/>
                <w:color w:val="auto"/>
              </w:rPr>
              <w:t>Schedule 5.10 Insurance</w:t>
            </w:r>
          </w:p>
        </w:tc>
        <w:tc>
          <w:tcPr>
            <w:tcW w:w="14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44"/>
        </w:trPr>
        <w:tc>
          <w:tcPr>
            <w:tcW w:w="18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33"/>
        </w:trPr>
        <w:tc>
          <w:tcPr>
            <w:tcW w:w="1820" w:type="dxa"/>
            <w:vAlign w:val="bottom"/>
            <w:tcBorders>
              <w:left w:val="single" w:sz="8" w:color="auto"/>
              <w:bottom w:val="single" w:sz="8" w:color="auto"/>
              <w:right w:val="single" w:sz="8" w:color="BEBEBE"/>
            </w:tcBorders>
            <w:shd w:val="clear" w:color="auto" w:fill="BEBEBE"/>
          </w:tcPr>
          <w:p>
            <w:pPr>
              <w:ind w:left="80"/>
              <w:spacing w:after="0" w:line="133" w:lineRule="exact"/>
              <w:rPr>
                <w:sz w:val="20"/>
                <w:szCs w:val="20"/>
                <w:color w:val="auto"/>
              </w:rPr>
            </w:pPr>
            <w:r>
              <w:rPr>
                <w:rFonts w:ascii="Arial" w:cs="Arial" w:eastAsia="Arial" w:hAnsi="Arial"/>
                <w:sz w:val="12"/>
                <w:szCs w:val="12"/>
                <w:b w:val="1"/>
                <w:bCs w:val="1"/>
                <w:color w:val="auto"/>
              </w:rPr>
              <w:t>Coverage/Limits as of:</w:t>
            </w:r>
          </w:p>
        </w:tc>
        <w:tc>
          <w:tcPr>
            <w:tcW w:w="1480" w:type="dxa"/>
            <w:vAlign w:val="bottom"/>
            <w:tcBorders>
              <w:bottom w:val="single" w:sz="8" w:color="auto"/>
              <w:right w:val="single" w:sz="8" w:color="auto"/>
            </w:tcBorders>
            <w:shd w:val="clear" w:color="auto" w:fill="BEBEBE"/>
          </w:tcPr>
          <w:p>
            <w:pPr>
              <w:spacing w:after="0"/>
              <w:rPr>
                <w:sz w:val="11"/>
                <w:szCs w:val="11"/>
                <w:color w:val="auto"/>
              </w:rPr>
            </w:pPr>
          </w:p>
        </w:tc>
        <w:tc>
          <w:tcPr>
            <w:tcW w:w="1780" w:type="dxa"/>
            <w:vAlign w:val="bottom"/>
            <w:tcBorders>
              <w:bottom w:val="single" w:sz="8" w:color="auto"/>
              <w:right w:val="single" w:sz="8" w:color="auto"/>
            </w:tcBorders>
            <w:shd w:val="clear" w:color="auto" w:fill="BEBEBE"/>
          </w:tcPr>
          <w:p>
            <w:pPr>
              <w:ind w:left="40"/>
              <w:spacing w:after="0" w:line="133" w:lineRule="exact"/>
              <w:rPr>
                <w:sz w:val="20"/>
                <w:szCs w:val="20"/>
                <w:color w:val="auto"/>
              </w:rPr>
            </w:pPr>
            <w:r>
              <w:rPr>
                <w:rFonts w:ascii="Arial" w:cs="Arial" w:eastAsia="Arial" w:hAnsi="Arial"/>
                <w:sz w:val="12"/>
                <w:szCs w:val="12"/>
                <w:b w:val="1"/>
                <w:bCs w:val="1"/>
                <w:color w:val="auto"/>
              </w:rPr>
              <w:t>July 1, 2017</w:t>
            </w:r>
          </w:p>
        </w:tc>
        <w:tc>
          <w:tcPr>
            <w:tcW w:w="1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241"/>
        </w:trPr>
        <w:tc>
          <w:tcPr>
            <w:tcW w:w="18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24"/>
        </w:trPr>
        <w:tc>
          <w:tcPr>
            <w:tcW w:w="1820" w:type="dxa"/>
            <w:vAlign w:val="bottom"/>
            <w:tcBorders>
              <w:left w:val="single" w:sz="8" w:color="auto"/>
              <w:bottom w:val="single" w:sz="8" w:color="auto"/>
              <w:right w:val="single" w:sz="8" w:color="C0C0C0"/>
            </w:tcBorders>
            <w:shd w:val="clear" w:color="auto" w:fill="C0C0C0"/>
          </w:tcPr>
          <w:p>
            <w:pPr>
              <w:ind w:left="20"/>
              <w:spacing w:after="0" w:line="124" w:lineRule="exact"/>
              <w:rPr>
                <w:sz w:val="20"/>
                <w:szCs w:val="20"/>
                <w:color w:val="auto"/>
              </w:rPr>
            </w:pPr>
            <w:r>
              <w:rPr>
                <w:rFonts w:ascii="Arial" w:cs="Arial" w:eastAsia="Arial" w:hAnsi="Arial"/>
                <w:sz w:val="11"/>
                <w:szCs w:val="11"/>
                <w:b w:val="1"/>
                <w:bCs w:val="1"/>
                <w:color w:val="auto"/>
              </w:rPr>
              <w:t>Cargo</w:t>
            </w:r>
          </w:p>
        </w:tc>
        <w:tc>
          <w:tcPr>
            <w:tcW w:w="1480" w:type="dxa"/>
            <w:vAlign w:val="bottom"/>
            <w:tcBorders>
              <w:bottom w:val="single" w:sz="8" w:color="auto"/>
              <w:right w:val="single" w:sz="8" w:color="C0C0C0"/>
            </w:tcBorders>
            <w:shd w:val="clear" w:color="auto" w:fill="C0C0C0"/>
          </w:tcPr>
          <w:p>
            <w:pPr>
              <w:spacing w:after="0"/>
              <w:rPr>
                <w:sz w:val="10"/>
                <w:szCs w:val="10"/>
                <w:color w:val="auto"/>
              </w:rPr>
            </w:pPr>
          </w:p>
        </w:tc>
        <w:tc>
          <w:tcPr>
            <w:tcW w:w="1780" w:type="dxa"/>
            <w:vAlign w:val="bottom"/>
            <w:tcBorders>
              <w:bottom w:val="single" w:sz="8" w:color="auto"/>
              <w:right w:val="single" w:sz="8" w:color="C0C0C0"/>
            </w:tcBorders>
            <w:shd w:val="clear" w:color="auto" w:fill="C0C0C0"/>
          </w:tcPr>
          <w:p>
            <w:pPr>
              <w:spacing w:after="0"/>
              <w:rPr>
                <w:sz w:val="10"/>
                <w:szCs w:val="10"/>
                <w:color w:val="auto"/>
              </w:rPr>
            </w:pPr>
          </w:p>
        </w:tc>
        <w:tc>
          <w:tcPr>
            <w:tcW w:w="120" w:type="dxa"/>
            <w:vAlign w:val="bottom"/>
            <w:tcBorders>
              <w:bottom w:val="single" w:sz="8" w:color="auto"/>
              <w:right w:val="single" w:sz="8" w:color="C0C0C0"/>
            </w:tcBorders>
            <w:shd w:val="clear" w:color="auto" w:fill="C0C0C0"/>
          </w:tcPr>
          <w:p>
            <w:pPr>
              <w:spacing w:after="0"/>
              <w:rPr>
                <w:sz w:val="10"/>
                <w:szCs w:val="10"/>
                <w:color w:val="auto"/>
              </w:rPr>
            </w:pPr>
          </w:p>
        </w:tc>
        <w:tc>
          <w:tcPr>
            <w:tcW w:w="3940" w:type="dxa"/>
            <w:vAlign w:val="bottom"/>
            <w:tcBorders>
              <w:bottom w:val="single" w:sz="8" w:color="auto"/>
              <w:right w:val="single" w:sz="8" w:color="C0C0C0"/>
            </w:tcBorders>
            <w:shd w:val="clear" w:color="auto" w:fill="C0C0C0"/>
          </w:tcPr>
          <w:p>
            <w:pPr>
              <w:spacing w:after="0"/>
              <w:rPr>
                <w:sz w:val="10"/>
                <w:szCs w:val="10"/>
                <w:color w:val="auto"/>
              </w:rPr>
            </w:pPr>
          </w:p>
        </w:tc>
        <w:tc>
          <w:tcPr>
            <w:tcW w:w="1340" w:type="dxa"/>
            <w:vAlign w:val="bottom"/>
            <w:tcBorders>
              <w:bottom w:val="single" w:sz="8" w:color="auto"/>
              <w:right w:val="single" w:sz="8" w:color="C0C0C0"/>
            </w:tcBorders>
            <w:shd w:val="clear" w:color="auto" w:fill="C0C0C0"/>
          </w:tcPr>
          <w:p>
            <w:pPr>
              <w:spacing w:after="0"/>
              <w:rPr>
                <w:sz w:val="10"/>
                <w:szCs w:val="10"/>
                <w:color w:val="auto"/>
              </w:rPr>
            </w:pPr>
          </w:p>
        </w:tc>
        <w:tc>
          <w:tcPr>
            <w:tcW w:w="1000" w:type="dxa"/>
            <w:vAlign w:val="bottom"/>
            <w:tcBorders>
              <w:bottom w:val="single" w:sz="8" w:color="auto"/>
              <w:right w:val="single" w:sz="8" w:color="auto"/>
            </w:tcBorders>
            <w:shd w:val="clear" w:color="auto" w:fill="C0C0C0"/>
          </w:tcPr>
          <w:p>
            <w:pPr>
              <w:spacing w:after="0"/>
              <w:rPr>
                <w:sz w:val="10"/>
                <w:szCs w:val="10"/>
                <w:color w:val="auto"/>
              </w:rPr>
            </w:pPr>
          </w:p>
        </w:tc>
      </w:tr>
      <w:tr>
        <w:trPr>
          <w:trHeight w:val="124"/>
        </w:trPr>
        <w:tc>
          <w:tcPr>
            <w:tcW w:w="182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w w:val="91"/>
              </w:rPr>
              <w:t>Indemnity Insurance Company of North</w:t>
            </w:r>
          </w:p>
        </w:tc>
        <w:tc>
          <w:tcPr>
            <w:tcW w:w="1480" w:type="dxa"/>
            <w:vAlign w:val="bottom"/>
            <w:tcBorders>
              <w:right w:val="single" w:sz="8" w:color="auto"/>
            </w:tcBorders>
          </w:tcPr>
          <w:p>
            <w:pPr>
              <w:jc w:val="right"/>
              <w:ind w:right="606"/>
              <w:spacing w:after="0" w:line="124" w:lineRule="exact"/>
              <w:rPr>
                <w:sz w:val="20"/>
                <w:szCs w:val="20"/>
                <w:color w:val="auto"/>
              </w:rPr>
            </w:pPr>
            <w:r>
              <w:rPr>
                <w:rFonts w:ascii="Arial" w:cs="Arial" w:eastAsia="Arial" w:hAnsi="Arial"/>
                <w:sz w:val="11"/>
                <w:szCs w:val="11"/>
                <w:color w:val="auto"/>
              </w:rPr>
              <w:t>***</w:t>
            </w:r>
          </w:p>
        </w:tc>
        <w:tc>
          <w:tcPr>
            <w:tcW w:w="1780" w:type="dxa"/>
            <w:vAlign w:val="bottom"/>
          </w:tcPr>
          <w:p>
            <w:pPr>
              <w:jc w:val="center"/>
              <w:ind w:right="445"/>
              <w:spacing w:after="0" w:line="124" w:lineRule="exact"/>
              <w:rPr>
                <w:sz w:val="20"/>
                <w:szCs w:val="20"/>
                <w:color w:val="auto"/>
              </w:rPr>
            </w:pPr>
            <w:r>
              <w:rPr>
                <w:rFonts w:ascii="Arial" w:cs="Arial" w:eastAsia="Arial" w:hAnsi="Arial"/>
                <w:sz w:val="11"/>
                <w:szCs w:val="11"/>
                <w:color w:val="auto"/>
                <w:w w:val="89"/>
              </w:rPr>
              <w:t>6/30/2017 - 6/30/2018</w:t>
            </w: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Any One Conveyance or Connecting Conveyance</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$5,000,000</w:t>
            </w:r>
          </w:p>
        </w:tc>
        <w:tc>
          <w:tcPr>
            <w:tcW w:w="1000" w:type="dxa"/>
            <w:vAlign w:val="bottom"/>
            <w:tcBorders>
              <w:right w:val="single" w:sz="8" w:color="auto"/>
            </w:tcBorders>
          </w:tcPr>
          <w:p>
            <w:pPr>
              <w:jc w:val="right"/>
              <w:ind w:right="487"/>
              <w:spacing w:after="0" w:line="124"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1"/>
                <w:szCs w:val="11"/>
                <w:color w:val="auto"/>
              </w:rPr>
              <w:t>***</w:t>
            </w:r>
          </w:p>
        </w:tc>
      </w:tr>
      <w:tr>
        <w:trPr>
          <w:trHeight w:val="124"/>
        </w:trPr>
        <w:tc>
          <w:tcPr>
            <w:tcW w:w="1820" w:type="dxa"/>
            <w:vAlign w:val="bottom"/>
            <w:tcBorders>
              <w:left w:val="single" w:sz="8" w:color="auto"/>
              <w:right w:val="single" w:sz="8" w:color="auto"/>
            </w:tcBorders>
          </w:tcPr>
          <w:p>
            <w:pPr>
              <w:ind w:left="20"/>
              <w:spacing w:after="0" w:line="116" w:lineRule="exact"/>
              <w:rPr>
                <w:sz w:val="20"/>
                <w:szCs w:val="20"/>
                <w:color w:val="auto"/>
              </w:rPr>
            </w:pPr>
            <w:r>
              <w:rPr>
                <w:rFonts w:ascii="Arial" w:cs="Arial" w:eastAsia="Arial" w:hAnsi="Arial"/>
                <w:sz w:val="11"/>
                <w:szCs w:val="11"/>
                <w:color w:val="auto"/>
              </w:rPr>
              <w:t>America</w:t>
            </w: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War Limit</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$5,000,000</w:t>
            </w:r>
          </w:p>
        </w:tc>
        <w:tc>
          <w:tcPr>
            <w:tcW w:w="1000" w:type="dxa"/>
            <w:vAlign w:val="bottom"/>
            <w:tcBorders>
              <w:right w:val="single" w:sz="8" w:color="auto"/>
            </w:tcBorders>
          </w:tcPr>
          <w:p>
            <w:pPr>
              <w:spacing w:after="0"/>
              <w:rPr>
                <w:sz w:val="10"/>
                <w:szCs w:val="10"/>
                <w:color w:val="auto"/>
              </w:rPr>
            </w:pPr>
          </w:p>
        </w:tc>
      </w:tr>
      <w:tr>
        <w:trPr>
          <w:trHeight w:val="124"/>
        </w:trPr>
        <w:tc>
          <w:tcPr>
            <w:tcW w:w="1820" w:type="dxa"/>
            <w:vAlign w:val="bottom"/>
            <w:tcBorders>
              <w:left w:val="single" w:sz="8" w:color="auto"/>
              <w:bottom w:val="single" w:sz="8" w:color="auto"/>
              <w:right w:val="single" w:sz="8" w:color="auto"/>
            </w:tcBorders>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ind w:left="180"/>
              <w:spacing w:after="0" w:line="124" w:lineRule="exact"/>
              <w:rPr>
                <w:sz w:val="20"/>
                <w:szCs w:val="20"/>
                <w:color w:val="auto"/>
              </w:rPr>
            </w:pPr>
            <w:r>
              <w:rPr>
                <w:rFonts w:ascii="Arial" w:cs="Arial" w:eastAsia="Arial" w:hAnsi="Arial"/>
                <w:sz w:val="11"/>
                <w:szCs w:val="11"/>
                <w:i w:val="1"/>
                <w:iCs w:val="1"/>
                <w:color w:val="auto"/>
              </w:rPr>
              <w:t>Deductible</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i w:val="1"/>
                <w:iCs w:val="1"/>
                <w:color w:val="auto"/>
              </w:rPr>
              <w:t>$5,000</w:t>
            </w:r>
          </w:p>
        </w:tc>
        <w:tc>
          <w:tcPr>
            <w:tcW w:w="1000" w:type="dxa"/>
            <w:vAlign w:val="bottom"/>
            <w:tcBorders>
              <w:bottom w:val="single" w:sz="8" w:color="auto"/>
              <w:right w:val="single" w:sz="8" w:color="auto"/>
            </w:tcBorders>
          </w:tcPr>
          <w:p>
            <w:pPr>
              <w:spacing w:after="0"/>
              <w:rPr>
                <w:sz w:val="10"/>
                <w:szCs w:val="10"/>
                <w:color w:val="auto"/>
              </w:rPr>
            </w:pPr>
          </w:p>
        </w:tc>
      </w:tr>
      <w:tr>
        <w:trPr>
          <w:trHeight w:val="124"/>
        </w:trPr>
        <w:tc>
          <w:tcPr>
            <w:tcW w:w="1820" w:type="dxa"/>
            <w:vAlign w:val="bottom"/>
            <w:tcBorders>
              <w:left w:val="single" w:sz="8" w:color="auto"/>
              <w:bottom w:val="single" w:sz="8" w:color="auto"/>
              <w:right w:val="single" w:sz="8" w:color="C0C0C0"/>
            </w:tcBorders>
            <w:shd w:val="clear" w:color="auto" w:fill="C0C0C0"/>
          </w:tcPr>
          <w:p>
            <w:pPr>
              <w:ind w:left="260"/>
              <w:spacing w:after="0" w:line="124" w:lineRule="exact"/>
              <w:rPr>
                <w:sz w:val="20"/>
                <w:szCs w:val="20"/>
                <w:color w:val="auto"/>
              </w:rPr>
            </w:pPr>
            <w:r>
              <w:rPr>
                <w:rFonts w:ascii="Arial" w:cs="Arial" w:eastAsia="Arial" w:hAnsi="Arial"/>
                <w:sz w:val="11"/>
                <w:szCs w:val="11"/>
                <w:b w:val="1"/>
                <w:bCs w:val="1"/>
                <w:color w:val="auto"/>
              </w:rPr>
              <w:t>General Liability</w:t>
            </w:r>
          </w:p>
        </w:tc>
        <w:tc>
          <w:tcPr>
            <w:tcW w:w="1480" w:type="dxa"/>
            <w:vAlign w:val="bottom"/>
            <w:tcBorders>
              <w:bottom w:val="single" w:sz="8" w:color="auto"/>
              <w:right w:val="single" w:sz="8" w:color="C0C0C0"/>
            </w:tcBorders>
            <w:shd w:val="clear" w:color="auto" w:fill="C0C0C0"/>
          </w:tcPr>
          <w:p>
            <w:pPr>
              <w:spacing w:after="0"/>
              <w:rPr>
                <w:sz w:val="10"/>
                <w:szCs w:val="10"/>
                <w:color w:val="auto"/>
              </w:rPr>
            </w:pPr>
          </w:p>
        </w:tc>
        <w:tc>
          <w:tcPr>
            <w:tcW w:w="1780" w:type="dxa"/>
            <w:vAlign w:val="bottom"/>
            <w:tcBorders>
              <w:bottom w:val="single" w:sz="8" w:color="auto"/>
              <w:right w:val="single" w:sz="8" w:color="C0C0C0"/>
            </w:tcBorders>
            <w:shd w:val="clear" w:color="auto" w:fill="C0C0C0"/>
          </w:tcPr>
          <w:p>
            <w:pPr>
              <w:spacing w:after="0"/>
              <w:rPr>
                <w:sz w:val="10"/>
                <w:szCs w:val="10"/>
                <w:color w:val="auto"/>
              </w:rPr>
            </w:pPr>
          </w:p>
        </w:tc>
        <w:tc>
          <w:tcPr>
            <w:tcW w:w="120" w:type="dxa"/>
            <w:vAlign w:val="bottom"/>
            <w:tcBorders>
              <w:bottom w:val="single" w:sz="8" w:color="auto"/>
              <w:right w:val="single" w:sz="8" w:color="C0C0C0"/>
            </w:tcBorders>
            <w:shd w:val="clear" w:color="auto" w:fill="C0C0C0"/>
          </w:tcPr>
          <w:p>
            <w:pPr>
              <w:spacing w:after="0"/>
              <w:rPr>
                <w:sz w:val="10"/>
                <w:szCs w:val="10"/>
                <w:color w:val="auto"/>
              </w:rPr>
            </w:pPr>
          </w:p>
        </w:tc>
        <w:tc>
          <w:tcPr>
            <w:tcW w:w="3940" w:type="dxa"/>
            <w:vAlign w:val="bottom"/>
            <w:tcBorders>
              <w:bottom w:val="single" w:sz="8" w:color="auto"/>
              <w:right w:val="single" w:sz="8" w:color="C0C0C0"/>
            </w:tcBorders>
            <w:shd w:val="clear" w:color="auto" w:fill="C0C0C0"/>
          </w:tcPr>
          <w:p>
            <w:pPr>
              <w:spacing w:after="0"/>
              <w:rPr>
                <w:sz w:val="10"/>
                <w:szCs w:val="10"/>
                <w:color w:val="auto"/>
              </w:rPr>
            </w:pPr>
          </w:p>
        </w:tc>
        <w:tc>
          <w:tcPr>
            <w:tcW w:w="1340" w:type="dxa"/>
            <w:vAlign w:val="bottom"/>
            <w:tcBorders>
              <w:bottom w:val="single" w:sz="8" w:color="auto"/>
              <w:right w:val="single" w:sz="8" w:color="C0C0C0"/>
            </w:tcBorders>
            <w:shd w:val="clear" w:color="auto" w:fill="C0C0C0"/>
          </w:tcPr>
          <w:p>
            <w:pPr>
              <w:spacing w:after="0"/>
              <w:rPr>
                <w:sz w:val="10"/>
                <w:szCs w:val="10"/>
                <w:color w:val="auto"/>
              </w:rPr>
            </w:pPr>
          </w:p>
        </w:tc>
        <w:tc>
          <w:tcPr>
            <w:tcW w:w="1000" w:type="dxa"/>
            <w:vAlign w:val="bottom"/>
            <w:tcBorders>
              <w:bottom w:val="single" w:sz="8" w:color="auto"/>
              <w:right w:val="single" w:sz="8" w:color="auto"/>
            </w:tcBorders>
            <w:shd w:val="clear" w:color="auto" w:fill="C0C0C0"/>
          </w:tcPr>
          <w:p>
            <w:pPr>
              <w:spacing w:after="0"/>
              <w:rPr>
                <w:sz w:val="10"/>
                <w:szCs w:val="10"/>
                <w:color w:val="auto"/>
              </w:rPr>
            </w:pPr>
          </w:p>
        </w:tc>
      </w:tr>
      <w:tr>
        <w:trPr>
          <w:trHeight w:val="124"/>
        </w:trPr>
        <w:tc>
          <w:tcPr>
            <w:tcW w:w="182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Liberty Mutual Fire Insurance Co.</w:t>
            </w:r>
          </w:p>
        </w:tc>
        <w:tc>
          <w:tcPr>
            <w:tcW w:w="1480" w:type="dxa"/>
            <w:vAlign w:val="bottom"/>
            <w:tcBorders>
              <w:right w:val="single" w:sz="8" w:color="auto"/>
            </w:tcBorders>
          </w:tcPr>
          <w:p>
            <w:pPr>
              <w:jc w:val="right"/>
              <w:ind w:right="606"/>
              <w:spacing w:after="0" w:line="124" w:lineRule="exact"/>
              <w:rPr>
                <w:sz w:val="20"/>
                <w:szCs w:val="20"/>
                <w:color w:val="auto"/>
              </w:rPr>
            </w:pPr>
            <w:r>
              <w:rPr>
                <w:rFonts w:ascii="Arial" w:cs="Arial" w:eastAsia="Arial" w:hAnsi="Arial"/>
                <w:sz w:val="11"/>
                <w:szCs w:val="11"/>
                <w:color w:val="auto"/>
              </w:rPr>
              <w:t>***</w:t>
            </w:r>
          </w:p>
        </w:tc>
        <w:tc>
          <w:tcPr>
            <w:tcW w:w="1780" w:type="dxa"/>
            <w:vAlign w:val="bottom"/>
          </w:tcPr>
          <w:p>
            <w:pPr>
              <w:jc w:val="center"/>
              <w:ind w:right="445"/>
              <w:spacing w:after="0" w:line="124" w:lineRule="exact"/>
              <w:rPr>
                <w:sz w:val="20"/>
                <w:szCs w:val="20"/>
                <w:color w:val="auto"/>
              </w:rPr>
            </w:pPr>
            <w:r>
              <w:rPr>
                <w:rFonts w:ascii="Arial" w:cs="Arial" w:eastAsia="Arial" w:hAnsi="Arial"/>
                <w:sz w:val="11"/>
                <w:szCs w:val="11"/>
                <w:color w:val="auto"/>
                <w:w w:val="90"/>
              </w:rPr>
              <w:t>07/01/2017 - 07/01/2018</w:t>
            </w: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General Aggregate</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$10,000,000</w:t>
            </w:r>
          </w:p>
        </w:tc>
        <w:tc>
          <w:tcPr>
            <w:tcW w:w="1000" w:type="dxa"/>
            <w:vAlign w:val="bottom"/>
            <w:tcBorders>
              <w:right w:val="single" w:sz="8" w:color="auto"/>
            </w:tcBorders>
          </w:tcPr>
          <w:p>
            <w:pPr>
              <w:jc w:val="right"/>
              <w:ind w:right="487"/>
              <w:spacing w:after="0" w:line="124"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1"/>
                <w:szCs w:val="11"/>
                <w:color w:val="auto"/>
              </w:rPr>
              <w:t>***</w:t>
            </w:r>
          </w:p>
        </w:tc>
      </w:tr>
      <w:tr>
        <w:trPr>
          <w:trHeight w:val="124"/>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Products-Completed Operations Aggregate</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$2,000,000</w:t>
            </w:r>
          </w:p>
        </w:tc>
        <w:tc>
          <w:tcPr>
            <w:tcW w:w="1000" w:type="dxa"/>
            <w:vAlign w:val="bottom"/>
            <w:tcBorders>
              <w:right w:val="single" w:sz="8" w:color="auto"/>
            </w:tcBorders>
          </w:tcPr>
          <w:p>
            <w:pPr>
              <w:spacing w:after="0"/>
              <w:rPr>
                <w:sz w:val="10"/>
                <w:szCs w:val="10"/>
                <w:color w:val="auto"/>
              </w:rPr>
            </w:pPr>
          </w:p>
        </w:tc>
      </w:tr>
      <w:tr>
        <w:trPr>
          <w:trHeight w:val="124"/>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Each Occurrence</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$1,000,000</w:t>
            </w:r>
          </w:p>
        </w:tc>
        <w:tc>
          <w:tcPr>
            <w:tcW w:w="1000" w:type="dxa"/>
            <w:vAlign w:val="bottom"/>
            <w:tcBorders>
              <w:right w:val="single" w:sz="8" w:color="auto"/>
            </w:tcBorders>
          </w:tcPr>
          <w:p>
            <w:pPr>
              <w:spacing w:after="0"/>
              <w:rPr>
                <w:sz w:val="10"/>
                <w:szCs w:val="10"/>
                <w:color w:val="auto"/>
              </w:rPr>
            </w:pPr>
          </w:p>
        </w:tc>
      </w:tr>
      <w:tr>
        <w:trPr>
          <w:trHeight w:val="124"/>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Personal &amp; Advertising Injury</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$1,000,000</w:t>
            </w:r>
          </w:p>
        </w:tc>
        <w:tc>
          <w:tcPr>
            <w:tcW w:w="1000" w:type="dxa"/>
            <w:vAlign w:val="bottom"/>
            <w:tcBorders>
              <w:right w:val="single" w:sz="8" w:color="auto"/>
            </w:tcBorders>
          </w:tcPr>
          <w:p>
            <w:pPr>
              <w:spacing w:after="0"/>
              <w:rPr>
                <w:sz w:val="10"/>
                <w:szCs w:val="10"/>
                <w:color w:val="auto"/>
              </w:rPr>
            </w:pPr>
          </w:p>
        </w:tc>
      </w:tr>
      <w:tr>
        <w:trPr>
          <w:trHeight w:val="124"/>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Damage to Premises Rented - any one prem</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$1,000,000</w:t>
            </w:r>
          </w:p>
        </w:tc>
        <w:tc>
          <w:tcPr>
            <w:tcW w:w="1000" w:type="dxa"/>
            <w:vAlign w:val="bottom"/>
            <w:tcBorders>
              <w:right w:val="single" w:sz="8" w:color="auto"/>
            </w:tcBorders>
          </w:tcPr>
          <w:p>
            <w:pPr>
              <w:spacing w:after="0"/>
              <w:rPr>
                <w:sz w:val="10"/>
                <w:szCs w:val="10"/>
                <w:color w:val="auto"/>
              </w:rPr>
            </w:pPr>
          </w:p>
        </w:tc>
      </w:tr>
      <w:tr>
        <w:trPr>
          <w:trHeight w:val="124"/>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Medical Expenses</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$10,000</w:t>
            </w:r>
          </w:p>
        </w:tc>
        <w:tc>
          <w:tcPr>
            <w:tcW w:w="1000" w:type="dxa"/>
            <w:vAlign w:val="bottom"/>
            <w:tcBorders>
              <w:right w:val="single" w:sz="8" w:color="auto"/>
            </w:tcBorders>
          </w:tcPr>
          <w:p>
            <w:pPr>
              <w:spacing w:after="0"/>
              <w:rPr>
                <w:sz w:val="10"/>
                <w:szCs w:val="10"/>
                <w:color w:val="auto"/>
              </w:rPr>
            </w:pPr>
          </w:p>
        </w:tc>
      </w:tr>
      <w:tr>
        <w:trPr>
          <w:trHeight w:val="124"/>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Employee Benefits Each Claim</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$1,000,000</w:t>
            </w:r>
          </w:p>
        </w:tc>
        <w:tc>
          <w:tcPr>
            <w:tcW w:w="1000" w:type="dxa"/>
            <w:vAlign w:val="bottom"/>
            <w:tcBorders>
              <w:right w:val="single" w:sz="8" w:color="auto"/>
            </w:tcBorders>
          </w:tcPr>
          <w:p>
            <w:pPr>
              <w:spacing w:after="0"/>
              <w:rPr>
                <w:sz w:val="10"/>
                <w:szCs w:val="10"/>
                <w:color w:val="auto"/>
              </w:rPr>
            </w:pPr>
          </w:p>
        </w:tc>
      </w:tr>
      <w:tr>
        <w:trPr>
          <w:trHeight w:val="124"/>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Employee Benefits Aggregate</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$2,000,000</w:t>
            </w:r>
          </w:p>
        </w:tc>
        <w:tc>
          <w:tcPr>
            <w:tcW w:w="1000" w:type="dxa"/>
            <w:vAlign w:val="bottom"/>
            <w:tcBorders>
              <w:right w:val="single" w:sz="8" w:color="auto"/>
            </w:tcBorders>
          </w:tcPr>
          <w:p>
            <w:pPr>
              <w:spacing w:after="0"/>
              <w:rPr>
                <w:sz w:val="10"/>
                <w:szCs w:val="10"/>
                <w:color w:val="auto"/>
              </w:rPr>
            </w:pPr>
          </w:p>
        </w:tc>
      </w:tr>
      <w:tr>
        <w:trPr>
          <w:trHeight w:val="124"/>
        </w:trPr>
        <w:tc>
          <w:tcPr>
            <w:tcW w:w="1820" w:type="dxa"/>
            <w:vAlign w:val="bottom"/>
            <w:tcBorders>
              <w:left w:val="single" w:sz="8" w:color="auto"/>
              <w:bottom w:val="single" w:sz="8" w:color="auto"/>
              <w:right w:val="single" w:sz="8" w:color="auto"/>
            </w:tcBorders>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Retroactive Date</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7/1/2014</w:t>
            </w:r>
          </w:p>
        </w:tc>
        <w:tc>
          <w:tcPr>
            <w:tcW w:w="1000" w:type="dxa"/>
            <w:vAlign w:val="bottom"/>
            <w:tcBorders>
              <w:bottom w:val="single" w:sz="8" w:color="auto"/>
              <w:right w:val="single" w:sz="8" w:color="auto"/>
            </w:tcBorders>
          </w:tcPr>
          <w:p>
            <w:pPr>
              <w:spacing w:after="0"/>
              <w:rPr>
                <w:sz w:val="10"/>
                <w:szCs w:val="10"/>
                <w:color w:val="auto"/>
              </w:rPr>
            </w:pPr>
          </w:p>
        </w:tc>
      </w:tr>
      <w:tr>
        <w:trPr>
          <w:trHeight w:val="124"/>
        </w:trPr>
        <w:tc>
          <w:tcPr>
            <w:tcW w:w="3300" w:type="dxa"/>
            <w:vAlign w:val="bottom"/>
            <w:tcBorders>
              <w:left w:val="single" w:sz="8" w:color="auto"/>
              <w:bottom w:val="single" w:sz="8" w:color="auto"/>
              <w:right w:val="single" w:sz="8" w:color="C0C0C0"/>
            </w:tcBorders>
            <w:gridSpan w:val="2"/>
            <w:shd w:val="clear" w:color="auto" w:fill="C0C0C0"/>
          </w:tcPr>
          <w:p>
            <w:pPr>
              <w:ind w:left="260"/>
              <w:spacing w:after="0" w:line="124" w:lineRule="exact"/>
              <w:rPr>
                <w:sz w:val="20"/>
                <w:szCs w:val="20"/>
                <w:color w:val="auto"/>
              </w:rPr>
            </w:pPr>
            <w:r>
              <w:rPr>
                <w:rFonts w:ascii="Arial" w:cs="Arial" w:eastAsia="Arial" w:hAnsi="Arial"/>
                <w:sz w:val="11"/>
                <w:szCs w:val="11"/>
                <w:b w:val="1"/>
                <w:bCs w:val="1"/>
                <w:color w:val="auto"/>
              </w:rPr>
              <w:t>Workers' Compensation and Employers' Liability</w:t>
            </w:r>
          </w:p>
        </w:tc>
        <w:tc>
          <w:tcPr>
            <w:tcW w:w="1780" w:type="dxa"/>
            <w:vAlign w:val="bottom"/>
            <w:tcBorders>
              <w:bottom w:val="single" w:sz="8" w:color="auto"/>
              <w:right w:val="single" w:sz="8" w:color="C0C0C0"/>
            </w:tcBorders>
            <w:shd w:val="clear" w:color="auto" w:fill="C0C0C0"/>
          </w:tcPr>
          <w:p>
            <w:pPr>
              <w:spacing w:after="0"/>
              <w:rPr>
                <w:sz w:val="10"/>
                <w:szCs w:val="10"/>
                <w:color w:val="auto"/>
              </w:rPr>
            </w:pPr>
          </w:p>
        </w:tc>
        <w:tc>
          <w:tcPr>
            <w:tcW w:w="120" w:type="dxa"/>
            <w:vAlign w:val="bottom"/>
            <w:tcBorders>
              <w:bottom w:val="single" w:sz="8" w:color="auto"/>
              <w:right w:val="single" w:sz="8" w:color="C0C0C0"/>
            </w:tcBorders>
            <w:shd w:val="clear" w:color="auto" w:fill="C0C0C0"/>
          </w:tcPr>
          <w:p>
            <w:pPr>
              <w:spacing w:after="0"/>
              <w:rPr>
                <w:sz w:val="10"/>
                <w:szCs w:val="10"/>
                <w:color w:val="auto"/>
              </w:rPr>
            </w:pPr>
          </w:p>
        </w:tc>
        <w:tc>
          <w:tcPr>
            <w:tcW w:w="3940" w:type="dxa"/>
            <w:vAlign w:val="bottom"/>
            <w:tcBorders>
              <w:bottom w:val="single" w:sz="8" w:color="auto"/>
              <w:right w:val="single" w:sz="8" w:color="C0C0C0"/>
            </w:tcBorders>
            <w:shd w:val="clear" w:color="auto" w:fill="C0C0C0"/>
          </w:tcPr>
          <w:p>
            <w:pPr>
              <w:spacing w:after="0"/>
              <w:rPr>
                <w:sz w:val="10"/>
                <w:szCs w:val="10"/>
                <w:color w:val="auto"/>
              </w:rPr>
            </w:pPr>
          </w:p>
        </w:tc>
        <w:tc>
          <w:tcPr>
            <w:tcW w:w="1340" w:type="dxa"/>
            <w:vAlign w:val="bottom"/>
            <w:tcBorders>
              <w:bottom w:val="single" w:sz="8" w:color="auto"/>
              <w:right w:val="single" w:sz="8" w:color="C0C0C0"/>
            </w:tcBorders>
            <w:shd w:val="clear" w:color="auto" w:fill="C0C0C0"/>
          </w:tcPr>
          <w:p>
            <w:pPr>
              <w:spacing w:after="0"/>
              <w:rPr>
                <w:sz w:val="10"/>
                <w:szCs w:val="10"/>
                <w:color w:val="auto"/>
              </w:rPr>
            </w:pPr>
          </w:p>
        </w:tc>
        <w:tc>
          <w:tcPr>
            <w:tcW w:w="1000" w:type="dxa"/>
            <w:vAlign w:val="bottom"/>
            <w:tcBorders>
              <w:bottom w:val="single" w:sz="8" w:color="auto"/>
              <w:right w:val="single" w:sz="8" w:color="auto"/>
            </w:tcBorders>
            <w:shd w:val="clear" w:color="auto" w:fill="C0C0C0"/>
          </w:tcPr>
          <w:p>
            <w:pPr>
              <w:spacing w:after="0"/>
              <w:rPr>
                <w:sz w:val="10"/>
                <w:szCs w:val="10"/>
                <w:color w:val="auto"/>
              </w:rPr>
            </w:pPr>
          </w:p>
        </w:tc>
      </w:tr>
      <w:tr>
        <w:trPr>
          <w:trHeight w:val="124"/>
        </w:trPr>
        <w:tc>
          <w:tcPr>
            <w:tcW w:w="182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Liberty Insurance Corporation</w:t>
            </w:r>
          </w:p>
        </w:tc>
        <w:tc>
          <w:tcPr>
            <w:tcW w:w="1480" w:type="dxa"/>
            <w:vAlign w:val="bottom"/>
            <w:tcBorders>
              <w:right w:val="single" w:sz="8" w:color="auto"/>
            </w:tcBorders>
          </w:tcPr>
          <w:p>
            <w:pPr>
              <w:jc w:val="right"/>
              <w:ind w:right="606"/>
              <w:spacing w:after="0" w:line="124" w:lineRule="exact"/>
              <w:rPr>
                <w:sz w:val="20"/>
                <w:szCs w:val="20"/>
                <w:color w:val="auto"/>
              </w:rPr>
            </w:pPr>
            <w:r>
              <w:rPr>
                <w:rFonts w:ascii="Arial" w:cs="Arial" w:eastAsia="Arial" w:hAnsi="Arial"/>
                <w:sz w:val="11"/>
                <w:szCs w:val="11"/>
                <w:color w:val="auto"/>
              </w:rPr>
              <w:t>***</w:t>
            </w:r>
          </w:p>
        </w:tc>
        <w:tc>
          <w:tcPr>
            <w:tcW w:w="1780" w:type="dxa"/>
            <w:vAlign w:val="bottom"/>
          </w:tcPr>
          <w:p>
            <w:pPr>
              <w:jc w:val="center"/>
              <w:ind w:right="445"/>
              <w:spacing w:after="0" w:line="124" w:lineRule="exact"/>
              <w:rPr>
                <w:sz w:val="20"/>
                <w:szCs w:val="20"/>
                <w:color w:val="auto"/>
              </w:rPr>
            </w:pPr>
            <w:r>
              <w:rPr>
                <w:rFonts w:ascii="Arial" w:cs="Arial" w:eastAsia="Arial" w:hAnsi="Arial"/>
                <w:sz w:val="11"/>
                <w:szCs w:val="11"/>
                <w:color w:val="auto"/>
                <w:w w:val="90"/>
              </w:rPr>
              <w:t>07/01/2017 - 07/01/2018</w:t>
            </w: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Workers' Compensation</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Statutory</w:t>
            </w:r>
          </w:p>
        </w:tc>
        <w:tc>
          <w:tcPr>
            <w:tcW w:w="1000" w:type="dxa"/>
            <w:vAlign w:val="bottom"/>
            <w:tcBorders>
              <w:right w:val="single" w:sz="8" w:color="auto"/>
            </w:tcBorders>
          </w:tcPr>
          <w:p>
            <w:pPr>
              <w:jc w:val="right"/>
              <w:ind w:right="487"/>
              <w:spacing w:after="0" w:line="124"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1"/>
                <w:szCs w:val="11"/>
                <w:color w:val="auto"/>
              </w:rPr>
              <w:t>***</w:t>
            </w:r>
          </w:p>
        </w:tc>
      </w:tr>
      <w:tr>
        <w:trPr>
          <w:trHeight w:val="124"/>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Jurisdiction</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All Other States</w:t>
            </w:r>
          </w:p>
        </w:tc>
        <w:tc>
          <w:tcPr>
            <w:tcW w:w="1000" w:type="dxa"/>
            <w:vAlign w:val="bottom"/>
            <w:tcBorders>
              <w:right w:val="single" w:sz="8" w:color="auto"/>
            </w:tcBorders>
          </w:tcPr>
          <w:p>
            <w:pPr>
              <w:spacing w:after="0"/>
              <w:rPr>
                <w:sz w:val="10"/>
                <w:szCs w:val="10"/>
                <w:color w:val="auto"/>
              </w:rPr>
            </w:pPr>
          </w:p>
        </w:tc>
      </w:tr>
      <w:tr>
        <w:trPr>
          <w:trHeight w:val="124"/>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BI by Accident each Accident</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$1,000,000</w:t>
            </w:r>
          </w:p>
        </w:tc>
        <w:tc>
          <w:tcPr>
            <w:tcW w:w="1000" w:type="dxa"/>
            <w:vAlign w:val="bottom"/>
            <w:tcBorders>
              <w:right w:val="single" w:sz="8" w:color="auto"/>
            </w:tcBorders>
          </w:tcPr>
          <w:p>
            <w:pPr>
              <w:spacing w:after="0"/>
              <w:rPr>
                <w:sz w:val="10"/>
                <w:szCs w:val="10"/>
                <w:color w:val="auto"/>
              </w:rPr>
            </w:pPr>
          </w:p>
        </w:tc>
      </w:tr>
      <w:tr>
        <w:trPr>
          <w:trHeight w:val="124"/>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BI by Disease Policy Limit</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$1,000,000</w:t>
            </w:r>
          </w:p>
        </w:tc>
        <w:tc>
          <w:tcPr>
            <w:tcW w:w="1000" w:type="dxa"/>
            <w:vAlign w:val="bottom"/>
            <w:tcBorders>
              <w:right w:val="single" w:sz="8" w:color="auto"/>
            </w:tcBorders>
          </w:tcPr>
          <w:p>
            <w:pPr>
              <w:spacing w:after="0"/>
              <w:rPr>
                <w:sz w:val="10"/>
                <w:szCs w:val="10"/>
                <w:color w:val="auto"/>
              </w:rPr>
            </w:pPr>
          </w:p>
        </w:tc>
      </w:tr>
      <w:tr>
        <w:trPr>
          <w:trHeight w:val="124"/>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BI by Disease each Employee</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$1,000,000</w:t>
            </w:r>
          </w:p>
        </w:tc>
        <w:tc>
          <w:tcPr>
            <w:tcW w:w="1000" w:type="dxa"/>
            <w:vAlign w:val="bottom"/>
            <w:tcBorders>
              <w:right w:val="single" w:sz="8" w:color="auto"/>
            </w:tcBorders>
          </w:tcPr>
          <w:p>
            <w:pPr>
              <w:spacing w:after="0"/>
              <w:rPr>
                <w:sz w:val="10"/>
                <w:szCs w:val="10"/>
                <w:color w:val="auto"/>
              </w:rPr>
            </w:pPr>
          </w:p>
        </w:tc>
      </w:tr>
      <w:tr>
        <w:trPr>
          <w:trHeight w:val="124"/>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i w:val="1"/>
                <w:iCs w:val="1"/>
                <w:color w:val="auto"/>
              </w:rPr>
              <w:t>Retention</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i w:val="1"/>
                <w:iCs w:val="1"/>
                <w:color w:val="auto"/>
              </w:rPr>
              <w:t>$250,000</w:t>
            </w:r>
          </w:p>
        </w:tc>
        <w:tc>
          <w:tcPr>
            <w:tcW w:w="1000" w:type="dxa"/>
            <w:vAlign w:val="bottom"/>
            <w:tcBorders>
              <w:bottom w:val="single" w:sz="8" w:color="auto"/>
              <w:right w:val="single" w:sz="8" w:color="auto"/>
            </w:tcBorders>
          </w:tcPr>
          <w:p>
            <w:pPr>
              <w:spacing w:after="0"/>
              <w:rPr>
                <w:sz w:val="10"/>
                <w:szCs w:val="10"/>
                <w:color w:val="auto"/>
              </w:rPr>
            </w:pPr>
          </w:p>
        </w:tc>
      </w:tr>
      <w:tr>
        <w:trPr>
          <w:trHeight w:val="124"/>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jc w:val="right"/>
              <w:ind w:right="606"/>
              <w:spacing w:after="0" w:line="124" w:lineRule="exact"/>
              <w:rPr>
                <w:sz w:val="20"/>
                <w:szCs w:val="20"/>
                <w:color w:val="auto"/>
              </w:rPr>
            </w:pPr>
            <w:r>
              <w:rPr>
                <w:rFonts w:ascii="Arial" w:cs="Arial" w:eastAsia="Arial" w:hAnsi="Arial"/>
                <w:sz w:val="11"/>
                <w:szCs w:val="11"/>
                <w:color w:val="auto"/>
              </w:rPr>
              <w:t>***</w:t>
            </w:r>
          </w:p>
        </w:tc>
        <w:tc>
          <w:tcPr>
            <w:tcW w:w="1780" w:type="dxa"/>
            <w:vAlign w:val="bottom"/>
          </w:tcPr>
          <w:p>
            <w:pPr>
              <w:jc w:val="center"/>
              <w:ind w:right="445"/>
              <w:spacing w:after="0" w:line="124" w:lineRule="exact"/>
              <w:rPr>
                <w:sz w:val="20"/>
                <w:szCs w:val="20"/>
                <w:color w:val="auto"/>
              </w:rPr>
            </w:pPr>
            <w:r>
              <w:rPr>
                <w:rFonts w:ascii="Arial" w:cs="Arial" w:eastAsia="Arial" w:hAnsi="Arial"/>
                <w:sz w:val="11"/>
                <w:szCs w:val="11"/>
                <w:color w:val="auto"/>
                <w:w w:val="90"/>
              </w:rPr>
              <w:t>07/01/2017 - 07/01/2018</w:t>
            </w: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Workers' Compensation</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Statutory</w:t>
            </w:r>
          </w:p>
        </w:tc>
        <w:tc>
          <w:tcPr>
            <w:tcW w:w="1000" w:type="dxa"/>
            <w:vAlign w:val="bottom"/>
            <w:tcBorders>
              <w:right w:val="single" w:sz="8" w:color="auto"/>
            </w:tcBorders>
          </w:tcPr>
          <w:p>
            <w:pPr>
              <w:jc w:val="right"/>
              <w:ind w:right="487"/>
              <w:spacing w:after="0" w:line="124"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1"/>
                <w:szCs w:val="11"/>
                <w:color w:val="auto"/>
              </w:rPr>
              <w:t>***</w:t>
            </w:r>
          </w:p>
        </w:tc>
      </w:tr>
      <w:tr>
        <w:trPr>
          <w:trHeight w:val="124"/>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Jurisdiction</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WI</w:t>
            </w:r>
          </w:p>
        </w:tc>
        <w:tc>
          <w:tcPr>
            <w:tcW w:w="1000" w:type="dxa"/>
            <w:vAlign w:val="bottom"/>
            <w:tcBorders>
              <w:right w:val="single" w:sz="8" w:color="auto"/>
            </w:tcBorders>
          </w:tcPr>
          <w:p>
            <w:pPr>
              <w:spacing w:after="0"/>
              <w:rPr>
                <w:sz w:val="10"/>
                <w:szCs w:val="10"/>
                <w:color w:val="auto"/>
              </w:rPr>
            </w:pPr>
          </w:p>
        </w:tc>
      </w:tr>
      <w:tr>
        <w:trPr>
          <w:trHeight w:val="124"/>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BI by Accident each Accident</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$1,000,000</w:t>
            </w:r>
          </w:p>
        </w:tc>
        <w:tc>
          <w:tcPr>
            <w:tcW w:w="1000" w:type="dxa"/>
            <w:vAlign w:val="bottom"/>
            <w:tcBorders>
              <w:right w:val="single" w:sz="8" w:color="auto"/>
            </w:tcBorders>
          </w:tcPr>
          <w:p>
            <w:pPr>
              <w:spacing w:after="0"/>
              <w:rPr>
                <w:sz w:val="10"/>
                <w:szCs w:val="10"/>
                <w:color w:val="auto"/>
              </w:rPr>
            </w:pPr>
          </w:p>
        </w:tc>
      </w:tr>
      <w:tr>
        <w:trPr>
          <w:trHeight w:val="124"/>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BI by Disease Policy Limit</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$1,000,000</w:t>
            </w:r>
          </w:p>
        </w:tc>
        <w:tc>
          <w:tcPr>
            <w:tcW w:w="1000" w:type="dxa"/>
            <w:vAlign w:val="bottom"/>
            <w:tcBorders>
              <w:right w:val="single" w:sz="8" w:color="auto"/>
            </w:tcBorders>
          </w:tcPr>
          <w:p>
            <w:pPr>
              <w:spacing w:after="0"/>
              <w:rPr>
                <w:sz w:val="10"/>
                <w:szCs w:val="10"/>
                <w:color w:val="auto"/>
              </w:rPr>
            </w:pPr>
          </w:p>
        </w:tc>
      </w:tr>
      <w:tr>
        <w:trPr>
          <w:trHeight w:val="124"/>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BI by Disease each Employee</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$1,000,000</w:t>
            </w:r>
          </w:p>
        </w:tc>
        <w:tc>
          <w:tcPr>
            <w:tcW w:w="1000" w:type="dxa"/>
            <w:vAlign w:val="bottom"/>
            <w:tcBorders>
              <w:right w:val="single" w:sz="8" w:color="auto"/>
            </w:tcBorders>
          </w:tcPr>
          <w:p>
            <w:pPr>
              <w:spacing w:after="0"/>
              <w:rPr>
                <w:sz w:val="10"/>
                <w:szCs w:val="10"/>
                <w:color w:val="auto"/>
              </w:rPr>
            </w:pPr>
          </w:p>
        </w:tc>
      </w:tr>
      <w:tr>
        <w:trPr>
          <w:trHeight w:val="124"/>
        </w:trPr>
        <w:tc>
          <w:tcPr>
            <w:tcW w:w="1820" w:type="dxa"/>
            <w:vAlign w:val="bottom"/>
            <w:tcBorders>
              <w:left w:val="single" w:sz="8" w:color="auto"/>
              <w:bottom w:val="single" w:sz="8" w:color="auto"/>
              <w:right w:val="single" w:sz="8" w:color="auto"/>
            </w:tcBorders>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i w:val="1"/>
                <w:iCs w:val="1"/>
                <w:color w:val="auto"/>
              </w:rPr>
              <w:t>Retention</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i w:val="1"/>
                <w:iCs w:val="1"/>
                <w:color w:val="auto"/>
              </w:rPr>
              <w:t>$250,000</w:t>
            </w:r>
          </w:p>
        </w:tc>
        <w:tc>
          <w:tcPr>
            <w:tcW w:w="1000" w:type="dxa"/>
            <w:vAlign w:val="bottom"/>
            <w:tcBorders>
              <w:bottom w:val="single" w:sz="8" w:color="auto"/>
              <w:right w:val="single" w:sz="8" w:color="auto"/>
            </w:tcBorders>
          </w:tcPr>
          <w:p>
            <w:pPr>
              <w:spacing w:after="0"/>
              <w:rPr>
                <w:sz w:val="10"/>
                <w:szCs w:val="10"/>
                <w:color w:val="auto"/>
              </w:rPr>
            </w:pPr>
          </w:p>
        </w:tc>
      </w:tr>
      <w:tr>
        <w:trPr>
          <w:trHeight w:val="124"/>
        </w:trPr>
        <w:tc>
          <w:tcPr>
            <w:tcW w:w="1820" w:type="dxa"/>
            <w:vAlign w:val="bottom"/>
            <w:tcBorders>
              <w:left w:val="single" w:sz="8" w:color="auto"/>
              <w:bottom w:val="single" w:sz="8" w:color="auto"/>
              <w:right w:val="single" w:sz="8" w:color="C0C0C0"/>
            </w:tcBorders>
            <w:shd w:val="clear" w:color="auto" w:fill="C0C0C0"/>
          </w:tcPr>
          <w:p>
            <w:pPr>
              <w:ind w:left="260"/>
              <w:spacing w:after="0" w:line="124" w:lineRule="exact"/>
              <w:rPr>
                <w:sz w:val="20"/>
                <w:szCs w:val="20"/>
                <w:color w:val="auto"/>
              </w:rPr>
            </w:pPr>
            <w:r>
              <w:rPr>
                <w:rFonts w:ascii="Arial" w:cs="Arial" w:eastAsia="Arial" w:hAnsi="Arial"/>
                <w:sz w:val="11"/>
                <w:szCs w:val="11"/>
                <w:b w:val="1"/>
                <w:bCs w:val="1"/>
                <w:color w:val="auto"/>
              </w:rPr>
              <w:t>Business Auto Liability</w:t>
            </w:r>
          </w:p>
        </w:tc>
        <w:tc>
          <w:tcPr>
            <w:tcW w:w="1480" w:type="dxa"/>
            <w:vAlign w:val="bottom"/>
            <w:tcBorders>
              <w:bottom w:val="single" w:sz="8" w:color="auto"/>
              <w:right w:val="single" w:sz="8" w:color="C0C0C0"/>
            </w:tcBorders>
            <w:shd w:val="clear" w:color="auto" w:fill="C0C0C0"/>
          </w:tcPr>
          <w:p>
            <w:pPr>
              <w:spacing w:after="0"/>
              <w:rPr>
                <w:sz w:val="10"/>
                <w:szCs w:val="10"/>
                <w:color w:val="auto"/>
              </w:rPr>
            </w:pPr>
          </w:p>
        </w:tc>
        <w:tc>
          <w:tcPr>
            <w:tcW w:w="1780" w:type="dxa"/>
            <w:vAlign w:val="bottom"/>
            <w:tcBorders>
              <w:bottom w:val="single" w:sz="8" w:color="auto"/>
              <w:right w:val="single" w:sz="8" w:color="C0C0C0"/>
            </w:tcBorders>
            <w:shd w:val="clear" w:color="auto" w:fill="C0C0C0"/>
          </w:tcPr>
          <w:p>
            <w:pPr>
              <w:spacing w:after="0"/>
              <w:rPr>
                <w:sz w:val="10"/>
                <w:szCs w:val="10"/>
                <w:color w:val="auto"/>
              </w:rPr>
            </w:pPr>
          </w:p>
        </w:tc>
        <w:tc>
          <w:tcPr>
            <w:tcW w:w="120" w:type="dxa"/>
            <w:vAlign w:val="bottom"/>
            <w:tcBorders>
              <w:bottom w:val="single" w:sz="8" w:color="auto"/>
              <w:right w:val="single" w:sz="8" w:color="C0C0C0"/>
            </w:tcBorders>
            <w:shd w:val="clear" w:color="auto" w:fill="C0C0C0"/>
          </w:tcPr>
          <w:p>
            <w:pPr>
              <w:spacing w:after="0"/>
              <w:rPr>
                <w:sz w:val="10"/>
                <w:szCs w:val="10"/>
                <w:color w:val="auto"/>
              </w:rPr>
            </w:pPr>
          </w:p>
        </w:tc>
        <w:tc>
          <w:tcPr>
            <w:tcW w:w="3940" w:type="dxa"/>
            <w:vAlign w:val="bottom"/>
            <w:tcBorders>
              <w:bottom w:val="single" w:sz="8" w:color="auto"/>
              <w:right w:val="single" w:sz="8" w:color="C0C0C0"/>
            </w:tcBorders>
            <w:shd w:val="clear" w:color="auto" w:fill="C0C0C0"/>
          </w:tcPr>
          <w:p>
            <w:pPr>
              <w:spacing w:after="0"/>
              <w:rPr>
                <w:sz w:val="10"/>
                <w:szCs w:val="10"/>
                <w:color w:val="auto"/>
              </w:rPr>
            </w:pPr>
          </w:p>
        </w:tc>
        <w:tc>
          <w:tcPr>
            <w:tcW w:w="1340" w:type="dxa"/>
            <w:vAlign w:val="bottom"/>
            <w:tcBorders>
              <w:bottom w:val="single" w:sz="8" w:color="auto"/>
              <w:right w:val="single" w:sz="8" w:color="C0C0C0"/>
            </w:tcBorders>
            <w:shd w:val="clear" w:color="auto" w:fill="C0C0C0"/>
          </w:tcPr>
          <w:p>
            <w:pPr>
              <w:spacing w:after="0"/>
              <w:rPr>
                <w:sz w:val="10"/>
                <w:szCs w:val="10"/>
                <w:color w:val="auto"/>
              </w:rPr>
            </w:pPr>
          </w:p>
        </w:tc>
        <w:tc>
          <w:tcPr>
            <w:tcW w:w="1000" w:type="dxa"/>
            <w:vAlign w:val="bottom"/>
            <w:tcBorders>
              <w:bottom w:val="single" w:sz="8" w:color="auto"/>
              <w:right w:val="single" w:sz="8" w:color="auto"/>
            </w:tcBorders>
            <w:shd w:val="clear" w:color="auto" w:fill="C0C0C0"/>
          </w:tcPr>
          <w:p>
            <w:pPr>
              <w:spacing w:after="0"/>
              <w:rPr>
                <w:sz w:val="10"/>
                <w:szCs w:val="10"/>
                <w:color w:val="auto"/>
              </w:rPr>
            </w:pPr>
          </w:p>
        </w:tc>
      </w:tr>
      <w:tr>
        <w:trPr>
          <w:trHeight w:val="124"/>
        </w:trPr>
        <w:tc>
          <w:tcPr>
            <w:tcW w:w="182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Liberty Mutual Fire Insurance Co.</w:t>
            </w:r>
          </w:p>
        </w:tc>
        <w:tc>
          <w:tcPr>
            <w:tcW w:w="1480" w:type="dxa"/>
            <w:vAlign w:val="bottom"/>
            <w:tcBorders>
              <w:right w:val="single" w:sz="8" w:color="auto"/>
            </w:tcBorders>
          </w:tcPr>
          <w:p>
            <w:pPr>
              <w:jc w:val="right"/>
              <w:ind w:right="606"/>
              <w:spacing w:after="0" w:line="124" w:lineRule="exact"/>
              <w:rPr>
                <w:sz w:val="20"/>
                <w:szCs w:val="20"/>
                <w:color w:val="auto"/>
              </w:rPr>
            </w:pPr>
            <w:r>
              <w:rPr>
                <w:rFonts w:ascii="Arial" w:cs="Arial" w:eastAsia="Arial" w:hAnsi="Arial"/>
                <w:sz w:val="11"/>
                <w:szCs w:val="11"/>
                <w:color w:val="auto"/>
              </w:rPr>
              <w:t>***</w:t>
            </w:r>
          </w:p>
        </w:tc>
        <w:tc>
          <w:tcPr>
            <w:tcW w:w="1780" w:type="dxa"/>
            <w:vAlign w:val="bottom"/>
          </w:tcPr>
          <w:p>
            <w:pPr>
              <w:jc w:val="center"/>
              <w:ind w:right="445"/>
              <w:spacing w:after="0" w:line="124" w:lineRule="exact"/>
              <w:rPr>
                <w:sz w:val="20"/>
                <w:szCs w:val="20"/>
                <w:color w:val="auto"/>
              </w:rPr>
            </w:pPr>
            <w:r>
              <w:rPr>
                <w:rFonts w:ascii="Arial" w:cs="Arial" w:eastAsia="Arial" w:hAnsi="Arial"/>
                <w:sz w:val="11"/>
                <w:szCs w:val="11"/>
                <w:color w:val="auto"/>
                <w:w w:val="90"/>
              </w:rPr>
              <w:t>07/01/2017 - 07/01/2018</w:t>
            </w: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Liability - Any Auto</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$1,000,000</w:t>
            </w:r>
          </w:p>
        </w:tc>
        <w:tc>
          <w:tcPr>
            <w:tcW w:w="1000" w:type="dxa"/>
            <w:vAlign w:val="bottom"/>
            <w:tcBorders>
              <w:right w:val="single" w:sz="8" w:color="auto"/>
            </w:tcBorders>
          </w:tcPr>
          <w:p>
            <w:pPr>
              <w:jc w:val="right"/>
              <w:ind w:right="487"/>
              <w:spacing w:after="0" w:line="124"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1"/>
                <w:szCs w:val="11"/>
                <w:color w:val="auto"/>
              </w:rPr>
              <w:t>***</w:t>
            </w:r>
          </w:p>
        </w:tc>
      </w:tr>
      <w:tr>
        <w:trPr>
          <w:trHeight w:val="124"/>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Uninsured Motorists</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$1,000,000</w:t>
            </w:r>
          </w:p>
        </w:tc>
        <w:tc>
          <w:tcPr>
            <w:tcW w:w="1000" w:type="dxa"/>
            <w:vAlign w:val="bottom"/>
            <w:tcBorders>
              <w:right w:val="single" w:sz="8" w:color="auto"/>
            </w:tcBorders>
          </w:tcPr>
          <w:p>
            <w:pPr>
              <w:spacing w:after="0"/>
              <w:rPr>
                <w:sz w:val="10"/>
                <w:szCs w:val="10"/>
                <w:color w:val="auto"/>
              </w:rPr>
            </w:pPr>
          </w:p>
        </w:tc>
      </w:tr>
      <w:tr>
        <w:trPr>
          <w:trHeight w:val="124"/>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Medical Payments</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$10,000</w:t>
            </w:r>
          </w:p>
        </w:tc>
        <w:tc>
          <w:tcPr>
            <w:tcW w:w="1000" w:type="dxa"/>
            <w:vAlign w:val="bottom"/>
            <w:tcBorders>
              <w:right w:val="single" w:sz="8" w:color="auto"/>
            </w:tcBorders>
          </w:tcPr>
          <w:p>
            <w:pPr>
              <w:spacing w:after="0"/>
              <w:rPr>
                <w:sz w:val="10"/>
                <w:szCs w:val="10"/>
                <w:color w:val="auto"/>
              </w:rPr>
            </w:pPr>
          </w:p>
        </w:tc>
      </w:tr>
      <w:tr>
        <w:trPr>
          <w:trHeight w:val="406"/>
        </w:trPr>
        <w:tc>
          <w:tcPr>
            <w:tcW w:w="9140" w:type="dxa"/>
            <w:vAlign w:val="bottom"/>
            <w:gridSpan w:val="5"/>
          </w:tcPr>
          <w:p>
            <w:pPr>
              <w:spacing w:after="0"/>
              <w:rPr>
                <w:sz w:val="20"/>
                <w:szCs w:val="20"/>
                <w:color w:val="auto"/>
              </w:rPr>
            </w:pPr>
            <w:r>
              <w:rPr>
                <w:rFonts w:ascii="Arial" w:cs="Arial" w:eastAsia="Arial" w:hAnsi="Arial"/>
                <w:sz w:val="10"/>
                <w:szCs w:val="10"/>
                <w:color w:val="auto"/>
              </w:rPr>
              <w:t>Note 1: This Document is intended as a guide only, please consult your policy for a complete listings of all applicable terms, conditions, and limits.</w:t>
            </w:r>
          </w:p>
        </w:tc>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30"/>
        </w:trPr>
        <w:tc>
          <w:tcPr>
            <w:tcW w:w="1820" w:type="dxa"/>
            <w:vAlign w:val="bottom"/>
          </w:tcPr>
          <w:p>
            <w:pPr>
              <w:spacing w:after="0"/>
              <w:rPr>
                <w:sz w:val="20"/>
                <w:szCs w:val="20"/>
                <w:color w:val="auto"/>
              </w:rPr>
            </w:pPr>
            <w:r>
              <w:rPr>
                <w:rFonts w:ascii="Arial" w:cs="Arial" w:eastAsia="Arial" w:hAnsi="Arial"/>
                <w:sz w:val="10"/>
                <w:szCs w:val="10"/>
                <w:color w:val="auto"/>
              </w:rPr>
              <w:t>Note 2: All premiums are in US Dollars.</w:t>
            </w:r>
          </w:p>
        </w:tc>
        <w:tc>
          <w:tcPr>
            <w:tcW w:w="14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0" w:type="dxa"/>
            <w:vAlign w:val="bottom"/>
          </w:tcPr>
          <w:p>
            <w:pPr>
              <w:ind w:left="760"/>
              <w:spacing w:after="0"/>
              <w:rPr>
                <w:sz w:val="20"/>
                <w:szCs w:val="20"/>
                <w:color w:val="auto"/>
              </w:rPr>
            </w:pPr>
            <w:r>
              <w:rPr>
                <w:rFonts w:ascii="Arial" w:cs="Arial" w:eastAsia="Arial" w:hAnsi="Arial"/>
                <w:sz w:val="10"/>
                <w:szCs w:val="10"/>
                <w:color w:val="auto"/>
                <w:w w:val="85"/>
              </w:rPr>
              <w:t>Page</w:t>
            </w:r>
          </w:p>
        </w:tc>
      </w:tr>
      <w:tr>
        <w:trPr>
          <w:trHeight w:val="108"/>
        </w:trPr>
        <w:tc>
          <w:tcPr>
            <w:tcW w:w="18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0" w:type="dxa"/>
            <w:vAlign w:val="bottom"/>
          </w:tcPr>
          <w:p>
            <w:pPr>
              <w:ind w:left="760"/>
              <w:spacing w:after="0" w:line="108" w:lineRule="exact"/>
              <w:rPr>
                <w:sz w:val="20"/>
                <w:szCs w:val="20"/>
                <w:color w:val="auto"/>
              </w:rPr>
            </w:pPr>
            <w:r>
              <w:rPr>
                <w:rFonts w:ascii="Arial" w:cs="Arial" w:eastAsia="Arial" w:hAnsi="Arial"/>
                <w:sz w:val="10"/>
                <w:szCs w:val="10"/>
                <w:color w:val="auto"/>
              </w:rPr>
              <w:t>3 of</w:t>
            </w:r>
          </w:p>
        </w:tc>
      </w:tr>
      <w:tr>
        <w:trPr>
          <w:trHeight w:val="108"/>
        </w:trPr>
        <w:tc>
          <w:tcPr>
            <w:tcW w:w="18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0" w:type="dxa"/>
            <w:vAlign w:val="bottom"/>
          </w:tcPr>
          <w:p>
            <w:pPr>
              <w:ind w:left="760"/>
              <w:spacing w:after="0" w:line="108" w:lineRule="exact"/>
              <w:rPr>
                <w:sz w:val="20"/>
                <w:szCs w:val="20"/>
                <w:color w:val="auto"/>
              </w:rPr>
            </w:pPr>
            <w:r>
              <w:rPr>
                <w:rFonts w:ascii="Arial" w:cs="Arial" w:eastAsia="Arial" w:hAnsi="Arial"/>
                <w:sz w:val="10"/>
                <w:szCs w:val="10"/>
                <w:color w:val="auto"/>
              </w:rPr>
              <w:t>8</w:t>
            </w:r>
          </w:p>
        </w:tc>
      </w:tr>
    </w:tbl>
    <w:p>
      <w:pPr>
        <w:ind w:left="388" w:hanging="388"/>
        <w:spacing w:after="0"/>
        <w:tabs>
          <w:tab w:leader="none" w:pos="388" w:val="left"/>
        </w:tabs>
        <w:numPr>
          <w:ilvl w:val="0"/>
          <w:numId w:val="191"/>
        </w:numPr>
        <w:rPr>
          <w:rFonts w:ascii="Arial" w:cs="Arial" w:eastAsia="Arial" w:hAnsi="Arial"/>
          <w:sz w:val="10"/>
          <w:szCs w:val="10"/>
          <w:b w:val="1"/>
          <w:bCs w:val="1"/>
          <w:color w:val="auto"/>
        </w:rPr>
      </w:pPr>
      <w:r>
        <w:rPr>
          <w:rFonts w:ascii="Arial" w:cs="Arial" w:eastAsia="Arial" w:hAnsi="Arial"/>
          <w:sz w:val="10"/>
          <w:szCs w:val="10"/>
          <w:b w:val="1"/>
          <w:bCs w:val="1"/>
          <w:color w:val="auto"/>
        </w:rPr>
        <w:t>Represents text omitted pursuant to a request for confidential treatment. The omitted material has been filed separately with the Securities and Exchange Commission</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267335</wp:posOffset>
            </wp:positionV>
            <wp:extent cx="7329170" cy="368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127" w:right="199" w:bottom="1440" w:gutter="0" w:footer="0" w:header="0"/>
        </w:sectPr>
      </w:pPr>
    </w:p>
    <w:bookmarkStart w:id="171" w:name="page172"/>
    <w:bookmarkEnd w:id="171"/>
    <w:tbl>
      <w:tblPr>
        <w:tblLayout w:type="fixed"/>
        <w:tblInd w:w="18" w:type="dxa"/>
        <w:tblCellMar>
          <w:top w:w="0" w:type="dxa"/>
          <w:left w:w="0" w:type="dxa"/>
          <w:bottom w:w="0" w:type="dxa"/>
          <w:right w:w="0" w:type="dxa"/>
        </w:tblCellMar>
      </w:tblPr>
      <w:tr>
        <w:trPr>
          <w:trHeight w:val="157"/>
        </w:trPr>
        <w:tc>
          <w:tcPr>
            <w:tcW w:w="1800" w:type="dxa"/>
            <w:vAlign w:val="bottom"/>
          </w:tcPr>
          <w:p>
            <w:pPr>
              <w:spacing w:after="0"/>
              <w:rPr>
                <w:sz w:val="20"/>
                <w:szCs w:val="20"/>
                <w:color w:val="auto"/>
              </w:rPr>
            </w:pPr>
            <w:r>
              <w:rPr>
                <w:rFonts w:ascii="Arial" w:cs="Arial" w:eastAsia="Arial" w:hAnsi="Arial"/>
                <w:sz w:val="12"/>
                <w:szCs w:val="12"/>
                <w:b w:val="1"/>
                <w:bCs w:val="1"/>
                <w:color w:val="auto"/>
              </w:rPr>
              <w:t>Schedule 5.10 Insurance</w:t>
            </w:r>
          </w:p>
        </w:tc>
        <w:tc>
          <w:tcPr>
            <w:tcW w:w="15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18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3"/>
        </w:trPr>
        <w:tc>
          <w:tcPr>
            <w:tcW w:w="1800" w:type="dxa"/>
            <w:vAlign w:val="bottom"/>
            <w:tcBorders>
              <w:left w:val="single" w:sz="8" w:color="auto"/>
              <w:bottom w:val="single" w:sz="8" w:color="auto"/>
            </w:tcBorders>
            <w:shd w:val="clear" w:color="auto" w:fill="BEBEBE"/>
          </w:tcPr>
          <w:p>
            <w:pPr>
              <w:ind w:left="80"/>
              <w:spacing w:after="0" w:line="133" w:lineRule="exact"/>
              <w:rPr>
                <w:sz w:val="20"/>
                <w:szCs w:val="20"/>
                <w:color w:val="auto"/>
              </w:rPr>
            </w:pPr>
            <w:r>
              <w:rPr>
                <w:rFonts w:ascii="Arial" w:cs="Arial" w:eastAsia="Arial" w:hAnsi="Arial"/>
                <w:sz w:val="12"/>
                <w:szCs w:val="12"/>
                <w:b w:val="1"/>
                <w:bCs w:val="1"/>
                <w:color w:val="auto"/>
              </w:rPr>
              <w:t>Coverage/Limits as of:</w:t>
            </w:r>
          </w:p>
        </w:tc>
        <w:tc>
          <w:tcPr>
            <w:tcW w:w="1500" w:type="dxa"/>
            <w:vAlign w:val="bottom"/>
            <w:tcBorders>
              <w:bottom w:val="single" w:sz="8" w:color="auto"/>
              <w:right w:val="single" w:sz="8" w:color="auto"/>
            </w:tcBorders>
            <w:shd w:val="clear" w:color="auto" w:fill="BEBEBE"/>
          </w:tcPr>
          <w:p>
            <w:pPr>
              <w:spacing w:after="0"/>
              <w:rPr>
                <w:sz w:val="11"/>
                <w:szCs w:val="11"/>
                <w:color w:val="auto"/>
              </w:rPr>
            </w:pPr>
          </w:p>
        </w:tc>
        <w:tc>
          <w:tcPr>
            <w:tcW w:w="1780" w:type="dxa"/>
            <w:vAlign w:val="bottom"/>
            <w:tcBorders>
              <w:bottom w:val="single" w:sz="8" w:color="auto"/>
              <w:right w:val="single" w:sz="8" w:color="auto"/>
            </w:tcBorders>
            <w:shd w:val="clear" w:color="auto" w:fill="BEBEBE"/>
          </w:tcPr>
          <w:p>
            <w:pPr>
              <w:jc w:val="right"/>
              <w:ind w:right="1063"/>
              <w:spacing w:after="0" w:line="133" w:lineRule="exact"/>
              <w:rPr>
                <w:sz w:val="20"/>
                <w:szCs w:val="20"/>
                <w:color w:val="auto"/>
              </w:rPr>
            </w:pPr>
            <w:r>
              <w:rPr>
                <w:rFonts w:ascii="Arial" w:cs="Arial" w:eastAsia="Arial" w:hAnsi="Arial"/>
                <w:sz w:val="12"/>
                <w:szCs w:val="12"/>
                <w:b w:val="1"/>
                <w:bCs w:val="1"/>
                <w:color w:val="auto"/>
                <w:w w:val="94"/>
              </w:rPr>
              <w:t>July 1, 2017</w:t>
            </w:r>
          </w:p>
        </w:tc>
        <w:tc>
          <w:tcPr>
            <w:tcW w:w="1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77"/>
        </w:trPr>
        <w:tc>
          <w:tcPr>
            <w:tcW w:w="18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24"/>
        </w:trPr>
        <w:tc>
          <w:tcPr>
            <w:tcW w:w="1800" w:type="dxa"/>
            <w:vAlign w:val="bottom"/>
            <w:tcBorders>
              <w:left w:val="single" w:sz="8" w:color="C0C0C0"/>
              <w:bottom w:val="single" w:sz="8" w:color="auto"/>
            </w:tcBorders>
            <w:shd w:val="clear" w:color="auto" w:fill="C0C0C0"/>
          </w:tcPr>
          <w:p>
            <w:pPr>
              <w:ind w:left="20"/>
              <w:spacing w:after="0" w:line="124" w:lineRule="exact"/>
              <w:rPr>
                <w:sz w:val="20"/>
                <w:szCs w:val="20"/>
                <w:color w:val="auto"/>
              </w:rPr>
            </w:pPr>
            <w:r>
              <w:rPr>
                <w:rFonts w:ascii="Arial" w:cs="Arial" w:eastAsia="Arial" w:hAnsi="Arial"/>
                <w:sz w:val="11"/>
                <w:szCs w:val="11"/>
                <w:b w:val="1"/>
                <w:bCs w:val="1"/>
                <w:color w:val="auto"/>
              </w:rPr>
              <w:t>International Casualty (DIC)</w:t>
            </w:r>
          </w:p>
        </w:tc>
        <w:tc>
          <w:tcPr>
            <w:tcW w:w="1500" w:type="dxa"/>
            <w:vAlign w:val="bottom"/>
            <w:tcBorders>
              <w:bottom w:val="single" w:sz="8" w:color="auto"/>
              <w:right w:val="single" w:sz="8" w:color="C0C0C0"/>
            </w:tcBorders>
            <w:shd w:val="clear" w:color="auto" w:fill="C0C0C0"/>
          </w:tcPr>
          <w:p>
            <w:pPr>
              <w:spacing w:after="0"/>
              <w:rPr>
                <w:sz w:val="10"/>
                <w:szCs w:val="10"/>
                <w:color w:val="auto"/>
              </w:rPr>
            </w:pPr>
          </w:p>
        </w:tc>
        <w:tc>
          <w:tcPr>
            <w:tcW w:w="1780" w:type="dxa"/>
            <w:vAlign w:val="bottom"/>
            <w:tcBorders>
              <w:bottom w:val="single" w:sz="8" w:color="auto"/>
              <w:right w:val="single" w:sz="8" w:color="C0C0C0"/>
            </w:tcBorders>
            <w:shd w:val="clear" w:color="auto" w:fill="C0C0C0"/>
          </w:tcPr>
          <w:p>
            <w:pPr>
              <w:spacing w:after="0"/>
              <w:rPr>
                <w:sz w:val="10"/>
                <w:szCs w:val="10"/>
                <w:color w:val="auto"/>
              </w:rPr>
            </w:pPr>
          </w:p>
        </w:tc>
        <w:tc>
          <w:tcPr>
            <w:tcW w:w="120" w:type="dxa"/>
            <w:vAlign w:val="bottom"/>
            <w:tcBorders>
              <w:bottom w:val="single" w:sz="8" w:color="auto"/>
              <w:right w:val="single" w:sz="8" w:color="C0C0C0"/>
            </w:tcBorders>
            <w:shd w:val="clear" w:color="auto" w:fill="C0C0C0"/>
          </w:tcPr>
          <w:p>
            <w:pPr>
              <w:spacing w:after="0"/>
              <w:rPr>
                <w:sz w:val="10"/>
                <w:szCs w:val="10"/>
                <w:color w:val="auto"/>
              </w:rPr>
            </w:pPr>
          </w:p>
        </w:tc>
        <w:tc>
          <w:tcPr>
            <w:tcW w:w="3940" w:type="dxa"/>
            <w:vAlign w:val="bottom"/>
            <w:tcBorders>
              <w:bottom w:val="single" w:sz="8" w:color="auto"/>
              <w:right w:val="single" w:sz="8" w:color="C0C0C0"/>
            </w:tcBorders>
            <w:shd w:val="clear" w:color="auto" w:fill="C0C0C0"/>
          </w:tcPr>
          <w:p>
            <w:pPr>
              <w:spacing w:after="0"/>
              <w:rPr>
                <w:sz w:val="10"/>
                <w:szCs w:val="10"/>
                <w:color w:val="auto"/>
              </w:rPr>
            </w:pPr>
          </w:p>
        </w:tc>
        <w:tc>
          <w:tcPr>
            <w:tcW w:w="1340" w:type="dxa"/>
            <w:vAlign w:val="bottom"/>
            <w:tcBorders>
              <w:bottom w:val="single" w:sz="8" w:color="auto"/>
              <w:right w:val="single" w:sz="8" w:color="C0C0C0"/>
            </w:tcBorders>
            <w:shd w:val="clear" w:color="auto" w:fill="C0C0C0"/>
          </w:tcPr>
          <w:p>
            <w:pPr>
              <w:spacing w:after="0"/>
              <w:rPr>
                <w:sz w:val="10"/>
                <w:szCs w:val="10"/>
                <w:color w:val="auto"/>
              </w:rPr>
            </w:pPr>
          </w:p>
        </w:tc>
        <w:tc>
          <w:tcPr>
            <w:tcW w:w="980" w:type="dxa"/>
            <w:vAlign w:val="bottom"/>
            <w:tcBorders>
              <w:bottom w:val="single" w:sz="8" w:color="auto"/>
            </w:tcBorders>
            <w:shd w:val="clear" w:color="auto" w:fill="C0C0C0"/>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124"/>
        </w:trPr>
        <w:tc>
          <w:tcPr>
            <w:tcW w:w="1800" w:type="dxa"/>
            <w:vAlign w:val="bottom"/>
          </w:tcPr>
          <w:p>
            <w:pPr>
              <w:ind w:left="20"/>
              <w:spacing w:after="0" w:line="124" w:lineRule="exact"/>
              <w:rPr>
                <w:sz w:val="20"/>
                <w:szCs w:val="20"/>
                <w:color w:val="auto"/>
              </w:rPr>
            </w:pPr>
            <w:r>
              <w:rPr>
                <w:rFonts w:ascii="Arial" w:cs="Arial" w:eastAsia="Arial" w:hAnsi="Arial"/>
                <w:sz w:val="11"/>
                <w:szCs w:val="11"/>
                <w:color w:val="auto"/>
              </w:rPr>
              <w:t>Insurance Company Of the State of</w:t>
            </w:r>
          </w:p>
        </w:tc>
        <w:tc>
          <w:tcPr>
            <w:tcW w:w="1500" w:type="dxa"/>
            <w:vAlign w:val="bottom"/>
            <w:tcBorders>
              <w:right w:val="single" w:sz="8" w:color="auto"/>
            </w:tcBorders>
          </w:tcPr>
          <w:p>
            <w:pPr>
              <w:jc w:val="right"/>
              <w:ind w:right="606"/>
              <w:spacing w:after="0" w:line="124" w:lineRule="exact"/>
              <w:rPr>
                <w:sz w:val="20"/>
                <w:szCs w:val="20"/>
                <w:color w:val="auto"/>
              </w:rPr>
            </w:pPr>
            <w:r>
              <w:rPr>
                <w:rFonts w:ascii="Arial" w:cs="Arial" w:eastAsia="Arial" w:hAnsi="Arial"/>
                <w:sz w:val="11"/>
                <w:szCs w:val="11"/>
                <w:color w:val="auto"/>
              </w:rPr>
              <w:t>***</w:t>
            </w:r>
          </w:p>
        </w:tc>
        <w:tc>
          <w:tcPr>
            <w:tcW w:w="1780" w:type="dxa"/>
            <w:vAlign w:val="bottom"/>
          </w:tcPr>
          <w:p>
            <w:pPr>
              <w:jc w:val="right"/>
              <w:ind w:right="543"/>
              <w:spacing w:after="0" w:line="124" w:lineRule="exact"/>
              <w:rPr>
                <w:sz w:val="20"/>
                <w:szCs w:val="20"/>
                <w:color w:val="auto"/>
              </w:rPr>
            </w:pPr>
            <w:r>
              <w:rPr>
                <w:rFonts w:ascii="Arial" w:cs="Arial" w:eastAsia="Arial" w:hAnsi="Arial"/>
                <w:sz w:val="11"/>
                <w:szCs w:val="11"/>
                <w:color w:val="auto"/>
                <w:w w:val="96"/>
              </w:rPr>
              <w:t>06/30/2017 - 06/30/2020</w:t>
            </w: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General Liability</w:t>
            </w:r>
          </w:p>
        </w:tc>
        <w:tc>
          <w:tcPr>
            <w:tcW w:w="1340" w:type="dxa"/>
            <w:vAlign w:val="bottom"/>
            <w:tcBorders>
              <w:bottom w:val="single" w:sz="8" w:color="auto"/>
              <w:right w:val="single" w:sz="8" w:color="auto"/>
            </w:tcBorders>
          </w:tcPr>
          <w:p>
            <w:pPr>
              <w:spacing w:after="0"/>
              <w:rPr>
                <w:sz w:val="10"/>
                <w:szCs w:val="10"/>
                <w:color w:val="auto"/>
              </w:rPr>
            </w:pPr>
          </w:p>
        </w:tc>
        <w:tc>
          <w:tcPr>
            <w:tcW w:w="980" w:type="dxa"/>
            <w:vAlign w:val="bottom"/>
          </w:tcPr>
          <w:p>
            <w:pPr>
              <w:jc w:val="right"/>
              <w:ind w:right="326"/>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r>
      <w:tr>
        <w:trPr>
          <w:trHeight w:val="124"/>
        </w:trPr>
        <w:tc>
          <w:tcPr>
            <w:tcW w:w="1800" w:type="dxa"/>
            <w:vAlign w:val="bottom"/>
          </w:tcPr>
          <w:p>
            <w:pPr>
              <w:ind w:left="20"/>
              <w:spacing w:after="0" w:line="116" w:lineRule="exact"/>
              <w:rPr>
                <w:sz w:val="20"/>
                <w:szCs w:val="20"/>
                <w:color w:val="auto"/>
              </w:rPr>
            </w:pPr>
            <w:r>
              <w:rPr>
                <w:rFonts w:ascii="Arial" w:cs="Arial" w:eastAsia="Arial" w:hAnsi="Arial"/>
                <w:sz w:val="11"/>
                <w:szCs w:val="11"/>
                <w:color w:val="auto"/>
              </w:rPr>
              <w:t>Pennsylvania</w:t>
            </w:r>
          </w:p>
        </w:tc>
        <w:tc>
          <w:tcPr>
            <w:tcW w:w="150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ind w:left="80"/>
              <w:spacing w:after="0" w:line="124" w:lineRule="exact"/>
              <w:rPr>
                <w:sz w:val="20"/>
                <w:szCs w:val="20"/>
                <w:color w:val="auto"/>
              </w:rPr>
            </w:pPr>
            <w:r>
              <w:rPr>
                <w:rFonts w:ascii="Arial" w:cs="Arial" w:eastAsia="Arial" w:hAnsi="Arial"/>
                <w:sz w:val="11"/>
                <w:szCs w:val="11"/>
                <w:color w:val="auto"/>
              </w:rPr>
              <w:t>General Aggregate</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$2,000,000</w:t>
            </w: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4"/>
        </w:trPr>
        <w:tc>
          <w:tcPr>
            <w:tcW w:w="1800" w:type="dxa"/>
            <w:vAlign w:val="bottom"/>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ind w:left="80"/>
              <w:spacing w:after="0" w:line="124" w:lineRule="exact"/>
              <w:rPr>
                <w:sz w:val="20"/>
                <w:szCs w:val="20"/>
                <w:color w:val="auto"/>
              </w:rPr>
            </w:pPr>
            <w:r>
              <w:rPr>
                <w:rFonts w:ascii="Arial" w:cs="Arial" w:eastAsia="Arial" w:hAnsi="Arial"/>
                <w:sz w:val="11"/>
                <w:szCs w:val="11"/>
                <w:color w:val="auto"/>
              </w:rPr>
              <w:t>Products-Completed Operations Aggregate</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$2,000,000</w:t>
            </w: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4"/>
        </w:trPr>
        <w:tc>
          <w:tcPr>
            <w:tcW w:w="1800" w:type="dxa"/>
            <w:vAlign w:val="bottom"/>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ind w:left="80"/>
              <w:spacing w:after="0" w:line="124" w:lineRule="exact"/>
              <w:rPr>
                <w:sz w:val="20"/>
                <w:szCs w:val="20"/>
                <w:color w:val="auto"/>
              </w:rPr>
            </w:pPr>
            <w:r>
              <w:rPr>
                <w:rFonts w:ascii="Arial" w:cs="Arial" w:eastAsia="Arial" w:hAnsi="Arial"/>
                <w:sz w:val="11"/>
                <w:szCs w:val="11"/>
                <w:color w:val="auto"/>
              </w:rPr>
              <w:t>P&amp;AI Aggregate</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$1,000,000</w:t>
            </w: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4"/>
        </w:trPr>
        <w:tc>
          <w:tcPr>
            <w:tcW w:w="1800" w:type="dxa"/>
            <w:vAlign w:val="bottom"/>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ind w:left="80"/>
              <w:spacing w:after="0" w:line="124" w:lineRule="exact"/>
              <w:rPr>
                <w:sz w:val="20"/>
                <w:szCs w:val="20"/>
                <w:color w:val="auto"/>
              </w:rPr>
            </w:pPr>
            <w:r>
              <w:rPr>
                <w:rFonts w:ascii="Arial" w:cs="Arial" w:eastAsia="Arial" w:hAnsi="Arial"/>
                <w:sz w:val="11"/>
                <w:szCs w:val="11"/>
                <w:color w:val="auto"/>
              </w:rPr>
              <w:t>Each Occurrence</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$1,000,000</w:t>
            </w: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4"/>
        </w:trPr>
        <w:tc>
          <w:tcPr>
            <w:tcW w:w="1800" w:type="dxa"/>
            <w:vAlign w:val="bottom"/>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ind w:left="80"/>
              <w:spacing w:after="0" w:line="124" w:lineRule="exact"/>
              <w:rPr>
                <w:sz w:val="20"/>
                <w:szCs w:val="20"/>
                <w:color w:val="auto"/>
              </w:rPr>
            </w:pPr>
            <w:r>
              <w:rPr>
                <w:rFonts w:ascii="Arial" w:cs="Arial" w:eastAsia="Arial" w:hAnsi="Arial"/>
                <w:sz w:val="11"/>
                <w:szCs w:val="11"/>
                <w:color w:val="auto"/>
              </w:rPr>
              <w:t>Med Expense</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$25,000</w:t>
            </w: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4"/>
        </w:trPr>
        <w:tc>
          <w:tcPr>
            <w:tcW w:w="1800" w:type="dxa"/>
            <w:vAlign w:val="bottom"/>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ind w:left="80"/>
              <w:spacing w:after="0" w:line="124" w:lineRule="exact"/>
              <w:rPr>
                <w:sz w:val="20"/>
                <w:szCs w:val="20"/>
                <w:color w:val="auto"/>
              </w:rPr>
            </w:pPr>
            <w:r>
              <w:rPr>
                <w:rFonts w:ascii="Arial" w:cs="Arial" w:eastAsia="Arial" w:hAnsi="Arial"/>
                <w:sz w:val="11"/>
                <w:szCs w:val="11"/>
                <w:color w:val="auto"/>
              </w:rPr>
              <w:t>Employee Benefits Coverage</w:t>
            </w:r>
          </w:p>
        </w:tc>
        <w:tc>
          <w:tcPr>
            <w:tcW w:w="1340" w:type="dxa"/>
            <w:vAlign w:val="bottom"/>
            <w:tcBorders>
              <w:bottom w:val="single" w:sz="8" w:color="auto"/>
              <w:right w:val="single" w:sz="8" w:color="auto"/>
            </w:tcBorders>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4"/>
        </w:trPr>
        <w:tc>
          <w:tcPr>
            <w:tcW w:w="1800" w:type="dxa"/>
            <w:vAlign w:val="bottom"/>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ind w:left="180"/>
              <w:spacing w:after="0" w:line="124" w:lineRule="exact"/>
              <w:rPr>
                <w:sz w:val="20"/>
                <w:szCs w:val="20"/>
                <w:color w:val="auto"/>
              </w:rPr>
            </w:pPr>
            <w:r>
              <w:rPr>
                <w:rFonts w:ascii="Arial" w:cs="Arial" w:eastAsia="Arial" w:hAnsi="Arial"/>
                <w:sz w:val="11"/>
                <w:szCs w:val="11"/>
                <w:color w:val="auto"/>
              </w:rPr>
              <w:t>Employee Benefits Each Claim</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$1,000,000</w:t>
            </w: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4"/>
        </w:trPr>
        <w:tc>
          <w:tcPr>
            <w:tcW w:w="1800" w:type="dxa"/>
            <w:vAlign w:val="bottom"/>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ind w:left="180"/>
              <w:spacing w:after="0" w:line="124" w:lineRule="exact"/>
              <w:rPr>
                <w:sz w:val="20"/>
                <w:szCs w:val="20"/>
                <w:color w:val="auto"/>
              </w:rPr>
            </w:pPr>
            <w:r>
              <w:rPr>
                <w:rFonts w:ascii="Arial" w:cs="Arial" w:eastAsia="Arial" w:hAnsi="Arial"/>
                <w:sz w:val="11"/>
                <w:szCs w:val="11"/>
                <w:color w:val="auto"/>
              </w:rPr>
              <w:t>Employee Benefits Aggregate</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$1,000,000</w:t>
            </w: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4"/>
        </w:trPr>
        <w:tc>
          <w:tcPr>
            <w:tcW w:w="1800" w:type="dxa"/>
            <w:vAlign w:val="bottom"/>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Accidental Death &amp; Dismemberment</w:t>
            </w:r>
          </w:p>
        </w:tc>
        <w:tc>
          <w:tcPr>
            <w:tcW w:w="1340" w:type="dxa"/>
            <w:vAlign w:val="bottom"/>
            <w:tcBorders>
              <w:bottom w:val="single" w:sz="8" w:color="auto"/>
              <w:right w:val="single" w:sz="8" w:color="auto"/>
            </w:tcBorders>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4"/>
        </w:trPr>
        <w:tc>
          <w:tcPr>
            <w:tcW w:w="1800" w:type="dxa"/>
            <w:vAlign w:val="bottom"/>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ind w:left="80"/>
              <w:spacing w:after="0" w:line="124" w:lineRule="exact"/>
              <w:rPr>
                <w:sz w:val="20"/>
                <w:szCs w:val="20"/>
                <w:color w:val="auto"/>
              </w:rPr>
            </w:pPr>
            <w:r>
              <w:rPr>
                <w:rFonts w:ascii="Arial" w:cs="Arial" w:eastAsia="Arial" w:hAnsi="Arial"/>
                <w:sz w:val="11"/>
                <w:szCs w:val="11"/>
                <w:color w:val="auto"/>
              </w:rPr>
              <w:t>Principal Sum (per covered person)</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$50,000</w:t>
            </w: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4"/>
        </w:trPr>
        <w:tc>
          <w:tcPr>
            <w:tcW w:w="1800" w:type="dxa"/>
            <w:vAlign w:val="bottom"/>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ind w:left="80"/>
              <w:spacing w:after="0" w:line="124" w:lineRule="exact"/>
              <w:rPr>
                <w:sz w:val="20"/>
                <w:szCs w:val="20"/>
                <w:color w:val="auto"/>
              </w:rPr>
            </w:pPr>
            <w:r>
              <w:rPr>
                <w:rFonts w:ascii="Arial" w:cs="Arial" w:eastAsia="Arial" w:hAnsi="Arial"/>
                <w:sz w:val="11"/>
                <w:szCs w:val="11"/>
                <w:color w:val="auto"/>
              </w:rPr>
              <w:t>Accident Aggregate (per Occurrence)</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$500,000</w:t>
            </w: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4"/>
        </w:trPr>
        <w:tc>
          <w:tcPr>
            <w:tcW w:w="1800" w:type="dxa"/>
            <w:vAlign w:val="bottom"/>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Auto:</w:t>
            </w:r>
          </w:p>
        </w:tc>
        <w:tc>
          <w:tcPr>
            <w:tcW w:w="1340" w:type="dxa"/>
            <w:vAlign w:val="bottom"/>
            <w:tcBorders>
              <w:bottom w:val="single" w:sz="8" w:color="auto"/>
              <w:right w:val="single" w:sz="8" w:color="auto"/>
            </w:tcBorders>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4"/>
        </w:trPr>
        <w:tc>
          <w:tcPr>
            <w:tcW w:w="1800" w:type="dxa"/>
            <w:vAlign w:val="bottom"/>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ind w:left="80"/>
              <w:spacing w:after="0" w:line="124" w:lineRule="exact"/>
              <w:rPr>
                <w:sz w:val="20"/>
                <w:szCs w:val="20"/>
                <w:color w:val="auto"/>
              </w:rPr>
            </w:pPr>
            <w:r>
              <w:rPr>
                <w:rFonts w:ascii="Arial" w:cs="Arial" w:eastAsia="Arial" w:hAnsi="Arial"/>
                <w:sz w:val="11"/>
                <w:szCs w:val="11"/>
                <w:color w:val="auto"/>
              </w:rPr>
              <w:t>Combined Single Liability Limit - Any One Accident</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$1,000,000</w:t>
            </w: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4"/>
        </w:trPr>
        <w:tc>
          <w:tcPr>
            <w:tcW w:w="1800" w:type="dxa"/>
            <w:vAlign w:val="bottom"/>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ind w:left="80"/>
              <w:spacing w:after="0" w:line="124" w:lineRule="exact"/>
              <w:rPr>
                <w:sz w:val="20"/>
                <w:szCs w:val="20"/>
                <w:color w:val="auto"/>
              </w:rPr>
            </w:pPr>
            <w:r>
              <w:rPr>
                <w:rFonts w:ascii="Arial" w:cs="Arial" w:eastAsia="Arial" w:hAnsi="Arial"/>
                <w:sz w:val="11"/>
                <w:szCs w:val="11"/>
                <w:color w:val="auto"/>
              </w:rPr>
              <w:t>Hired Auto PD Any One Accident</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$50,000</w:t>
            </w: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4"/>
        </w:trPr>
        <w:tc>
          <w:tcPr>
            <w:tcW w:w="1800" w:type="dxa"/>
            <w:vAlign w:val="bottom"/>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ind w:left="80"/>
              <w:spacing w:after="0" w:line="124" w:lineRule="exact"/>
              <w:rPr>
                <w:sz w:val="20"/>
                <w:szCs w:val="20"/>
                <w:color w:val="auto"/>
              </w:rPr>
            </w:pPr>
            <w:r>
              <w:rPr>
                <w:rFonts w:ascii="Arial" w:cs="Arial" w:eastAsia="Arial" w:hAnsi="Arial"/>
                <w:sz w:val="11"/>
                <w:szCs w:val="11"/>
                <w:color w:val="auto"/>
              </w:rPr>
              <w:t>Hired Auto PD Any One Policy Period</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$50,000</w:t>
            </w: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4"/>
        </w:trPr>
        <w:tc>
          <w:tcPr>
            <w:tcW w:w="1800" w:type="dxa"/>
            <w:vAlign w:val="bottom"/>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ind w:left="80"/>
              <w:spacing w:after="0" w:line="124" w:lineRule="exact"/>
              <w:rPr>
                <w:sz w:val="20"/>
                <w:szCs w:val="20"/>
                <w:color w:val="auto"/>
              </w:rPr>
            </w:pPr>
            <w:r>
              <w:rPr>
                <w:rFonts w:ascii="Arial" w:cs="Arial" w:eastAsia="Arial" w:hAnsi="Arial"/>
                <w:sz w:val="11"/>
                <w:szCs w:val="11"/>
                <w:color w:val="auto"/>
              </w:rPr>
              <w:t>Medical Payments</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$50,000</w:t>
            </w: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4"/>
        </w:trPr>
        <w:tc>
          <w:tcPr>
            <w:tcW w:w="1800" w:type="dxa"/>
            <w:vAlign w:val="bottom"/>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Foreign Voluntary Compensation</w:t>
            </w:r>
          </w:p>
        </w:tc>
        <w:tc>
          <w:tcPr>
            <w:tcW w:w="1340" w:type="dxa"/>
            <w:vAlign w:val="bottom"/>
            <w:tcBorders>
              <w:bottom w:val="single" w:sz="8" w:color="auto"/>
              <w:right w:val="single" w:sz="8" w:color="auto"/>
            </w:tcBorders>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9"/>
        </w:trPr>
        <w:tc>
          <w:tcPr>
            <w:tcW w:w="1800" w:type="dxa"/>
            <w:vAlign w:val="bottom"/>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right w:val="single" w:sz="8" w:color="auto"/>
            </w:tcBorders>
          </w:tcPr>
          <w:p>
            <w:pPr>
              <w:ind w:left="80"/>
              <w:spacing w:after="0" w:line="119" w:lineRule="exact"/>
              <w:rPr>
                <w:sz w:val="20"/>
                <w:szCs w:val="20"/>
                <w:color w:val="auto"/>
              </w:rPr>
            </w:pPr>
            <w:r>
              <w:rPr>
                <w:rFonts w:ascii="Arial" w:cs="Arial" w:eastAsia="Arial" w:hAnsi="Arial"/>
                <w:sz w:val="11"/>
                <w:szCs w:val="11"/>
                <w:color w:val="auto"/>
                <w:w w:val="99"/>
              </w:rPr>
              <w:t>North Americans: State of Hire; 3rd Country Nationals: Country of Origin; Local</w:t>
            </w:r>
          </w:p>
        </w:tc>
        <w:tc>
          <w:tcPr>
            <w:tcW w:w="1340" w:type="dxa"/>
            <w:vAlign w:val="bottom"/>
            <w:tcBorders>
              <w:right w:val="single" w:sz="8" w:color="auto"/>
            </w:tcBorders>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6"/>
        </w:trPr>
        <w:tc>
          <w:tcPr>
            <w:tcW w:w="1800" w:type="dxa"/>
            <w:vAlign w:val="bottom"/>
          </w:tcPr>
          <w:p>
            <w:pPr>
              <w:spacing w:after="0"/>
              <w:rPr>
                <w:sz w:val="11"/>
                <w:szCs w:val="11"/>
                <w:color w:val="auto"/>
              </w:rPr>
            </w:pPr>
          </w:p>
        </w:tc>
        <w:tc>
          <w:tcPr>
            <w:tcW w:w="1500" w:type="dxa"/>
            <w:vAlign w:val="bottom"/>
            <w:tcBorders>
              <w:right w:val="single" w:sz="8" w:color="auto"/>
            </w:tcBorders>
          </w:tcPr>
          <w:p>
            <w:pPr>
              <w:spacing w:after="0"/>
              <w:rPr>
                <w:sz w:val="11"/>
                <w:szCs w:val="11"/>
                <w:color w:val="auto"/>
              </w:rPr>
            </w:pPr>
          </w:p>
        </w:tc>
        <w:tc>
          <w:tcPr>
            <w:tcW w:w="17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3940" w:type="dxa"/>
            <w:vAlign w:val="bottom"/>
            <w:tcBorders>
              <w:right w:val="single" w:sz="8" w:color="auto"/>
            </w:tcBorders>
          </w:tcPr>
          <w:p>
            <w:pPr>
              <w:ind w:left="80"/>
              <w:spacing w:after="0"/>
              <w:rPr>
                <w:sz w:val="20"/>
                <w:szCs w:val="20"/>
                <w:color w:val="auto"/>
              </w:rPr>
            </w:pPr>
            <w:r>
              <w:rPr>
                <w:rFonts w:ascii="Arial" w:cs="Arial" w:eastAsia="Arial" w:hAnsi="Arial"/>
                <w:sz w:val="11"/>
                <w:szCs w:val="11"/>
                <w:color w:val="auto"/>
              </w:rPr>
              <w:t>Nationals: EL Only</w:t>
            </w:r>
          </w:p>
        </w:tc>
        <w:tc>
          <w:tcPr>
            <w:tcW w:w="1340" w:type="dxa"/>
            <w:vAlign w:val="bottom"/>
            <w:tcBorders>
              <w:right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6"/>
        </w:trPr>
        <w:tc>
          <w:tcPr>
            <w:tcW w:w="1800" w:type="dxa"/>
            <w:vAlign w:val="bottom"/>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24"/>
        </w:trPr>
        <w:tc>
          <w:tcPr>
            <w:tcW w:w="1800" w:type="dxa"/>
            <w:vAlign w:val="bottom"/>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ind w:left="80"/>
              <w:spacing w:after="0" w:line="124" w:lineRule="exact"/>
              <w:rPr>
                <w:sz w:val="20"/>
                <w:szCs w:val="20"/>
                <w:color w:val="auto"/>
              </w:rPr>
            </w:pPr>
            <w:r>
              <w:rPr>
                <w:rFonts w:ascii="Arial" w:cs="Arial" w:eastAsia="Arial" w:hAnsi="Arial"/>
                <w:sz w:val="11"/>
                <w:szCs w:val="11"/>
                <w:color w:val="auto"/>
              </w:rPr>
              <w:t>BI by Accident each Accident</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$1,000,000</w:t>
            </w: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4"/>
        </w:trPr>
        <w:tc>
          <w:tcPr>
            <w:tcW w:w="1800" w:type="dxa"/>
            <w:vAlign w:val="bottom"/>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ind w:left="80"/>
              <w:spacing w:after="0" w:line="124" w:lineRule="exact"/>
              <w:rPr>
                <w:sz w:val="20"/>
                <w:szCs w:val="20"/>
                <w:color w:val="auto"/>
              </w:rPr>
            </w:pPr>
            <w:r>
              <w:rPr>
                <w:rFonts w:ascii="Arial" w:cs="Arial" w:eastAsia="Arial" w:hAnsi="Arial"/>
                <w:sz w:val="11"/>
                <w:szCs w:val="11"/>
                <w:color w:val="auto"/>
              </w:rPr>
              <w:t>BI by Disease each Employee</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$1,000,000</w:t>
            </w: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4"/>
        </w:trPr>
        <w:tc>
          <w:tcPr>
            <w:tcW w:w="1800" w:type="dxa"/>
            <w:vAlign w:val="bottom"/>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ind w:left="80"/>
              <w:spacing w:after="0" w:line="124" w:lineRule="exact"/>
              <w:rPr>
                <w:sz w:val="20"/>
                <w:szCs w:val="20"/>
                <w:color w:val="auto"/>
              </w:rPr>
            </w:pPr>
            <w:r>
              <w:rPr>
                <w:rFonts w:ascii="Arial" w:cs="Arial" w:eastAsia="Arial" w:hAnsi="Arial"/>
                <w:sz w:val="11"/>
                <w:szCs w:val="11"/>
                <w:color w:val="auto"/>
              </w:rPr>
              <w:t>BI by Disease Policy Limit</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$1,000,000</w:t>
            </w: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4"/>
        </w:trPr>
        <w:tc>
          <w:tcPr>
            <w:tcW w:w="1800" w:type="dxa"/>
            <w:vAlign w:val="bottom"/>
          </w:tcPr>
          <w:p>
            <w:pPr>
              <w:spacing w:after="0"/>
              <w:rPr>
                <w:sz w:val="10"/>
                <w:szCs w:val="10"/>
                <w:color w:val="auto"/>
              </w:rPr>
            </w:pPr>
          </w:p>
        </w:tc>
        <w:tc>
          <w:tcPr>
            <w:tcW w:w="150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ind w:left="80"/>
              <w:spacing w:after="0" w:line="124" w:lineRule="exact"/>
              <w:rPr>
                <w:sz w:val="20"/>
                <w:szCs w:val="20"/>
                <w:color w:val="auto"/>
              </w:rPr>
            </w:pPr>
            <w:r>
              <w:rPr>
                <w:rFonts w:ascii="Arial" w:cs="Arial" w:eastAsia="Arial" w:hAnsi="Arial"/>
                <w:sz w:val="11"/>
                <w:szCs w:val="11"/>
                <w:color w:val="auto"/>
              </w:rPr>
              <w:t>Medical Assistance Services</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$1,000,000</w:t>
            </w:r>
          </w:p>
        </w:tc>
        <w:tc>
          <w:tcPr>
            <w:tcW w:w="9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124"/>
        </w:trPr>
        <w:tc>
          <w:tcPr>
            <w:tcW w:w="1800" w:type="dxa"/>
            <w:vAlign w:val="bottom"/>
          </w:tcPr>
          <w:p>
            <w:pPr>
              <w:spacing w:after="0"/>
              <w:rPr>
                <w:sz w:val="10"/>
                <w:szCs w:val="10"/>
                <w:color w:val="auto"/>
              </w:rPr>
            </w:pPr>
          </w:p>
        </w:tc>
        <w:tc>
          <w:tcPr>
            <w:tcW w:w="3280" w:type="dxa"/>
            <w:vAlign w:val="bottom"/>
            <w:tcBorders>
              <w:bottom w:val="single" w:sz="8" w:color="auto"/>
            </w:tcBorders>
            <w:gridSpan w:val="2"/>
          </w:tcPr>
          <w:p>
            <w:pPr>
              <w:jc w:val="right"/>
              <w:ind w:right="303"/>
              <w:spacing w:after="0" w:line="124" w:lineRule="exact"/>
              <w:rPr>
                <w:sz w:val="20"/>
                <w:szCs w:val="20"/>
                <w:color w:val="auto"/>
              </w:rPr>
            </w:pPr>
            <w:r>
              <w:rPr>
                <w:rFonts w:ascii="Arial" w:cs="Arial" w:eastAsia="Arial" w:hAnsi="Arial"/>
                <w:sz w:val="11"/>
                <w:szCs w:val="11"/>
                <w:b w:val="1"/>
                <w:bCs w:val="1"/>
                <w:color w:val="auto"/>
                <w:w w:val="89"/>
              </w:rPr>
              <w:t>Total International Premium Excluding Locally Issued Policies</w:t>
            </w:r>
          </w:p>
        </w:tc>
        <w:tc>
          <w:tcPr>
            <w:tcW w:w="120" w:type="dxa"/>
            <w:vAlign w:val="bottom"/>
            <w:tcBorders>
              <w:bottom w:val="single" w:sz="8" w:color="auto"/>
            </w:tcBorders>
          </w:tcPr>
          <w:p>
            <w:pPr>
              <w:spacing w:after="0"/>
              <w:rPr>
                <w:sz w:val="10"/>
                <w:szCs w:val="10"/>
                <w:color w:val="auto"/>
              </w:rPr>
            </w:pPr>
          </w:p>
        </w:tc>
        <w:tc>
          <w:tcPr>
            <w:tcW w:w="3940" w:type="dxa"/>
            <w:vAlign w:val="bottom"/>
            <w:tcBorders>
              <w:bottom w:val="single" w:sz="8" w:color="auto"/>
            </w:tcBorders>
          </w:tcPr>
          <w:p>
            <w:pPr>
              <w:spacing w:after="0"/>
              <w:rPr>
                <w:sz w:val="10"/>
                <w:szCs w:val="10"/>
                <w:color w:val="auto"/>
              </w:rPr>
            </w:pPr>
          </w:p>
        </w:tc>
        <w:tc>
          <w:tcPr>
            <w:tcW w:w="1340" w:type="dxa"/>
            <w:vAlign w:val="bottom"/>
            <w:tcBorders>
              <w:bottom w:val="single" w:sz="8" w:color="auto"/>
              <w:right w:val="single" w:sz="8" w:color="auto"/>
            </w:tcBorders>
          </w:tcPr>
          <w:p>
            <w:pPr>
              <w:spacing w:after="0"/>
              <w:rPr>
                <w:sz w:val="10"/>
                <w:szCs w:val="10"/>
                <w:color w:val="auto"/>
              </w:rPr>
            </w:pPr>
          </w:p>
        </w:tc>
        <w:tc>
          <w:tcPr>
            <w:tcW w:w="980" w:type="dxa"/>
            <w:vAlign w:val="bottom"/>
            <w:tcBorders>
              <w:bottom w:val="single" w:sz="8" w:color="auto"/>
            </w:tcBorders>
          </w:tcPr>
          <w:p>
            <w:pPr>
              <w:jc w:val="right"/>
              <w:ind w:right="326"/>
              <w:spacing w:after="0" w:line="124"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1"/>
                <w:szCs w:val="11"/>
                <w:color w:val="auto"/>
              </w:rPr>
              <w:t>***</w:t>
            </w:r>
          </w:p>
        </w:tc>
        <w:tc>
          <w:tcPr>
            <w:tcW w:w="2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-2481580</wp:posOffset>
            </wp:positionV>
            <wp:extent cx="7292340" cy="25736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2340" cy="2573655"/>
                    </a:xfrm>
                    <a:prstGeom prst="rect">
                      <a:avLst/>
                    </a:prstGeom>
                    <a:noFill/>
                  </pic:spPr>
                </pic:pic>
              </a:graphicData>
            </a:graphic>
          </wp:anchor>
        </w:drawing>
      </w:r>
    </w:p>
    <w:p>
      <w:pPr>
        <w:ind w:left="1988" w:hanging="73"/>
        <w:spacing w:after="0"/>
        <w:tabs>
          <w:tab w:leader="none" w:pos="1988" w:val="left"/>
        </w:tabs>
        <w:numPr>
          <w:ilvl w:val="0"/>
          <w:numId w:val="192"/>
        </w:numPr>
        <w:rPr>
          <w:rFonts w:ascii="Arial" w:cs="Arial" w:eastAsia="Arial" w:hAnsi="Arial"/>
          <w:sz w:val="11"/>
          <w:szCs w:val="11"/>
          <w:b w:val="1"/>
          <w:bCs w:val="1"/>
          <w:color w:val="auto"/>
        </w:rPr>
      </w:pPr>
      <w:r>
        <w:rPr>
          <w:rFonts w:ascii="Arial" w:cs="Arial" w:eastAsia="Arial" w:hAnsi="Arial"/>
          <w:sz w:val="11"/>
          <w:szCs w:val="11"/>
          <w:color w:val="auto"/>
        </w:rPr>
        <w:t>Please note that Admitted Policy taxes are subject to change based on local laws and regulations</w:t>
      </w:r>
    </w:p>
    <w:p>
      <w:pPr>
        <w:spacing w:after="0" w:line="200" w:lineRule="exact"/>
        <w:rPr>
          <w:sz w:val="20"/>
          <w:szCs w:val="20"/>
          <w:color w:val="auto"/>
        </w:rPr>
      </w:pPr>
    </w:p>
    <w:p>
      <w:pPr>
        <w:spacing w:after="0" w:line="221" w:lineRule="exact"/>
        <w:rPr>
          <w:sz w:val="20"/>
          <w:szCs w:val="20"/>
          <w:color w:val="auto"/>
        </w:rPr>
      </w:pPr>
    </w:p>
    <w:p>
      <w:pPr>
        <w:ind w:left="8"/>
        <w:spacing w:after="0"/>
        <w:rPr>
          <w:sz w:val="20"/>
          <w:szCs w:val="20"/>
          <w:color w:val="auto"/>
        </w:rPr>
      </w:pPr>
      <w:r>
        <w:rPr>
          <w:rFonts w:ascii="Arial" w:cs="Arial" w:eastAsia="Arial" w:hAnsi="Arial"/>
          <w:sz w:val="10"/>
          <w:szCs w:val="10"/>
          <w:color w:val="auto"/>
        </w:rPr>
        <w:t>Note 1: This Document is intended as a guide only, please consult your policy for a complete listings of all applicable terms, conditions, and limits.</w:t>
      </w:r>
    </w:p>
    <w:p>
      <w:pPr>
        <w:sectPr>
          <w:pgSz w:w="11900" w:h="16838" w:orient="portrait"/>
          <w:cols w:equalWidth="0" w:num="1">
            <w:col w:w="11488"/>
          </w:cols>
          <w:pgMar w:left="212" w:top="127" w:right="199" w:bottom="1440" w:gutter="0" w:footer="0" w:header="0"/>
        </w:sectPr>
      </w:pPr>
    </w:p>
    <w:p>
      <w:pPr>
        <w:spacing w:after="0" w:line="29" w:lineRule="exact"/>
        <w:rPr>
          <w:sz w:val="20"/>
          <w:szCs w:val="20"/>
          <w:color w:val="auto"/>
        </w:rPr>
      </w:pPr>
    </w:p>
    <w:p>
      <w:pPr>
        <w:ind w:left="8"/>
        <w:spacing w:after="0"/>
        <w:rPr>
          <w:sz w:val="20"/>
          <w:szCs w:val="20"/>
          <w:color w:val="auto"/>
        </w:rPr>
      </w:pPr>
      <w:r>
        <w:rPr>
          <w:rFonts w:ascii="Arial" w:cs="Arial" w:eastAsia="Arial" w:hAnsi="Arial"/>
          <w:sz w:val="10"/>
          <w:szCs w:val="10"/>
          <w:color w:val="auto"/>
        </w:rPr>
        <w:t>Note 2: All premiums are in US Dollars.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0"/>
          <w:szCs w:val="10"/>
          <w:color w:val="auto"/>
        </w:rPr>
        <w:t>Page</w:t>
      </w:r>
    </w:p>
    <w:p>
      <w:pPr>
        <w:spacing w:after="0" w:line="225" w:lineRule="auto"/>
        <w:rPr>
          <w:sz w:val="20"/>
          <w:szCs w:val="20"/>
          <w:color w:val="auto"/>
        </w:rPr>
      </w:pPr>
      <w:r>
        <w:rPr>
          <w:rFonts w:ascii="Arial" w:cs="Arial" w:eastAsia="Arial" w:hAnsi="Arial"/>
          <w:sz w:val="10"/>
          <w:szCs w:val="10"/>
          <w:color w:val="auto"/>
        </w:rPr>
        <w:t>4 of</w:t>
      </w:r>
    </w:p>
    <w:p>
      <w:pPr>
        <w:spacing w:after="0"/>
        <w:rPr>
          <w:sz w:val="20"/>
          <w:szCs w:val="20"/>
          <w:color w:val="auto"/>
        </w:rPr>
      </w:pPr>
      <w:r>
        <w:rPr>
          <w:rFonts w:ascii="Arial" w:cs="Arial" w:eastAsia="Arial" w:hAnsi="Arial"/>
          <w:sz w:val="10"/>
          <w:szCs w:val="10"/>
          <w:color w:val="auto"/>
        </w:rPr>
        <w:t>8</w:t>
      </w:r>
    </w:p>
    <w:p>
      <w:pPr>
        <w:spacing w:after="0" w:line="7" w:lineRule="exact"/>
        <w:rPr>
          <w:sz w:val="20"/>
          <w:szCs w:val="20"/>
          <w:color w:val="auto"/>
        </w:rPr>
      </w:pPr>
    </w:p>
    <w:p>
      <w:pPr>
        <w:sectPr>
          <w:pgSz w:w="11900" w:h="16838" w:orient="portrait"/>
          <w:cols w:equalWidth="0" w:num="2">
            <w:col w:w="10528" w:space="720"/>
            <w:col w:w="240"/>
          </w:cols>
          <w:pgMar w:left="212" w:top="127" w:right="199" w:bottom="1440" w:gutter="0" w:footer="0" w:header="0"/>
          <w:type w:val="continuous"/>
        </w:sectPr>
      </w:pPr>
    </w:p>
    <w:p>
      <w:pPr>
        <w:ind w:left="388" w:hanging="388"/>
        <w:spacing w:after="0"/>
        <w:tabs>
          <w:tab w:leader="none" w:pos="388" w:val="left"/>
        </w:tabs>
        <w:numPr>
          <w:ilvl w:val="0"/>
          <w:numId w:val="193"/>
        </w:numPr>
        <w:rPr>
          <w:rFonts w:ascii="Arial" w:cs="Arial" w:eastAsia="Arial" w:hAnsi="Arial"/>
          <w:sz w:val="9"/>
          <w:szCs w:val="9"/>
          <w:b w:val="1"/>
          <w:bCs w:val="1"/>
          <w:color w:val="auto"/>
        </w:rPr>
      </w:pPr>
      <w:r>
        <w:rPr>
          <w:rFonts w:ascii="Arial" w:cs="Arial" w:eastAsia="Arial" w:hAnsi="Arial"/>
          <w:sz w:val="8"/>
          <w:szCs w:val="8"/>
          <w:b w:val="1"/>
          <w:bCs w:val="1"/>
          <w:color w:val="auto"/>
        </w:rPr>
        <w:t>Represents text omitted pursuant to a request for confidential treatment. The omitted material has been filed separately with the Securities and Exchange Commission</w:t>
      </w:r>
      <w:r>
        <w:rPr>
          <w:rFonts w:ascii="Arial" w:cs="Arial" w:eastAsia="Arial" w:hAnsi="Arial"/>
          <w:sz w:val="10"/>
          <w:szCs w:val="1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272415</wp:posOffset>
            </wp:positionV>
            <wp:extent cx="7329170" cy="368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127" w:right="199" w:bottom="1440" w:gutter="0" w:footer="0" w:header="0"/>
          <w:type w:val="continuous"/>
        </w:sectPr>
      </w:pPr>
    </w:p>
    <w:bookmarkStart w:id="172" w:name="page173"/>
    <w:bookmarkEnd w:id="172"/>
    <w:tbl>
      <w:tblPr>
        <w:tblLayout w:type="fixed"/>
        <w:tblInd w:w="18" w:type="dxa"/>
        <w:tblCellMar>
          <w:top w:w="0" w:type="dxa"/>
          <w:left w:w="0" w:type="dxa"/>
          <w:bottom w:w="0" w:type="dxa"/>
          <w:right w:w="0" w:type="dxa"/>
        </w:tblCellMar>
      </w:tblPr>
      <w:tr>
        <w:trPr>
          <w:trHeight w:val="157"/>
        </w:trPr>
        <w:tc>
          <w:tcPr>
            <w:tcW w:w="2360" w:type="dxa"/>
            <w:vAlign w:val="bottom"/>
            <w:gridSpan w:val="2"/>
          </w:tcPr>
          <w:p>
            <w:pPr>
              <w:spacing w:after="0"/>
              <w:rPr>
                <w:sz w:val="20"/>
                <w:szCs w:val="20"/>
                <w:color w:val="auto"/>
              </w:rPr>
            </w:pPr>
            <w:r>
              <w:rPr>
                <w:rFonts w:ascii="Arial" w:cs="Arial" w:eastAsia="Arial" w:hAnsi="Arial"/>
                <w:sz w:val="12"/>
                <w:szCs w:val="12"/>
                <w:b w:val="1"/>
                <w:bCs w:val="1"/>
                <w:color w:val="auto"/>
              </w:rPr>
              <w:t>Schedule 5.10 Insurance</w:t>
            </w:r>
          </w:p>
        </w:tc>
        <w:tc>
          <w:tcPr>
            <w:tcW w:w="9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44"/>
        </w:trPr>
        <w:tc>
          <w:tcPr>
            <w:tcW w:w="18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33"/>
        </w:trPr>
        <w:tc>
          <w:tcPr>
            <w:tcW w:w="2360" w:type="dxa"/>
            <w:vAlign w:val="bottom"/>
            <w:tcBorders>
              <w:left w:val="single" w:sz="8" w:color="auto"/>
              <w:bottom w:val="single" w:sz="8" w:color="auto"/>
            </w:tcBorders>
            <w:gridSpan w:val="2"/>
            <w:shd w:val="clear" w:color="auto" w:fill="BEBEBE"/>
          </w:tcPr>
          <w:p>
            <w:pPr>
              <w:ind w:left="80"/>
              <w:spacing w:after="0" w:line="133" w:lineRule="exact"/>
              <w:rPr>
                <w:sz w:val="20"/>
                <w:szCs w:val="20"/>
                <w:color w:val="auto"/>
              </w:rPr>
            </w:pPr>
            <w:r>
              <w:rPr>
                <w:rFonts w:ascii="Arial" w:cs="Arial" w:eastAsia="Arial" w:hAnsi="Arial"/>
                <w:sz w:val="12"/>
                <w:szCs w:val="12"/>
                <w:b w:val="1"/>
                <w:bCs w:val="1"/>
                <w:color w:val="auto"/>
              </w:rPr>
              <w:t>Coverage/Limits as of:</w:t>
            </w:r>
          </w:p>
        </w:tc>
        <w:tc>
          <w:tcPr>
            <w:tcW w:w="940" w:type="dxa"/>
            <w:vAlign w:val="bottom"/>
            <w:tcBorders>
              <w:bottom w:val="single" w:sz="8" w:color="auto"/>
              <w:right w:val="single" w:sz="8" w:color="auto"/>
            </w:tcBorders>
            <w:shd w:val="clear" w:color="auto" w:fill="BEBEBE"/>
          </w:tcPr>
          <w:p>
            <w:pPr>
              <w:spacing w:after="0"/>
              <w:rPr>
                <w:sz w:val="11"/>
                <w:szCs w:val="11"/>
                <w:color w:val="auto"/>
              </w:rPr>
            </w:pPr>
          </w:p>
        </w:tc>
        <w:tc>
          <w:tcPr>
            <w:tcW w:w="1780" w:type="dxa"/>
            <w:vAlign w:val="bottom"/>
            <w:tcBorders>
              <w:bottom w:val="single" w:sz="8" w:color="auto"/>
              <w:right w:val="single" w:sz="8" w:color="auto"/>
            </w:tcBorders>
            <w:shd w:val="clear" w:color="auto" w:fill="BEBEBE"/>
          </w:tcPr>
          <w:p>
            <w:pPr>
              <w:jc w:val="right"/>
              <w:ind w:right="1065"/>
              <w:spacing w:after="0" w:line="133" w:lineRule="exact"/>
              <w:rPr>
                <w:sz w:val="20"/>
                <w:szCs w:val="20"/>
                <w:color w:val="auto"/>
              </w:rPr>
            </w:pPr>
            <w:r>
              <w:rPr>
                <w:rFonts w:ascii="Arial" w:cs="Arial" w:eastAsia="Arial" w:hAnsi="Arial"/>
                <w:sz w:val="12"/>
                <w:szCs w:val="12"/>
                <w:b w:val="1"/>
                <w:bCs w:val="1"/>
                <w:color w:val="auto"/>
                <w:w w:val="94"/>
              </w:rPr>
              <w:t>July 1, 2017</w:t>
            </w:r>
          </w:p>
        </w:tc>
        <w:tc>
          <w:tcPr>
            <w:tcW w:w="1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277"/>
        </w:trPr>
        <w:tc>
          <w:tcPr>
            <w:tcW w:w="18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24"/>
        </w:trPr>
        <w:tc>
          <w:tcPr>
            <w:tcW w:w="2360" w:type="dxa"/>
            <w:vAlign w:val="bottom"/>
            <w:tcBorders>
              <w:left w:val="single" w:sz="8" w:color="auto"/>
              <w:bottom w:val="single" w:sz="8" w:color="auto"/>
            </w:tcBorders>
            <w:gridSpan w:val="2"/>
            <w:shd w:val="clear" w:color="auto" w:fill="BFBFBF"/>
          </w:tcPr>
          <w:p>
            <w:pPr>
              <w:ind w:left="20"/>
              <w:spacing w:after="0" w:line="124" w:lineRule="exact"/>
              <w:rPr>
                <w:sz w:val="20"/>
                <w:szCs w:val="20"/>
                <w:color w:val="auto"/>
              </w:rPr>
            </w:pPr>
            <w:r>
              <w:rPr>
                <w:rFonts w:ascii="Arial" w:cs="Arial" w:eastAsia="Arial" w:hAnsi="Arial"/>
                <w:sz w:val="11"/>
                <w:szCs w:val="11"/>
                <w:b w:val="1"/>
                <w:bCs w:val="1"/>
                <w:color w:val="auto"/>
              </w:rPr>
              <w:t>Umbrella Liability</w:t>
            </w:r>
          </w:p>
        </w:tc>
        <w:tc>
          <w:tcPr>
            <w:tcW w:w="940" w:type="dxa"/>
            <w:vAlign w:val="bottom"/>
            <w:tcBorders>
              <w:bottom w:val="single" w:sz="8" w:color="auto"/>
              <w:right w:val="single" w:sz="8" w:color="BFBFBF"/>
            </w:tcBorders>
            <w:shd w:val="clear" w:color="auto" w:fill="BFBFBF"/>
          </w:tcPr>
          <w:p>
            <w:pPr>
              <w:spacing w:after="0"/>
              <w:rPr>
                <w:sz w:val="10"/>
                <w:szCs w:val="10"/>
                <w:color w:val="auto"/>
              </w:rPr>
            </w:pPr>
          </w:p>
        </w:tc>
        <w:tc>
          <w:tcPr>
            <w:tcW w:w="1780" w:type="dxa"/>
            <w:vAlign w:val="bottom"/>
            <w:tcBorders>
              <w:bottom w:val="single" w:sz="8" w:color="auto"/>
              <w:right w:val="single" w:sz="8" w:color="BFBFBF"/>
            </w:tcBorders>
            <w:shd w:val="clear" w:color="auto" w:fill="BFBFBF"/>
          </w:tcPr>
          <w:p>
            <w:pPr>
              <w:spacing w:after="0"/>
              <w:rPr>
                <w:sz w:val="10"/>
                <w:szCs w:val="10"/>
                <w:color w:val="auto"/>
              </w:rPr>
            </w:pPr>
          </w:p>
        </w:tc>
        <w:tc>
          <w:tcPr>
            <w:tcW w:w="120" w:type="dxa"/>
            <w:vAlign w:val="bottom"/>
            <w:tcBorders>
              <w:bottom w:val="single" w:sz="8" w:color="auto"/>
              <w:right w:val="single" w:sz="8" w:color="BFBFBF"/>
            </w:tcBorders>
            <w:shd w:val="clear" w:color="auto" w:fill="BFBFBF"/>
          </w:tcPr>
          <w:p>
            <w:pPr>
              <w:spacing w:after="0"/>
              <w:rPr>
                <w:sz w:val="10"/>
                <w:szCs w:val="10"/>
                <w:color w:val="auto"/>
              </w:rPr>
            </w:pPr>
          </w:p>
        </w:tc>
        <w:tc>
          <w:tcPr>
            <w:tcW w:w="3940" w:type="dxa"/>
            <w:vAlign w:val="bottom"/>
            <w:tcBorders>
              <w:bottom w:val="single" w:sz="8" w:color="auto"/>
              <w:right w:val="single" w:sz="8" w:color="BFBFBF"/>
            </w:tcBorders>
            <w:shd w:val="clear" w:color="auto" w:fill="BFBFBF"/>
          </w:tcPr>
          <w:p>
            <w:pPr>
              <w:spacing w:after="0"/>
              <w:rPr>
                <w:sz w:val="10"/>
                <w:szCs w:val="10"/>
                <w:color w:val="auto"/>
              </w:rPr>
            </w:pPr>
          </w:p>
        </w:tc>
        <w:tc>
          <w:tcPr>
            <w:tcW w:w="1340" w:type="dxa"/>
            <w:vAlign w:val="bottom"/>
            <w:tcBorders>
              <w:bottom w:val="single" w:sz="8" w:color="auto"/>
              <w:right w:val="single" w:sz="8" w:color="BFBFBF"/>
            </w:tcBorders>
            <w:shd w:val="clear" w:color="auto" w:fill="BFBFBF"/>
          </w:tcPr>
          <w:p>
            <w:pPr>
              <w:spacing w:after="0"/>
              <w:rPr>
                <w:sz w:val="10"/>
                <w:szCs w:val="10"/>
                <w:color w:val="auto"/>
              </w:rPr>
            </w:pPr>
          </w:p>
        </w:tc>
        <w:tc>
          <w:tcPr>
            <w:tcW w:w="1000" w:type="dxa"/>
            <w:vAlign w:val="bottom"/>
            <w:tcBorders>
              <w:bottom w:val="single" w:sz="8" w:color="auto"/>
              <w:right w:val="single" w:sz="8" w:color="auto"/>
            </w:tcBorders>
            <w:shd w:val="clear" w:color="auto" w:fill="BFBFBF"/>
          </w:tcPr>
          <w:p>
            <w:pPr>
              <w:spacing w:after="0"/>
              <w:rPr>
                <w:sz w:val="10"/>
                <w:szCs w:val="10"/>
                <w:color w:val="auto"/>
              </w:rPr>
            </w:pPr>
          </w:p>
        </w:tc>
      </w:tr>
      <w:tr>
        <w:trPr>
          <w:trHeight w:val="124"/>
        </w:trPr>
        <w:tc>
          <w:tcPr>
            <w:tcW w:w="182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Continental Casualty Company</w:t>
            </w:r>
          </w:p>
        </w:tc>
        <w:tc>
          <w:tcPr>
            <w:tcW w:w="540" w:type="dxa"/>
            <w:vAlign w:val="bottom"/>
          </w:tcPr>
          <w:p>
            <w:pPr>
              <w:spacing w:after="0"/>
              <w:rPr>
                <w:sz w:val="10"/>
                <w:szCs w:val="10"/>
                <w:color w:val="auto"/>
              </w:rPr>
            </w:pPr>
          </w:p>
        </w:tc>
        <w:tc>
          <w:tcPr>
            <w:tcW w:w="940" w:type="dxa"/>
            <w:vAlign w:val="bottom"/>
            <w:tcBorders>
              <w:right w:val="single" w:sz="8" w:color="auto"/>
            </w:tcBorders>
          </w:tcPr>
          <w:p>
            <w:pPr>
              <w:jc w:val="right"/>
              <w:ind w:right="606"/>
              <w:spacing w:after="0" w:line="124" w:lineRule="exact"/>
              <w:rPr>
                <w:sz w:val="20"/>
                <w:szCs w:val="20"/>
                <w:color w:val="auto"/>
              </w:rPr>
            </w:pPr>
            <w:r>
              <w:rPr>
                <w:rFonts w:ascii="Arial" w:cs="Arial" w:eastAsia="Arial" w:hAnsi="Arial"/>
                <w:sz w:val="11"/>
                <w:szCs w:val="11"/>
                <w:color w:val="auto"/>
              </w:rPr>
              <w:t>***</w:t>
            </w:r>
          </w:p>
        </w:tc>
        <w:tc>
          <w:tcPr>
            <w:tcW w:w="1780" w:type="dxa"/>
            <w:vAlign w:val="bottom"/>
          </w:tcPr>
          <w:p>
            <w:pPr>
              <w:jc w:val="right"/>
              <w:ind w:right="545"/>
              <w:spacing w:after="0" w:line="124" w:lineRule="exact"/>
              <w:rPr>
                <w:sz w:val="20"/>
                <w:szCs w:val="20"/>
                <w:color w:val="auto"/>
              </w:rPr>
            </w:pPr>
            <w:r>
              <w:rPr>
                <w:rFonts w:ascii="Arial" w:cs="Arial" w:eastAsia="Arial" w:hAnsi="Arial"/>
                <w:sz w:val="11"/>
                <w:szCs w:val="11"/>
                <w:color w:val="auto"/>
                <w:w w:val="96"/>
              </w:rPr>
              <w:t>07/01/2017 - 07/01/2018</w:t>
            </w: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General Aggregate</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$25,000,000</w:t>
            </w:r>
          </w:p>
        </w:tc>
        <w:tc>
          <w:tcPr>
            <w:tcW w:w="1000" w:type="dxa"/>
            <w:vAlign w:val="bottom"/>
            <w:tcBorders>
              <w:right w:val="single" w:sz="8" w:color="auto"/>
            </w:tcBorders>
          </w:tcPr>
          <w:p>
            <w:pPr>
              <w:jc w:val="right"/>
              <w:ind w:right="427"/>
              <w:spacing w:after="0" w:line="124"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1"/>
                <w:szCs w:val="11"/>
                <w:color w:val="auto"/>
              </w:rPr>
              <w:t>***</w:t>
            </w:r>
          </w:p>
        </w:tc>
      </w:tr>
      <w:tr>
        <w:trPr>
          <w:trHeight w:val="124"/>
        </w:trPr>
        <w:tc>
          <w:tcPr>
            <w:tcW w:w="1820" w:type="dxa"/>
            <w:vAlign w:val="bottom"/>
            <w:tcBorders>
              <w:left w:val="single" w:sz="8" w:color="auto"/>
              <w:right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Each Occurrence</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$25,000,000</w:t>
            </w:r>
          </w:p>
        </w:tc>
        <w:tc>
          <w:tcPr>
            <w:tcW w:w="1000" w:type="dxa"/>
            <w:vAlign w:val="bottom"/>
            <w:tcBorders>
              <w:right w:val="single" w:sz="8" w:color="auto"/>
            </w:tcBorders>
          </w:tcPr>
          <w:p>
            <w:pPr>
              <w:spacing w:after="0"/>
              <w:rPr>
                <w:sz w:val="10"/>
                <w:szCs w:val="10"/>
                <w:color w:val="auto"/>
              </w:rPr>
            </w:pPr>
          </w:p>
        </w:tc>
      </w:tr>
      <w:tr>
        <w:trPr>
          <w:trHeight w:val="124"/>
        </w:trPr>
        <w:tc>
          <w:tcPr>
            <w:tcW w:w="1820" w:type="dxa"/>
            <w:vAlign w:val="bottom"/>
            <w:tcBorders>
              <w:left w:val="single" w:sz="8" w:color="auto"/>
              <w:bottom w:val="single" w:sz="8" w:color="auto"/>
              <w:right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ind w:left="260"/>
              <w:spacing w:after="0" w:line="124" w:lineRule="exact"/>
              <w:rPr>
                <w:sz w:val="20"/>
                <w:szCs w:val="20"/>
                <w:color w:val="auto"/>
              </w:rPr>
            </w:pPr>
            <w:r>
              <w:rPr>
                <w:rFonts w:ascii="Arial" w:cs="Arial" w:eastAsia="Arial" w:hAnsi="Arial"/>
                <w:sz w:val="11"/>
                <w:szCs w:val="11"/>
                <w:i w:val="1"/>
                <w:iCs w:val="1"/>
                <w:color w:val="auto"/>
              </w:rPr>
              <w:t>Self Insured Retention</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i w:val="1"/>
                <w:iCs w:val="1"/>
                <w:color w:val="auto"/>
              </w:rPr>
              <w:t>$10,000</w:t>
            </w:r>
          </w:p>
        </w:tc>
        <w:tc>
          <w:tcPr>
            <w:tcW w:w="1000" w:type="dxa"/>
            <w:vAlign w:val="bottom"/>
            <w:tcBorders>
              <w:bottom w:val="single" w:sz="8" w:color="auto"/>
              <w:right w:val="single" w:sz="8" w:color="auto"/>
            </w:tcBorders>
          </w:tcPr>
          <w:p>
            <w:pPr>
              <w:spacing w:after="0"/>
              <w:rPr>
                <w:sz w:val="10"/>
                <w:szCs w:val="10"/>
                <w:color w:val="auto"/>
              </w:rPr>
            </w:pPr>
          </w:p>
        </w:tc>
      </w:tr>
      <w:tr>
        <w:trPr>
          <w:trHeight w:val="124"/>
        </w:trPr>
        <w:tc>
          <w:tcPr>
            <w:tcW w:w="2360" w:type="dxa"/>
            <w:vAlign w:val="bottom"/>
            <w:tcBorders>
              <w:left w:val="single" w:sz="8" w:color="auto"/>
              <w:bottom w:val="single" w:sz="8" w:color="auto"/>
            </w:tcBorders>
            <w:gridSpan w:val="2"/>
            <w:shd w:val="clear" w:color="auto" w:fill="C0C0C0"/>
          </w:tcPr>
          <w:p>
            <w:pPr>
              <w:ind w:left="320"/>
              <w:spacing w:after="0" w:line="124" w:lineRule="exact"/>
              <w:rPr>
                <w:sz w:val="20"/>
                <w:szCs w:val="20"/>
                <w:color w:val="auto"/>
              </w:rPr>
            </w:pPr>
            <w:r>
              <w:rPr>
                <w:rFonts w:ascii="Arial" w:cs="Arial" w:eastAsia="Arial" w:hAnsi="Arial"/>
                <w:sz w:val="11"/>
                <w:szCs w:val="11"/>
                <w:b w:val="1"/>
                <w:bCs w:val="1"/>
                <w:color w:val="auto"/>
              </w:rPr>
              <w:t>Excess Casualty</w:t>
            </w:r>
          </w:p>
        </w:tc>
        <w:tc>
          <w:tcPr>
            <w:tcW w:w="940" w:type="dxa"/>
            <w:vAlign w:val="bottom"/>
            <w:tcBorders>
              <w:bottom w:val="single" w:sz="8" w:color="auto"/>
              <w:right w:val="single" w:sz="8" w:color="C0C0C0"/>
            </w:tcBorders>
            <w:shd w:val="clear" w:color="auto" w:fill="C0C0C0"/>
          </w:tcPr>
          <w:p>
            <w:pPr>
              <w:spacing w:after="0"/>
              <w:rPr>
                <w:sz w:val="10"/>
                <w:szCs w:val="10"/>
                <w:color w:val="auto"/>
              </w:rPr>
            </w:pPr>
          </w:p>
        </w:tc>
        <w:tc>
          <w:tcPr>
            <w:tcW w:w="1780" w:type="dxa"/>
            <w:vAlign w:val="bottom"/>
            <w:tcBorders>
              <w:bottom w:val="single" w:sz="8" w:color="auto"/>
              <w:right w:val="single" w:sz="8" w:color="C0C0C0"/>
            </w:tcBorders>
            <w:shd w:val="clear" w:color="auto" w:fill="C0C0C0"/>
          </w:tcPr>
          <w:p>
            <w:pPr>
              <w:spacing w:after="0"/>
              <w:rPr>
                <w:sz w:val="10"/>
                <w:szCs w:val="10"/>
                <w:color w:val="auto"/>
              </w:rPr>
            </w:pPr>
          </w:p>
        </w:tc>
        <w:tc>
          <w:tcPr>
            <w:tcW w:w="120" w:type="dxa"/>
            <w:vAlign w:val="bottom"/>
            <w:tcBorders>
              <w:bottom w:val="single" w:sz="8" w:color="auto"/>
              <w:right w:val="single" w:sz="8" w:color="C0C0C0"/>
            </w:tcBorders>
            <w:shd w:val="clear" w:color="auto" w:fill="C0C0C0"/>
          </w:tcPr>
          <w:p>
            <w:pPr>
              <w:spacing w:after="0"/>
              <w:rPr>
                <w:sz w:val="10"/>
                <w:szCs w:val="10"/>
                <w:color w:val="auto"/>
              </w:rPr>
            </w:pPr>
          </w:p>
        </w:tc>
        <w:tc>
          <w:tcPr>
            <w:tcW w:w="3940" w:type="dxa"/>
            <w:vAlign w:val="bottom"/>
            <w:tcBorders>
              <w:bottom w:val="single" w:sz="8" w:color="auto"/>
              <w:right w:val="single" w:sz="8" w:color="C0C0C0"/>
            </w:tcBorders>
            <w:shd w:val="clear" w:color="auto" w:fill="C0C0C0"/>
          </w:tcPr>
          <w:p>
            <w:pPr>
              <w:spacing w:after="0"/>
              <w:rPr>
                <w:sz w:val="10"/>
                <w:szCs w:val="10"/>
                <w:color w:val="auto"/>
              </w:rPr>
            </w:pPr>
          </w:p>
        </w:tc>
        <w:tc>
          <w:tcPr>
            <w:tcW w:w="1340" w:type="dxa"/>
            <w:vAlign w:val="bottom"/>
            <w:tcBorders>
              <w:bottom w:val="single" w:sz="8" w:color="auto"/>
              <w:right w:val="single" w:sz="8" w:color="C0C0C0"/>
            </w:tcBorders>
            <w:shd w:val="clear" w:color="auto" w:fill="C0C0C0"/>
          </w:tcPr>
          <w:p>
            <w:pPr>
              <w:spacing w:after="0"/>
              <w:rPr>
                <w:sz w:val="10"/>
                <w:szCs w:val="10"/>
                <w:color w:val="auto"/>
              </w:rPr>
            </w:pPr>
          </w:p>
        </w:tc>
        <w:tc>
          <w:tcPr>
            <w:tcW w:w="1000" w:type="dxa"/>
            <w:vAlign w:val="bottom"/>
            <w:tcBorders>
              <w:bottom w:val="single" w:sz="8" w:color="auto"/>
              <w:right w:val="single" w:sz="8" w:color="auto"/>
            </w:tcBorders>
            <w:shd w:val="clear" w:color="auto" w:fill="C0C0C0"/>
          </w:tcPr>
          <w:p>
            <w:pPr>
              <w:spacing w:after="0"/>
              <w:rPr>
                <w:sz w:val="10"/>
                <w:szCs w:val="10"/>
                <w:color w:val="auto"/>
              </w:rPr>
            </w:pPr>
          </w:p>
        </w:tc>
      </w:tr>
      <w:tr>
        <w:trPr>
          <w:trHeight w:val="124"/>
        </w:trPr>
        <w:tc>
          <w:tcPr>
            <w:tcW w:w="182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Ohio Casualty Insurance Company</w:t>
            </w:r>
          </w:p>
        </w:tc>
        <w:tc>
          <w:tcPr>
            <w:tcW w:w="540" w:type="dxa"/>
            <w:vAlign w:val="bottom"/>
          </w:tcPr>
          <w:p>
            <w:pPr>
              <w:spacing w:after="0"/>
              <w:rPr>
                <w:sz w:val="10"/>
                <w:szCs w:val="10"/>
                <w:color w:val="auto"/>
              </w:rPr>
            </w:pPr>
          </w:p>
        </w:tc>
        <w:tc>
          <w:tcPr>
            <w:tcW w:w="940" w:type="dxa"/>
            <w:vAlign w:val="bottom"/>
            <w:tcBorders>
              <w:right w:val="single" w:sz="8" w:color="auto"/>
            </w:tcBorders>
          </w:tcPr>
          <w:p>
            <w:pPr>
              <w:jc w:val="right"/>
              <w:ind w:right="606"/>
              <w:spacing w:after="0" w:line="124" w:lineRule="exact"/>
              <w:rPr>
                <w:sz w:val="20"/>
                <w:szCs w:val="20"/>
                <w:color w:val="auto"/>
              </w:rPr>
            </w:pPr>
            <w:r>
              <w:rPr>
                <w:rFonts w:ascii="Arial" w:cs="Arial" w:eastAsia="Arial" w:hAnsi="Arial"/>
                <w:sz w:val="11"/>
                <w:szCs w:val="11"/>
                <w:color w:val="auto"/>
              </w:rPr>
              <w:t>***</w:t>
            </w:r>
          </w:p>
        </w:tc>
        <w:tc>
          <w:tcPr>
            <w:tcW w:w="1780" w:type="dxa"/>
            <w:vAlign w:val="bottom"/>
          </w:tcPr>
          <w:p>
            <w:pPr>
              <w:jc w:val="right"/>
              <w:ind w:right="545"/>
              <w:spacing w:after="0" w:line="124" w:lineRule="exact"/>
              <w:rPr>
                <w:sz w:val="20"/>
                <w:szCs w:val="20"/>
                <w:color w:val="auto"/>
              </w:rPr>
            </w:pPr>
            <w:r>
              <w:rPr>
                <w:rFonts w:ascii="Arial" w:cs="Arial" w:eastAsia="Arial" w:hAnsi="Arial"/>
                <w:sz w:val="11"/>
                <w:szCs w:val="11"/>
                <w:color w:val="auto"/>
                <w:w w:val="96"/>
              </w:rPr>
              <w:t>07/01/2017 - 07/01/2018</w:t>
            </w: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General Aggregate</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$25,000,000</w:t>
            </w:r>
          </w:p>
        </w:tc>
        <w:tc>
          <w:tcPr>
            <w:tcW w:w="1000" w:type="dxa"/>
            <w:vAlign w:val="bottom"/>
            <w:tcBorders>
              <w:right w:val="single" w:sz="8" w:color="auto"/>
            </w:tcBorders>
          </w:tcPr>
          <w:p>
            <w:pPr>
              <w:jc w:val="right"/>
              <w:ind w:right="427"/>
              <w:spacing w:after="0" w:line="124"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1"/>
                <w:szCs w:val="11"/>
                <w:color w:val="auto"/>
              </w:rPr>
              <w:t>***</w:t>
            </w:r>
          </w:p>
        </w:tc>
      </w:tr>
      <w:tr>
        <w:trPr>
          <w:trHeight w:val="124"/>
        </w:trPr>
        <w:tc>
          <w:tcPr>
            <w:tcW w:w="1820" w:type="dxa"/>
            <w:vAlign w:val="bottom"/>
            <w:tcBorders>
              <w:left w:val="single" w:sz="8" w:color="auto"/>
              <w:right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Each Occurrence</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$25,000,000</w:t>
            </w:r>
          </w:p>
        </w:tc>
        <w:tc>
          <w:tcPr>
            <w:tcW w:w="1000" w:type="dxa"/>
            <w:vAlign w:val="bottom"/>
            <w:tcBorders>
              <w:right w:val="single" w:sz="8" w:color="auto"/>
            </w:tcBorders>
          </w:tcPr>
          <w:p>
            <w:pPr>
              <w:spacing w:after="0"/>
              <w:rPr>
                <w:sz w:val="10"/>
                <w:szCs w:val="10"/>
                <w:color w:val="auto"/>
              </w:rPr>
            </w:pPr>
          </w:p>
        </w:tc>
      </w:tr>
      <w:tr>
        <w:trPr>
          <w:trHeight w:val="124"/>
        </w:trPr>
        <w:tc>
          <w:tcPr>
            <w:tcW w:w="1820" w:type="dxa"/>
            <w:vAlign w:val="bottom"/>
            <w:tcBorders>
              <w:left w:val="single" w:sz="8" w:color="auto"/>
              <w:bottom w:val="single" w:sz="8" w:color="auto"/>
              <w:right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ind w:left="260"/>
              <w:spacing w:after="0" w:line="124" w:lineRule="exact"/>
              <w:rPr>
                <w:sz w:val="20"/>
                <w:szCs w:val="20"/>
                <w:color w:val="auto"/>
              </w:rPr>
            </w:pPr>
            <w:r>
              <w:rPr>
                <w:rFonts w:ascii="Arial" w:cs="Arial" w:eastAsia="Arial" w:hAnsi="Arial"/>
                <w:sz w:val="11"/>
                <w:szCs w:val="11"/>
                <w:color w:val="auto"/>
              </w:rPr>
              <w:t>In Excess of:</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$25,000,000</w:t>
            </w:r>
          </w:p>
        </w:tc>
        <w:tc>
          <w:tcPr>
            <w:tcW w:w="1000" w:type="dxa"/>
            <w:vAlign w:val="bottom"/>
            <w:tcBorders>
              <w:bottom w:val="single" w:sz="8" w:color="auto"/>
              <w:right w:val="single" w:sz="8" w:color="auto"/>
            </w:tcBorders>
          </w:tcPr>
          <w:p>
            <w:pPr>
              <w:spacing w:after="0"/>
              <w:rPr>
                <w:sz w:val="10"/>
                <w:szCs w:val="10"/>
                <w:color w:val="auto"/>
              </w:rPr>
            </w:pPr>
          </w:p>
        </w:tc>
      </w:tr>
      <w:tr>
        <w:trPr>
          <w:trHeight w:val="124"/>
        </w:trPr>
        <w:tc>
          <w:tcPr>
            <w:tcW w:w="2360" w:type="dxa"/>
            <w:vAlign w:val="bottom"/>
            <w:tcBorders>
              <w:left w:val="single" w:sz="8" w:color="auto"/>
              <w:bottom w:val="single" w:sz="8" w:color="auto"/>
            </w:tcBorders>
            <w:gridSpan w:val="2"/>
            <w:shd w:val="clear" w:color="auto" w:fill="C0C0C0"/>
          </w:tcPr>
          <w:p>
            <w:pPr>
              <w:ind w:left="320"/>
              <w:spacing w:after="0" w:line="124" w:lineRule="exact"/>
              <w:rPr>
                <w:sz w:val="20"/>
                <w:szCs w:val="20"/>
                <w:color w:val="auto"/>
              </w:rPr>
            </w:pPr>
            <w:r>
              <w:rPr>
                <w:rFonts w:ascii="Arial" w:cs="Arial" w:eastAsia="Arial" w:hAnsi="Arial"/>
                <w:sz w:val="11"/>
                <w:szCs w:val="11"/>
                <w:b w:val="1"/>
                <w:bCs w:val="1"/>
                <w:color w:val="auto"/>
              </w:rPr>
              <w:t>Primary Directors &amp; Officers</w:t>
            </w:r>
          </w:p>
        </w:tc>
        <w:tc>
          <w:tcPr>
            <w:tcW w:w="940" w:type="dxa"/>
            <w:vAlign w:val="bottom"/>
            <w:tcBorders>
              <w:bottom w:val="single" w:sz="8" w:color="auto"/>
              <w:right w:val="single" w:sz="8" w:color="C0C0C0"/>
            </w:tcBorders>
            <w:shd w:val="clear" w:color="auto" w:fill="C0C0C0"/>
          </w:tcPr>
          <w:p>
            <w:pPr>
              <w:spacing w:after="0"/>
              <w:rPr>
                <w:sz w:val="10"/>
                <w:szCs w:val="10"/>
                <w:color w:val="auto"/>
              </w:rPr>
            </w:pPr>
          </w:p>
        </w:tc>
        <w:tc>
          <w:tcPr>
            <w:tcW w:w="1780" w:type="dxa"/>
            <w:vAlign w:val="bottom"/>
            <w:tcBorders>
              <w:bottom w:val="single" w:sz="8" w:color="auto"/>
              <w:right w:val="single" w:sz="8" w:color="C0C0C0"/>
            </w:tcBorders>
            <w:shd w:val="clear" w:color="auto" w:fill="C0C0C0"/>
          </w:tcPr>
          <w:p>
            <w:pPr>
              <w:spacing w:after="0"/>
              <w:rPr>
                <w:sz w:val="10"/>
                <w:szCs w:val="10"/>
                <w:color w:val="auto"/>
              </w:rPr>
            </w:pPr>
          </w:p>
        </w:tc>
        <w:tc>
          <w:tcPr>
            <w:tcW w:w="120" w:type="dxa"/>
            <w:vAlign w:val="bottom"/>
            <w:tcBorders>
              <w:bottom w:val="single" w:sz="8" w:color="auto"/>
              <w:right w:val="single" w:sz="8" w:color="C0C0C0"/>
            </w:tcBorders>
            <w:shd w:val="clear" w:color="auto" w:fill="C0C0C0"/>
          </w:tcPr>
          <w:p>
            <w:pPr>
              <w:spacing w:after="0"/>
              <w:rPr>
                <w:sz w:val="10"/>
                <w:szCs w:val="10"/>
                <w:color w:val="auto"/>
              </w:rPr>
            </w:pPr>
          </w:p>
        </w:tc>
        <w:tc>
          <w:tcPr>
            <w:tcW w:w="3940" w:type="dxa"/>
            <w:vAlign w:val="bottom"/>
            <w:tcBorders>
              <w:bottom w:val="single" w:sz="8" w:color="auto"/>
              <w:right w:val="single" w:sz="8" w:color="C0C0C0"/>
            </w:tcBorders>
            <w:shd w:val="clear" w:color="auto" w:fill="C0C0C0"/>
          </w:tcPr>
          <w:p>
            <w:pPr>
              <w:spacing w:after="0"/>
              <w:rPr>
                <w:sz w:val="10"/>
                <w:szCs w:val="10"/>
                <w:color w:val="auto"/>
              </w:rPr>
            </w:pPr>
          </w:p>
        </w:tc>
        <w:tc>
          <w:tcPr>
            <w:tcW w:w="1340" w:type="dxa"/>
            <w:vAlign w:val="bottom"/>
            <w:tcBorders>
              <w:bottom w:val="single" w:sz="8" w:color="auto"/>
              <w:right w:val="single" w:sz="8" w:color="C0C0C0"/>
            </w:tcBorders>
            <w:shd w:val="clear" w:color="auto" w:fill="C0C0C0"/>
          </w:tcPr>
          <w:p>
            <w:pPr>
              <w:spacing w:after="0"/>
              <w:rPr>
                <w:sz w:val="10"/>
                <w:szCs w:val="10"/>
                <w:color w:val="auto"/>
              </w:rPr>
            </w:pPr>
          </w:p>
        </w:tc>
        <w:tc>
          <w:tcPr>
            <w:tcW w:w="1000" w:type="dxa"/>
            <w:vAlign w:val="bottom"/>
            <w:tcBorders>
              <w:bottom w:val="single" w:sz="8" w:color="auto"/>
              <w:right w:val="single" w:sz="8" w:color="auto"/>
            </w:tcBorders>
            <w:shd w:val="clear" w:color="auto" w:fill="C0C0C0"/>
          </w:tcPr>
          <w:p>
            <w:pPr>
              <w:spacing w:after="0"/>
              <w:rPr>
                <w:sz w:val="10"/>
                <w:szCs w:val="10"/>
                <w:color w:val="auto"/>
              </w:rPr>
            </w:pPr>
          </w:p>
        </w:tc>
      </w:tr>
      <w:tr>
        <w:trPr>
          <w:trHeight w:val="124"/>
        </w:trPr>
        <w:tc>
          <w:tcPr>
            <w:tcW w:w="182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w w:val="89"/>
              </w:rPr>
              <w:t>National Union Fire Insurance Company</w:t>
            </w:r>
          </w:p>
        </w:tc>
        <w:tc>
          <w:tcPr>
            <w:tcW w:w="540" w:type="dxa"/>
            <w:vAlign w:val="bottom"/>
          </w:tcPr>
          <w:p>
            <w:pPr>
              <w:spacing w:after="0"/>
              <w:rPr>
                <w:sz w:val="10"/>
                <w:szCs w:val="10"/>
                <w:color w:val="auto"/>
              </w:rPr>
            </w:pPr>
          </w:p>
        </w:tc>
        <w:tc>
          <w:tcPr>
            <w:tcW w:w="940" w:type="dxa"/>
            <w:vAlign w:val="bottom"/>
            <w:tcBorders>
              <w:right w:val="single" w:sz="8" w:color="auto"/>
            </w:tcBorders>
          </w:tcPr>
          <w:p>
            <w:pPr>
              <w:jc w:val="right"/>
              <w:ind w:right="606"/>
              <w:spacing w:after="0" w:line="124" w:lineRule="exact"/>
              <w:rPr>
                <w:sz w:val="20"/>
                <w:szCs w:val="20"/>
                <w:color w:val="auto"/>
              </w:rPr>
            </w:pPr>
            <w:r>
              <w:rPr>
                <w:rFonts w:ascii="Arial" w:cs="Arial" w:eastAsia="Arial" w:hAnsi="Arial"/>
                <w:sz w:val="11"/>
                <w:szCs w:val="11"/>
                <w:color w:val="auto"/>
              </w:rPr>
              <w:t>***</w:t>
            </w:r>
          </w:p>
        </w:tc>
        <w:tc>
          <w:tcPr>
            <w:tcW w:w="1780" w:type="dxa"/>
            <w:vAlign w:val="bottom"/>
          </w:tcPr>
          <w:p>
            <w:pPr>
              <w:jc w:val="right"/>
              <w:ind w:right="545"/>
              <w:spacing w:after="0" w:line="124" w:lineRule="exact"/>
              <w:rPr>
                <w:sz w:val="20"/>
                <w:szCs w:val="20"/>
                <w:color w:val="auto"/>
              </w:rPr>
            </w:pPr>
            <w:r>
              <w:rPr>
                <w:rFonts w:ascii="Arial" w:cs="Arial" w:eastAsia="Arial" w:hAnsi="Arial"/>
                <w:sz w:val="11"/>
                <w:szCs w:val="11"/>
                <w:color w:val="auto"/>
                <w:w w:val="96"/>
              </w:rPr>
              <w:t>07/01/2017 - 07/01/2018</w:t>
            </w: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Policy Limit</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$10,000,000</w:t>
            </w:r>
          </w:p>
        </w:tc>
        <w:tc>
          <w:tcPr>
            <w:tcW w:w="1000" w:type="dxa"/>
            <w:vAlign w:val="bottom"/>
            <w:tcBorders>
              <w:right w:val="single" w:sz="8" w:color="auto"/>
            </w:tcBorders>
          </w:tcPr>
          <w:p>
            <w:pPr>
              <w:jc w:val="right"/>
              <w:ind w:right="427"/>
              <w:spacing w:after="0" w:line="124"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1"/>
                <w:szCs w:val="11"/>
                <w:color w:val="auto"/>
              </w:rPr>
              <w:t>***</w:t>
            </w:r>
          </w:p>
        </w:tc>
      </w:tr>
      <w:tr>
        <w:trPr>
          <w:trHeight w:val="124"/>
        </w:trPr>
        <w:tc>
          <w:tcPr>
            <w:tcW w:w="1820" w:type="dxa"/>
            <w:vAlign w:val="bottom"/>
            <w:tcBorders>
              <w:left w:val="single" w:sz="8" w:color="auto"/>
              <w:right w:val="single" w:sz="8" w:color="auto"/>
            </w:tcBorders>
          </w:tcPr>
          <w:p>
            <w:pPr>
              <w:ind w:left="20"/>
              <w:spacing w:after="0" w:line="116" w:lineRule="exact"/>
              <w:rPr>
                <w:sz w:val="20"/>
                <w:szCs w:val="20"/>
                <w:color w:val="auto"/>
              </w:rPr>
            </w:pPr>
            <w:r>
              <w:rPr>
                <w:rFonts w:ascii="Arial" w:cs="Arial" w:eastAsia="Arial" w:hAnsi="Arial"/>
                <w:sz w:val="11"/>
                <w:szCs w:val="11"/>
                <w:color w:val="auto"/>
              </w:rPr>
              <w:t>of Pittsburgh, Pa.</w:t>
            </w:r>
          </w:p>
        </w:tc>
        <w:tc>
          <w:tcPr>
            <w:tcW w:w="540" w:type="dxa"/>
            <w:vAlign w:val="bottom"/>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ind w:left="180"/>
              <w:spacing w:after="0" w:line="124" w:lineRule="exact"/>
              <w:rPr>
                <w:sz w:val="20"/>
                <w:szCs w:val="20"/>
                <w:color w:val="auto"/>
              </w:rPr>
            </w:pPr>
            <w:r>
              <w:rPr>
                <w:rFonts w:ascii="Arial" w:cs="Arial" w:eastAsia="Arial" w:hAnsi="Arial"/>
                <w:sz w:val="11"/>
                <w:szCs w:val="11"/>
                <w:i w:val="1"/>
                <w:iCs w:val="1"/>
                <w:color w:val="auto"/>
              </w:rPr>
              <w:t>Securities Claim Retention</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i w:val="1"/>
                <w:iCs w:val="1"/>
                <w:color w:val="auto"/>
              </w:rPr>
              <w:t>$500,000</w:t>
            </w:r>
          </w:p>
        </w:tc>
        <w:tc>
          <w:tcPr>
            <w:tcW w:w="1000" w:type="dxa"/>
            <w:vAlign w:val="bottom"/>
            <w:tcBorders>
              <w:right w:val="single" w:sz="8" w:color="auto"/>
            </w:tcBorders>
          </w:tcPr>
          <w:p>
            <w:pPr>
              <w:spacing w:after="0"/>
              <w:rPr>
                <w:sz w:val="10"/>
                <w:szCs w:val="10"/>
                <w:color w:val="auto"/>
              </w:rPr>
            </w:pPr>
          </w:p>
        </w:tc>
      </w:tr>
      <w:tr>
        <w:trPr>
          <w:trHeight w:val="124"/>
        </w:trPr>
        <w:tc>
          <w:tcPr>
            <w:tcW w:w="1820" w:type="dxa"/>
            <w:vAlign w:val="bottom"/>
            <w:tcBorders>
              <w:left w:val="single" w:sz="8" w:color="auto"/>
              <w:right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ind w:left="180"/>
              <w:spacing w:after="0" w:line="124" w:lineRule="exact"/>
              <w:rPr>
                <w:sz w:val="20"/>
                <w:szCs w:val="20"/>
                <w:color w:val="auto"/>
              </w:rPr>
            </w:pPr>
            <w:r>
              <w:rPr>
                <w:rFonts w:ascii="Arial" w:cs="Arial" w:eastAsia="Arial" w:hAnsi="Arial"/>
                <w:sz w:val="11"/>
                <w:szCs w:val="11"/>
                <w:i w:val="1"/>
                <w:iCs w:val="1"/>
                <w:color w:val="auto"/>
              </w:rPr>
              <w:t>Employment Practices Claim Retention</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i w:val="1"/>
                <w:iCs w:val="1"/>
                <w:color w:val="auto"/>
              </w:rPr>
              <w:t>$150,000</w:t>
            </w:r>
          </w:p>
        </w:tc>
        <w:tc>
          <w:tcPr>
            <w:tcW w:w="1000" w:type="dxa"/>
            <w:vAlign w:val="bottom"/>
            <w:tcBorders>
              <w:right w:val="single" w:sz="8" w:color="auto"/>
            </w:tcBorders>
          </w:tcPr>
          <w:p>
            <w:pPr>
              <w:spacing w:after="0"/>
              <w:rPr>
                <w:sz w:val="10"/>
                <w:szCs w:val="10"/>
                <w:color w:val="auto"/>
              </w:rPr>
            </w:pPr>
          </w:p>
        </w:tc>
      </w:tr>
      <w:tr>
        <w:trPr>
          <w:trHeight w:val="124"/>
        </w:trPr>
        <w:tc>
          <w:tcPr>
            <w:tcW w:w="1820" w:type="dxa"/>
            <w:vAlign w:val="bottom"/>
            <w:tcBorders>
              <w:left w:val="single" w:sz="8" w:color="auto"/>
              <w:right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ind w:left="180"/>
              <w:spacing w:after="0" w:line="124" w:lineRule="exact"/>
              <w:rPr>
                <w:sz w:val="20"/>
                <w:szCs w:val="20"/>
                <w:color w:val="auto"/>
              </w:rPr>
            </w:pPr>
            <w:r>
              <w:rPr>
                <w:rFonts w:ascii="Arial" w:cs="Arial" w:eastAsia="Arial" w:hAnsi="Arial"/>
                <w:sz w:val="11"/>
                <w:szCs w:val="11"/>
                <w:i w:val="1"/>
                <w:iCs w:val="1"/>
                <w:color w:val="auto"/>
              </w:rPr>
              <w:t>Other Claims Retention</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i w:val="1"/>
                <w:iCs w:val="1"/>
                <w:color w:val="auto"/>
              </w:rPr>
              <w:t>$150,000</w:t>
            </w:r>
          </w:p>
        </w:tc>
        <w:tc>
          <w:tcPr>
            <w:tcW w:w="1000" w:type="dxa"/>
            <w:vAlign w:val="bottom"/>
            <w:tcBorders>
              <w:right w:val="single" w:sz="8" w:color="auto"/>
            </w:tcBorders>
          </w:tcPr>
          <w:p>
            <w:pPr>
              <w:spacing w:after="0"/>
              <w:rPr>
                <w:sz w:val="10"/>
                <w:szCs w:val="10"/>
                <w:color w:val="auto"/>
              </w:rPr>
            </w:pPr>
          </w:p>
        </w:tc>
      </w:tr>
      <w:tr>
        <w:trPr>
          <w:trHeight w:val="119"/>
        </w:trPr>
        <w:tc>
          <w:tcPr>
            <w:tcW w:w="1820" w:type="dxa"/>
            <w:vAlign w:val="bottom"/>
            <w:tcBorders>
              <w:left w:val="single" w:sz="8" w:color="auto"/>
              <w:right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right w:val="single" w:sz="8" w:color="auto"/>
            </w:tcBorders>
          </w:tcPr>
          <w:p>
            <w:pPr>
              <w:ind w:left="80"/>
              <w:spacing w:after="0" w:line="119" w:lineRule="exact"/>
              <w:rPr>
                <w:sz w:val="20"/>
                <w:szCs w:val="20"/>
                <w:color w:val="auto"/>
              </w:rPr>
            </w:pPr>
            <w:r>
              <w:rPr>
                <w:rFonts w:ascii="Arial" w:cs="Arial" w:eastAsia="Arial" w:hAnsi="Arial"/>
                <w:sz w:val="11"/>
                <w:szCs w:val="11"/>
                <w:color w:val="auto"/>
              </w:rPr>
              <w:t>C Continuity Date</w:t>
            </w:r>
          </w:p>
        </w:tc>
        <w:tc>
          <w:tcPr>
            <w:tcW w:w="1340" w:type="dxa"/>
            <w:vAlign w:val="bottom"/>
            <w:tcBorders>
              <w:right w:val="single" w:sz="8" w:color="auto"/>
            </w:tcBorders>
          </w:tcPr>
          <w:p>
            <w:pPr>
              <w:jc w:val="right"/>
              <w:spacing w:after="0" w:line="119" w:lineRule="exact"/>
              <w:rPr>
                <w:sz w:val="20"/>
                <w:szCs w:val="20"/>
                <w:color w:val="auto"/>
              </w:rPr>
            </w:pPr>
            <w:r>
              <w:rPr>
                <w:rFonts w:ascii="Arial" w:cs="Arial" w:eastAsia="Arial" w:hAnsi="Arial"/>
                <w:sz w:val="11"/>
                <w:szCs w:val="11"/>
                <w:color w:val="auto"/>
                <w:w w:val="94"/>
              </w:rPr>
              <w:t>Date a person first becomes</w:t>
            </w:r>
          </w:p>
        </w:tc>
        <w:tc>
          <w:tcPr>
            <w:tcW w:w="1000" w:type="dxa"/>
            <w:vAlign w:val="bottom"/>
            <w:tcBorders>
              <w:right w:val="single" w:sz="8" w:color="auto"/>
            </w:tcBorders>
          </w:tcPr>
          <w:p>
            <w:pPr>
              <w:spacing w:after="0"/>
              <w:rPr>
                <w:sz w:val="10"/>
                <w:szCs w:val="10"/>
                <w:color w:val="auto"/>
              </w:rPr>
            </w:pPr>
          </w:p>
        </w:tc>
      </w:tr>
      <w:tr>
        <w:trPr>
          <w:trHeight w:val="135"/>
        </w:trPr>
        <w:tc>
          <w:tcPr>
            <w:tcW w:w="1820" w:type="dxa"/>
            <w:vAlign w:val="bottom"/>
            <w:tcBorders>
              <w:left w:val="single" w:sz="8" w:color="auto"/>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17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394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an outside</w:t>
            </w:r>
          </w:p>
        </w:tc>
        <w:tc>
          <w:tcPr>
            <w:tcW w:w="1000" w:type="dxa"/>
            <w:vAlign w:val="bottom"/>
            <w:tcBorders>
              <w:right w:val="single" w:sz="8" w:color="auto"/>
            </w:tcBorders>
          </w:tcPr>
          <w:p>
            <w:pPr>
              <w:spacing w:after="0"/>
              <w:rPr>
                <w:sz w:val="11"/>
                <w:szCs w:val="11"/>
                <w:color w:val="auto"/>
              </w:rPr>
            </w:pPr>
          </w:p>
        </w:tc>
      </w:tr>
      <w:tr>
        <w:trPr>
          <w:trHeight w:val="136"/>
        </w:trPr>
        <w:tc>
          <w:tcPr>
            <w:tcW w:w="1820" w:type="dxa"/>
            <w:vAlign w:val="bottom"/>
            <w:tcBorders>
              <w:left w:val="single" w:sz="8" w:color="auto"/>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17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394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entity</w:t>
            </w:r>
          </w:p>
        </w:tc>
        <w:tc>
          <w:tcPr>
            <w:tcW w:w="1000" w:type="dxa"/>
            <w:vAlign w:val="bottom"/>
            <w:tcBorders>
              <w:right w:val="single" w:sz="8" w:color="auto"/>
            </w:tcBorders>
          </w:tcPr>
          <w:p>
            <w:pPr>
              <w:spacing w:after="0"/>
              <w:rPr>
                <w:sz w:val="11"/>
                <w:szCs w:val="11"/>
                <w:color w:val="auto"/>
              </w:rPr>
            </w:pPr>
          </w:p>
        </w:tc>
      </w:tr>
      <w:tr>
        <w:trPr>
          <w:trHeight w:val="31"/>
        </w:trPr>
        <w:tc>
          <w:tcPr>
            <w:tcW w:w="1820" w:type="dxa"/>
            <w:vAlign w:val="bottom"/>
            <w:tcBorders>
              <w:left w:val="single" w:sz="8" w:color="auto"/>
              <w:righ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r>
      <w:tr>
        <w:trPr>
          <w:trHeight w:val="124"/>
        </w:trPr>
        <w:tc>
          <w:tcPr>
            <w:tcW w:w="1820" w:type="dxa"/>
            <w:vAlign w:val="bottom"/>
            <w:tcBorders>
              <w:left w:val="single" w:sz="8" w:color="auto"/>
              <w:bottom w:val="single" w:sz="8" w:color="auto"/>
              <w:right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ind w:left="80"/>
              <w:spacing w:after="0" w:line="124" w:lineRule="exact"/>
              <w:rPr>
                <w:sz w:val="20"/>
                <w:szCs w:val="20"/>
                <w:color w:val="auto"/>
              </w:rPr>
            </w:pPr>
            <w:r>
              <w:rPr>
                <w:rFonts w:ascii="Arial" w:cs="Arial" w:eastAsia="Arial" w:hAnsi="Arial"/>
                <w:sz w:val="11"/>
                <w:szCs w:val="11"/>
                <w:color w:val="auto"/>
              </w:rPr>
              <w:t>All Other Continuity Date</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7/1/2004</w:t>
            </w:r>
          </w:p>
        </w:tc>
        <w:tc>
          <w:tcPr>
            <w:tcW w:w="1000" w:type="dxa"/>
            <w:vAlign w:val="bottom"/>
            <w:tcBorders>
              <w:bottom w:val="single" w:sz="8" w:color="auto"/>
              <w:right w:val="single" w:sz="8" w:color="auto"/>
            </w:tcBorders>
          </w:tcPr>
          <w:p>
            <w:pPr>
              <w:spacing w:after="0"/>
              <w:rPr>
                <w:sz w:val="10"/>
                <w:szCs w:val="10"/>
                <w:color w:val="auto"/>
              </w:rPr>
            </w:pPr>
          </w:p>
        </w:tc>
      </w:tr>
      <w:tr>
        <w:trPr>
          <w:trHeight w:val="124"/>
        </w:trPr>
        <w:tc>
          <w:tcPr>
            <w:tcW w:w="2360" w:type="dxa"/>
            <w:vAlign w:val="bottom"/>
            <w:tcBorders>
              <w:left w:val="single" w:sz="8" w:color="auto"/>
              <w:bottom w:val="single" w:sz="8" w:color="auto"/>
            </w:tcBorders>
            <w:gridSpan w:val="2"/>
            <w:shd w:val="clear" w:color="auto" w:fill="C0C0C0"/>
          </w:tcPr>
          <w:p>
            <w:pPr>
              <w:ind w:left="320"/>
              <w:spacing w:after="0" w:line="124" w:lineRule="exact"/>
              <w:rPr>
                <w:sz w:val="20"/>
                <w:szCs w:val="20"/>
                <w:color w:val="auto"/>
              </w:rPr>
            </w:pPr>
            <w:r>
              <w:rPr>
                <w:rFonts w:ascii="Arial" w:cs="Arial" w:eastAsia="Arial" w:hAnsi="Arial"/>
                <w:sz w:val="11"/>
                <w:szCs w:val="11"/>
                <w:b w:val="1"/>
                <w:bCs w:val="1"/>
                <w:color w:val="auto"/>
                <w:w w:val="98"/>
              </w:rPr>
              <w:t>First Layer Excess Directors &amp; Officers</w:t>
            </w:r>
          </w:p>
        </w:tc>
        <w:tc>
          <w:tcPr>
            <w:tcW w:w="940" w:type="dxa"/>
            <w:vAlign w:val="bottom"/>
            <w:tcBorders>
              <w:bottom w:val="single" w:sz="8" w:color="auto"/>
              <w:right w:val="single" w:sz="8" w:color="C0C0C0"/>
            </w:tcBorders>
            <w:shd w:val="clear" w:color="auto" w:fill="C0C0C0"/>
          </w:tcPr>
          <w:p>
            <w:pPr>
              <w:spacing w:after="0"/>
              <w:rPr>
                <w:sz w:val="10"/>
                <w:szCs w:val="10"/>
                <w:color w:val="auto"/>
              </w:rPr>
            </w:pPr>
          </w:p>
        </w:tc>
        <w:tc>
          <w:tcPr>
            <w:tcW w:w="1780" w:type="dxa"/>
            <w:vAlign w:val="bottom"/>
            <w:tcBorders>
              <w:bottom w:val="single" w:sz="8" w:color="auto"/>
              <w:right w:val="single" w:sz="8" w:color="C0C0C0"/>
            </w:tcBorders>
            <w:shd w:val="clear" w:color="auto" w:fill="C0C0C0"/>
          </w:tcPr>
          <w:p>
            <w:pPr>
              <w:spacing w:after="0"/>
              <w:rPr>
                <w:sz w:val="10"/>
                <w:szCs w:val="10"/>
                <w:color w:val="auto"/>
              </w:rPr>
            </w:pPr>
          </w:p>
        </w:tc>
        <w:tc>
          <w:tcPr>
            <w:tcW w:w="120" w:type="dxa"/>
            <w:vAlign w:val="bottom"/>
            <w:tcBorders>
              <w:bottom w:val="single" w:sz="8" w:color="auto"/>
              <w:right w:val="single" w:sz="8" w:color="C0C0C0"/>
            </w:tcBorders>
            <w:shd w:val="clear" w:color="auto" w:fill="C0C0C0"/>
          </w:tcPr>
          <w:p>
            <w:pPr>
              <w:spacing w:after="0"/>
              <w:rPr>
                <w:sz w:val="10"/>
                <w:szCs w:val="10"/>
                <w:color w:val="auto"/>
              </w:rPr>
            </w:pPr>
          </w:p>
        </w:tc>
        <w:tc>
          <w:tcPr>
            <w:tcW w:w="3940" w:type="dxa"/>
            <w:vAlign w:val="bottom"/>
            <w:tcBorders>
              <w:bottom w:val="single" w:sz="8" w:color="auto"/>
              <w:right w:val="single" w:sz="8" w:color="C0C0C0"/>
            </w:tcBorders>
            <w:shd w:val="clear" w:color="auto" w:fill="C0C0C0"/>
          </w:tcPr>
          <w:p>
            <w:pPr>
              <w:spacing w:after="0"/>
              <w:rPr>
                <w:sz w:val="10"/>
                <w:szCs w:val="10"/>
                <w:color w:val="auto"/>
              </w:rPr>
            </w:pPr>
          </w:p>
        </w:tc>
        <w:tc>
          <w:tcPr>
            <w:tcW w:w="1340" w:type="dxa"/>
            <w:vAlign w:val="bottom"/>
            <w:tcBorders>
              <w:bottom w:val="single" w:sz="8" w:color="auto"/>
              <w:right w:val="single" w:sz="8" w:color="C0C0C0"/>
            </w:tcBorders>
            <w:shd w:val="clear" w:color="auto" w:fill="C0C0C0"/>
          </w:tcPr>
          <w:p>
            <w:pPr>
              <w:spacing w:after="0"/>
              <w:rPr>
                <w:sz w:val="10"/>
                <w:szCs w:val="10"/>
                <w:color w:val="auto"/>
              </w:rPr>
            </w:pPr>
          </w:p>
        </w:tc>
        <w:tc>
          <w:tcPr>
            <w:tcW w:w="1000" w:type="dxa"/>
            <w:vAlign w:val="bottom"/>
            <w:tcBorders>
              <w:bottom w:val="single" w:sz="8" w:color="auto"/>
              <w:right w:val="single" w:sz="8" w:color="auto"/>
            </w:tcBorders>
            <w:shd w:val="clear" w:color="auto" w:fill="C0C0C0"/>
          </w:tcPr>
          <w:p>
            <w:pPr>
              <w:spacing w:after="0"/>
              <w:rPr>
                <w:sz w:val="10"/>
                <w:szCs w:val="10"/>
                <w:color w:val="auto"/>
              </w:rPr>
            </w:pPr>
          </w:p>
        </w:tc>
      </w:tr>
      <w:tr>
        <w:trPr>
          <w:trHeight w:val="124"/>
        </w:trPr>
        <w:tc>
          <w:tcPr>
            <w:tcW w:w="182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Travelers Cas &amp; Surety</w:t>
            </w:r>
          </w:p>
        </w:tc>
        <w:tc>
          <w:tcPr>
            <w:tcW w:w="540" w:type="dxa"/>
            <w:vAlign w:val="bottom"/>
          </w:tcPr>
          <w:p>
            <w:pPr>
              <w:spacing w:after="0"/>
              <w:rPr>
                <w:sz w:val="10"/>
                <w:szCs w:val="10"/>
                <w:color w:val="auto"/>
              </w:rPr>
            </w:pPr>
          </w:p>
        </w:tc>
        <w:tc>
          <w:tcPr>
            <w:tcW w:w="940" w:type="dxa"/>
            <w:vAlign w:val="bottom"/>
            <w:tcBorders>
              <w:right w:val="single" w:sz="8" w:color="auto"/>
            </w:tcBorders>
          </w:tcPr>
          <w:p>
            <w:pPr>
              <w:jc w:val="right"/>
              <w:ind w:right="606"/>
              <w:spacing w:after="0" w:line="124" w:lineRule="exact"/>
              <w:rPr>
                <w:sz w:val="20"/>
                <w:szCs w:val="20"/>
                <w:color w:val="auto"/>
              </w:rPr>
            </w:pPr>
            <w:r>
              <w:rPr>
                <w:rFonts w:ascii="Arial" w:cs="Arial" w:eastAsia="Arial" w:hAnsi="Arial"/>
                <w:sz w:val="11"/>
                <w:szCs w:val="11"/>
                <w:color w:val="auto"/>
              </w:rPr>
              <w:t>***</w:t>
            </w:r>
          </w:p>
        </w:tc>
        <w:tc>
          <w:tcPr>
            <w:tcW w:w="1780" w:type="dxa"/>
            <w:vAlign w:val="bottom"/>
          </w:tcPr>
          <w:p>
            <w:pPr>
              <w:jc w:val="right"/>
              <w:ind w:right="545"/>
              <w:spacing w:after="0" w:line="124" w:lineRule="exact"/>
              <w:rPr>
                <w:sz w:val="20"/>
                <w:szCs w:val="20"/>
                <w:color w:val="auto"/>
              </w:rPr>
            </w:pPr>
            <w:r>
              <w:rPr>
                <w:rFonts w:ascii="Arial" w:cs="Arial" w:eastAsia="Arial" w:hAnsi="Arial"/>
                <w:sz w:val="11"/>
                <w:szCs w:val="11"/>
                <w:color w:val="auto"/>
                <w:w w:val="96"/>
              </w:rPr>
              <w:t>07/01/2017 - 07/01/2018</w:t>
            </w: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Limit</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$10,000,000</w:t>
            </w:r>
          </w:p>
        </w:tc>
        <w:tc>
          <w:tcPr>
            <w:tcW w:w="1000" w:type="dxa"/>
            <w:vAlign w:val="bottom"/>
            <w:tcBorders>
              <w:right w:val="single" w:sz="8" w:color="auto"/>
            </w:tcBorders>
          </w:tcPr>
          <w:p>
            <w:pPr>
              <w:jc w:val="right"/>
              <w:ind w:right="427"/>
              <w:spacing w:after="0" w:line="124"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1"/>
                <w:szCs w:val="11"/>
                <w:color w:val="auto"/>
              </w:rPr>
              <w:t>***</w:t>
            </w:r>
          </w:p>
        </w:tc>
      </w:tr>
      <w:tr>
        <w:trPr>
          <w:trHeight w:val="124"/>
        </w:trPr>
        <w:tc>
          <w:tcPr>
            <w:tcW w:w="1820" w:type="dxa"/>
            <w:vAlign w:val="bottom"/>
            <w:tcBorders>
              <w:left w:val="single" w:sz="8" w:color="auto"/>
              <w:bottom w:val="single" w:sz="8" w:color="auto"/>
              <w:right w:val="single" w:sz="8" w:color="auto"/>
            </w:tcBorders>
          </w:tcPr>
          <w:p>
            <w:pPr>
              <w:ind w:left="20"/>
              <w:spacing w:after="0" w:line="120" w:lineRule="exact"/>
              <w:rPr>
                <w:sz w:val="20"/>
                <w:szCs w:val="20"/>
                <w:color w:val="auto"/>
              </w:rPr>
            </w:pPr>
            <w:r>
              <w:rPr>
                <w:rFonts w:ascii="Arial" w:cs="Arial" w:eastAsia="Arial" w:hAnsi="Arial"/>
                <w:sz w:val="11"/>
                <w:szCs w:val="11"/>
                <w:color w:val="auto"/>
              </w:rPr>
              <w:t>Company of America</w:t>
            </w:r>
          </w:p>
        </w:tc>
        <w:tc>
          <w:tcPr>
            <w:tcW w:w="540" w:type="dxa"/>
            <w:vAlign w:val="bottom"/>
            <w:tcBorders>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ind w:left="260"/>
              <w:spacing w:after="0" w:line="124" w:lineRule="exact"/>
              <w:rPr>
                <w:sz w:val="20"/>
                <w:szCs w:val="20"/>
                <w:color w:val="auto"/>
              </w:rPr>
            </w:pPr>
            <w:r>
              <w:rPr>
                <w:rFonts w:ascii="Arial" w:cs="Arial" w:eastAsia="Arial" w:hAnsi="Arial"/>
                <w:sz w:val="11"/>
                <w:szCs w:val="11"/>
                <w:color w:val="auto"/>
              </w:rPr>
              <w:t>In Excess of:</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$10,000,000</w:t>
            </w:r>
          </w:p>
        </w:tc>
        <w:tc>
          <w:tcPr>
            <w:tcW w:w="1000" w:type="dxa"/>
            <w:vAlign w:val="bottom"/>
            <w:tcBorders>
              <w:bottom w:val="single" w:sz="8" w:color="auto"/>
              <w:right w:val="single" w:sz="8" w:color="auto"/>
            </w:tcBorders>
          </w:tcPr>
          <w:p>
            <w:pPr>
              <w:spacing w:after="0"/>
              <w:rPr>
                <w:sz w:val="10"/>
                <w:szCs w:val="10"/>
                <w:color w:val="auto"/>
              </w:rPr>
            </w:pPr>
          </w:p>
        </w:tc>
      </w:tr>
      <w:tr>
        <w:trPr>
          <w:trHeight w:val="124"/>
        </w:trPr>
        <w:tc>
          <w:tcPr>
            <w:tcW w:w="2360" w:type="dxa"/>
            <w:vAlign w:val="bottom"/>
            <w:tcBorders>
              <w:left w:val="single" w:sz="8" w:color="auto"/>
              <w:bottom w:val="single" w:sz="8" w:color="auto"/>
            </w:tcBorders>
            <w:gridSpan w:val="2"/>
            <w:shd w:val="clear" w:color="auto" w:fill="C0C0C0"/>
          </w:tcPr>
          <w:p>
            <w:pPr>
              <w:ind w:left="320"/>
              <w:spacing w:after="0" w:line="124" w:lineRule="exact"/>
              <w:rPr>
                <w:sz w:val="20"/>
                <w:szCs w:val="20"/>
                <w:color w:val="auto"/>
              </w:rPr>
            </w:pPr>
            <w:r>
              <w:rPr>
                <w:rFonts w:ascii="Arial" w:cs="Arial" w:eastAsia="Arial" w:hAnsi="Arial"/>
                <w:sz w:val="11"/>
                <w:szCs w:val="11"/>
                <w:b w:val="1"/>
                <w:bCs w:val="1"/>
                <w:color w:val="auto"/>
                <w:w w:val="91"/>
              </w:rPr>
              <w:t>Second Layer Excess Directors &amp; Officers</w:t>
            </w:r>
          </w:p>
        </w:tc>
        <w:tc>
          <w:tcPr>
            <w:tcW w:w="940" w:type="dxa"/>
            <w:vAlign w:val="bottom"/>
            <w:tcBorders>
              <w:bottom w:val="single" w:sz="8" w:color="auto"/>
              <w:right w:val="single" w:sz="8" w:color="C0C0C0"/>
            </w:tcBorders>
            <w:shd w:val="clear" w:color="auto" w:fill="C0C0C0"/>
          </w:tcPr>
          <w:p>
            <w:pPr>
              <w:spacing w:after="0"/>
              <w:rPr>
                <w:sz w:val="10"/>
                <w:szCs w:val="10"/>
                <w:color w:val="auto"/>
              </w:rPr>
            </w:pPr>
          </w:p>
        </w:tc>
        <w:tc>
          <w:tcPr>
            <w:tcW w:w="1780" w:type="dxa"/>
            <w:vAlign w:val="bottom"/>
            <w:tcBorders>
              <w:bottom w:val="single" w:sz="8" w:color="auto"/>
              <w:right w:val="single" w:sz="8" w:color="C0C0C0"/>
            </w:tcBorders>
            <w:shd w:val="clear" w:color="auto" w:fill="C0C0C0"/>
          </w:tcPr>
          <w:p>
            <w:pPr>
              <w:spacing w:after="0"/>
              <w:rPr>
                <w:sz w:val="10"/>
                <w:szCs w:val="10"/>
                <w:color w:val="auto"/>
              </w:rPr>
            </w:pPr>
          </w:p>
        </w:tc>
        <w:tc>
          <w:tcPr>
            <w:tcW w:w="120" w:type="dxa"/>
            <w:vAlign w:val="bottom"/>
            <w:tcBorders>
              <w:bottom w:val="single" w:sz="8" w:color="auto"/>
              <w:right w:val="single" w:sz="8" w:color="C0C0C0"/>
            </w:tcBorders>
            <w:shd w:val="clear" w:color="auto" w:fill="C0C0C0"/>
          </w:tcPr>
          <w:p>
            <w:pPr>
              <w:spacing w:after="0"/>
              <w:rPr>
                <w:sz w:val="10"/>
                <w:szCs w:val="10"/>
                <w:color w:val="auto"/>
              </w:rPr>
            </w:pPr>
          </w:p>
        </w:tc>
        <w:tc>
          <w:tcPr>
            <w:tcW w:w="3940" w:type="dxa"/>
            <w:vAlign w:val="bottom"/>
            <w:tcBorders>
              <w:bottom w:val="single" w:sz="8" w:color="auto"/>
              <w:right w:val="single" w:sz="8" w:color="C0C0C0"/>
            </w:tcBorders>
            <w:shd w:val="clear" w:color="auto" w:fill="C0C0C0"/>
          </w:tcPr>
          <w:p>
            <w:pPr>
              <w:spacing w:after="0"/>
              <w:rPr>
                <w:sz w:val="10"/>
                <w:szCs w:val="10"/>
                <w:color w:val="auto"/>
              </w:rPr>
            </w:pPr>
          </w:p>
        </w:tc>
        <w:tc>
          <w:tcPr>
            <w:tcW w:w="1340" w:type="dxa"/>
            <w:vAlign w:val="bottom"/>
            <w:tcBorders>
              <w:bottom w:val="single" w:sz="8" w:color="auto"/>
              <w:right w:val="single" w:sz="8" w:color="C0C0C0"/>
            </w:tcBorders>
            <w:shd w:val="clear" w:color="auto" w:fill="C0C0C0"/>
          </w:tcPr>
          <w:p>
            <w:pPr>
              <w:spacing w:after="0"/>
              <w:rPr>
                <w:sz w:val="10"/>
                <w:szCs w:val="10"/>
                <w:color w:val="auto"/>
              </w:rPr>
            </w:pPr>
          </w:p>
        </w:tc>
        <w:tc>
          <w:tcPr>
            <w:tcW w:w="1000" w:type="dxa"/>
            <w:vAlign w:val="bottom"/>
            <w:tcBorders>
              <w:bottom w:val="single" w:sz="8" w:color="auto"/>
              <w:right w:val="single" w:sz="8" w:color="auto"/>
            </w:tcBorders>
            <w:shd w:val="clear" w:color="auto" w:fill="C0C0C0"/>
          </w:tcPr>
          <w:p>
            <w:pPr>
              <w:spacing w:after="0"/>
              <w:rPr>
                <w:sz w:val="10"/>
                <w:szCs w:val="10"/>
                <w:color w:val="auto"/>
              </w:rPr>
            </w:pPr>
          </w:p>
        </w:tc>
      </w:tr>
      <w:tr>
        <w:trPr>
          <w:trHeight w:val="124"/>
        </w:trPr>
        <w:tc>
          <w:tcPr>
            <w:tcW w:w="182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Berkley Insurance</w:t>
            </w:r>
          </w:p>
        </w:tc>
        <w:tc>
          <w:tcPr>
            <w:tcW w:w="540" w:type="dxa"/>
            <w:vAlign w:val="bottom"/>
          </w:tcPr>
          <w:p>
            <w:pPr>
              <w:spacing w:after="0"/>
              <w:rPr>
                <w:sz w:val="10"/>
                <w:szCs w:val="10"/>
                <w:color w:val="auto"/>
              </w:rPr>
            </w:pPr>
          </w:p>
        </w:tc>
        <w:tc>
          <w:tcPr>
            <w:tcW w:w="940" w:type="dxa"/>
            <w:vAlign w:val="bottom"/>
            <w:tcBorders>
              <w:right w:val="single" w:sz="8" w:color="auto"/>
            </w:tcBorders>
          </w:tcPr>
          <w:p>
            <w:pPr>
              <w:jc w:val="right"/>
              <w:ind w:right="606"/>
              <w:spacing w:after="0" w:line="124" w:lineRule="exact"/>
              <w:rPr>
                <w:sz w:val="20"/>
                <w:szCs w:val="20"/>
                <w:color w:val="auto"/>
              </w:rPr>
            </w:pPr>
            <w:r>
              <w:rPr>
                <w:rFonts w:ascii="Arial" w:cs="Arial" w:eastAsia="Arial" w:hAnsi="Arial"/>
                <w:sz w:val="11"/>
                <w:szCs w:val="11"/>
                <w:color w:val="auto"/>
              </w:rPr>
              <w:t>***</w:t>
            </w:r>
          </w:p>
        </w:tc>
        <w:tc>
          <w:tcPr>
            <w:tcW w:w="1780" w:type="dxa"/>
            <w:vAlign w:val="bottom"/>
          </w:tcPr>
          <w:p>
            <w:pPr>
              <w:jc w:val="right"/>
              <w:ind w:right="545"/>
              <w:spacing w:after="0" w:line="124" w:lineRule="exact"/>
              <w:rPr>
                <w:sz w:val="20"/>
                <w:szCs w:val="20"/>
                <w:color w:val="auto"/>
              </w:rPr>
            </w:pPr>
            <w:r>
              <w:rPr>
                <w:rFonts w:ascii="Arial" w:cs="Arial" w:eastAsia="Arial" w:hAnsi="Arial"/>
                <w:sz w:val="11"/>
                <w:szCs w:val="11"/>
                <w:color w:val="auto"/>
                <w:w w:val="96"/>
              </w:rPr>
              <w:t>07/01/2017 - 07/01/2018</w:t>
            </w: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Limit</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$5,000,000</w:t>
            </w:r>
          </w:p>
        </w:tc>
        <w:tc>
          <w:tcPr>
            <w:tcW w:w="1000" w:type="dxa"/>
            <w:vAlign w:val="bottom"/>
            <w:tcBorders>
              <w:right w:val="single" w:sz="8" w:color="auto"/>
            </w:tcBorders>
          </w:tcPr>
          <w:p>
            <w:pPr>
              <w:jc w:val="right"/>
              <w:ind w:right="427"/>
              <w:spacing w:after="0" w:line="124"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1"/>
                <w:szCs w:val="11"/>
                <w:color w:val="auto"/>
              </w:rPr>
              <w:t>***</w:t>
            </w:r>
          </w:p>
        </w:tc>
      </w:tr>
      <w:tr>
        <w:trPr>
          <w:trHeight w:val="124"/>
        </w:trPr>
        <w:tc>
          <w:tcPr>
            <w:tcW w:w="1820" w:type="dxa"/>
            <w:vAlign w:val="bottom"/>
            <w:tcBorders>
              <w:left w:val="single" w:sz="8" w:color="auto"/>
              <w:bottom w:val="single" w:sz="8" w:color="auto"/>
              <w:right w:val="single" w:sz="8" w:color="auto"/>
            </w:tcBorders>
          </w:tcPr>
          <w:p>
            <w:pPr>
              <w:ind w:left="20"/>
              <w:spacing w:after="0" w:line="120" w:lineRule="exact"/>
              <w:rPr>
                <w:sz w:val="20"/>
                <w:szCs w:val="20"/>
                <w:color w:val="auto"/>
              </w:rPr>
            </w:pPr>
            <w:r>
              <w:rPr>
                <w:rFonts w:ascii="Arial" w:cs="Arial" w:eastAsia="Arial" w:hAnsi="Arial"/>
                <w:sz w:val="11"/>
                <w:szCs w:val="11"/>
                <w:color w:val="auto"/>
              </w:rPr>
              <w:t>Company - US</w:t>
            </w:r>
          </w:p>
        </w:tc>
        <w:tc>
          <w:tcPr>
            <w:tcW w:w="540" w:type="dxa"/>
            <w:vAlign w:val="bottom"/>
            <w:tcBorders>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ind w:left="280"/>
              <w:spacing w:after="0" w:line="124" w:lineRule="exact"/>
              <w:rPr>
                <w:sz w:val="20"/>
                <w:szCs w:val="20"/>
                <w:color w:val="auto"/>
              </w:rPr>
            </w:pPr>
            <w:r>
              <w:rPr>
                <w:rFonts w:ascii="Arial" w:cs="Arial" w:eastAsia="Arial" w:hAnsi="Arial"/>
                <w:sz w:val="11"/>
                <w:szCs w:val="11"/>
                <w:color w:val="auto"/>
              </w:rPr>
              <w:t>In Excess of:</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$20,000,000</w:t>
            </w:r>
          </w:p>
        </w:tc>
        <w:tc>
          <w:tcPr>
            <w:tcW w:w="1000" w:type="dxa"/>
            <w:vAlign w:val="bottom"/>
            <w:tcBorders>
              <w:bottom w:val="single" w:sz="8" w:color="auto"/>
              <w:right w:val="single" w:sz="8" w:color="auto"/>
            </w:tcBorders>
          </w:tcPr>
          <w:p>
            <w:pPr>
              <w:spacing w:after="0"/>
              <w:rPr>
                <w:sz w:val="10"/>
                <w:szCs w:val="10"/>
                <w:color w:val="auto"/>
              </w:rPr>
            </w:pPr>
          </w:p>
        </w:tc>
      </w:tr>
      <w:tr>
        <w:trPr>
          <w:trHeight w:val="124"/>
        </w:trPr>
        <w:tc>
          <w:tcPr>
            <w:tcW w:w="3300" w:type="dxa"/>
            <w:vAlign w:val="bottom"/>
            <w:tcBorders>
              <w:left w:val="single" w:sz="8" w:color="auto"/>
              <w:bottom w:val="single" w:sz="8" w:color="auto"/>
              <w:right w:val="single" w:sz="8" w:color="C0C0C0"/>
            </w:tcBorders>
            <w:gridSpan w:val="3"/>
            <w:shd w:val="clear" w:color="auto" w:fill="C0C0C0"/>
          </w:tcPr>
          <w:p>
            <w:pPr>
              <w:ind w:left="320"/>
              <w:spacing w:after="0" w:line="124" w:lineRule="exact"/>
              <w:rPr>
                <w:sz w:val="20"/>
                <w:szCs w:val="20"/>
                <w:color w:val="auto"/>
              </w:rPr>
            </w:pPr>
            <w:r>
              <w:rPr>
                <w:rFonts w:ascii="Arial" w:cs="Arial" w:eastAsia="Arial" w:hAnsi="Arial"/>
                <w:sz w:val="11"/>
                <w:szCs w:val="11"/>
                <w:b w:val="1"/>
                <w:bCs w:val="1"/>
                <w:color w:val="auto"/>
              </w:rPr>
              <w:t>Third Layer Side A Excess Directors &amp; Officers</w:t>
            </w:r>
          </w:p>
        </w:tc>
        <w:tc>
          <w:tcPr>
            <w:tcW w:w="1780" w:type="dxa"/>
            <w:vAlign w:val="bottom"/>
            <w:tcBorders>
              <w:bottom w:val="single" w:sz="8" w:color="auto"/>
              <w:right w:val="single" w:sz="8" w:color="C0C0C0"/>
            </w:tcBorders>
            <w:shd w:val="clear" w:color="auto" w:fill="C0C0C0"/>
          </w:tcPr>
          <w:p>
            <w:pPr>
              <w:spacing w:after="0"/>
              <w:rPr>
                <w:sz w:val="10"/>
                <w:szCs w:val="10"/>
                <w:color w:val="auto"/>
              </w:rPr>
            </w:pPr>
          </w:p>
        </w:tc>
        <w:tc>
          <w:tcPr>
            <w:tcW w:w="120" w:type="dxa"/>
            <w:vAlign w:val="bottom"/>
            <w:tcBorders>
              <w:bottom w:val="single" w:sz="8" w:color="auto"/>
              <w:right w:val="single" w:sz="8" w:color="C0C0C0"/>
            </w:tcBorders>
            <w:shd w:val="clear" w:color="auto" w:fill="C0C0C0"/>
          </w:tcPr>
          <w:p>
            <w:pPr>
              <w:spacing w:after="0"/>
              <w:rPr>
                <w:sz w:val="10"/>
                <w:szCs w:val="10"/>
                <w:color w:val="auto"/>
              </w:rPr>
            </w:pPr>
          </w:p>
        </w:tc>
        <w:tc>
          <w:tcPr>
            <w:tcW w:w="3940" w:type="dxa"/>
            <w:vAlign w:val="bottom"/>
            <w:tcBorders>
              <w:bottom w:val="single" w:sz="8" w:color="auto"/>
              <w:right w:val="single" w:sz="8" w:color="C0C0C0"/>
            </w:tcBorders>
            <w:shd w:val="clear" w:color="auto" w:fill="C0C0C0"/>
          </w:tcPr>
          <w:p>
            <w:pPr>
              <w:spacing w:after="0"/>
              <w:rPr>
                <w:sz w:val="10"/>
                <w:szCs w:val="10"/>
                <w:color w:val="auto"/>
              </w:rPr>
            </w:pPr>
          </w:p>
        </w:tc>
        <w:tc>
          <w:tcPr>
            <w:tcW w:w="1340" w:type="dxa"/>
            <w:vAlign w:val="bottom"/>
            <w:tcBorders>
              <w:bottom w:val="single" w:sz="8" w:color="auto"/>
              <w:right w:val="single" w:sz="8" w:color="C0C0C0"/>
            </w:tcBorders>
            <w:shd w:val="clear" w:color="auto" w:fill="C0C0C0"/>
          </w:tcPr>
          <w:p>
            <w:pPr>
              <w:spacing w:after="0"/>
              <w:rPr>
                <w:sz w:val="10"/>
                <w:szCs w:val="10"/>
                <w:color w:val="auto"/>
              </w:rPr>
            </w:pPr>
          </w:p>
        </w:tc>
        <w:tc>
          <w:tcPr>
            <w:tcW w:w="1000" w:type="dxa"/>
            <w:vAlign w:val="bottom"/>
            <w:tcBorders>
              <w:bottom w:val="single" w:sz="8" w:color="auto"/>
              <w:right w:val="single" w:sz="8" w:color="auto"/>
            </w:tcBorders>
            <w:shd w:val="clear" w:color="auto" w:fill="C0C0C0"/>
          </w:tcPr>
          <w:p>
            <w:pPr>
              <w:spacing w:after="0"/>
              <w:rPr>
                <w:sz w:val="10"/>
                <w:szCs w:val="10"/>
                <w:color w:val="auto"/>
              </w:rPr>
            </w:pPr>
          </w:p>
        </w:tc>
      </w:tr>
      <w:tr>
        <w:trPr>
          <w:trHeight w:val="124"/>
        </w:trPr>
        <w:tc>
          <w:tcPr>
            <w:tcW w:w="182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National Union Fire Ins Co</w:t>
            </w:r>
          </w:p>
        </w:tc>
        <w:tc>
          <w:tcPr>
            <w:tcW w:w="540" w:type="dxa"/>
            <w:vAlign w:val="bottom"/>
          </w:tcPr>
          <w:p>
            <w:pPr>
              <w:spacing w:after="0"/>
              <w:rPr>
                <w:sz w:val="10"/>
                <w:szCs w:val="10"/>
                <w:color w:val="auto"/>
              </w:rPr>
            </w:pPr>
          </w:p>
        </w:tc>
        <w:tc>
          <w:tcPr>
            <w:tcW w:w="940" w:type="dxa"/>
            <w:vAlign w:val="bottom"/>
            <w:tcBorders>
              <w:right w:val="single" w:sz="8" w:color="auto"/>
            </w:tcBorders>
          </w:tcPr>
          <w:p>
            <w:pPr>
              <w:jc w:val="right"/>
              <w:ind w:right="606"/>
              <w:spacing w:after="0" w:line="124" w:lineRule="exact"/>
              <w:rPr>
                <w:sz w:val="20"/>
                <w:szCs w:val="20"/>
                <w:color w:val="auto"/>
              </w:rPr>
            </w:pPr>
            <w:r>
              <w:rPr>
                <w:rFonts w:ascii="Arial" w:cs="Arial" w:eastAsia="Arial" w:hAnsi="Arial"/>
                <w:sz w:val="11"/>
                <w:szCs w:val="11"/>
                <w:color w:val="auto"/>
              </w:rPr>
              <w:t>***</w:t>
            </w:r>
          </w:p>
        </w:tc>
        <w:tc>
          <w:tcPr>
            <w:tcW w:w="1780" w:type="dxa"/>
            <w:vAlign w:val="bottom"/>
          </w:tcPr>
          <w:p>
            <w:pPr>
              <w:jc w:val="right"/>
              <w:ind w:right="545"/>
              <w:spacing w:after="0" w:line="124" w:lineRule="exact"/>
              <w:rPr>
                <w:sz w:val="20"/>
                <w:szCs w:val="20"/>
                <w:color w:val="auto"/>
              </w:rPr>
            </w:pPr>
            <w:r>
              <w:rPr>
                <w:rFonts w:ascii="Arial" w:cs="Arial" w:eastAsia="Arial" w:hAnsi="Arial"/>
                <w:sz w:val="11"/>
                <w:szCs w:val="11"/>
                <w:color w:val="auto"/>
                <w:w w:val="96"/>
              </w:rPr>
              <w:t>07/01/2017 - 07/01/2018</w:t>
            </w: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Limit</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$10,000,000</w:t>
            </w:r>
          </w:p>
        </w:tc>
        <w:tc>
          <w:tcPr>
            <w:tcW w:w="1000" w:type="dxa"/>
            <w:vAlign w:val="bottom"/>
            <w:tcBorders>
              <w:right w:val="single" w:sz="8" w:color="auto"/>
            </w:tcBorders>
          </w:tcPr>
          <w:p>
            <w:pPr>
              <w:jc w:val="right"/>
              <w:ind w:right="427"/>
              <w:spacing w:after="0" w:line="124"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1"/>
                <w:szCs w:val="11"/>
                <w:color w:val="auto"/>
              </w:rPr>
              <w:t>***</w:t>
            </w:r>
          </w:p>
        </w:tc>
      </w:tr>
      <w:tr>
        <w:trPr>
          <w:trHeight w:val="124"/>
        </w:trPr>
        <w:tc>
          <w:tcPr>
            <w:tcW w:w="1820" w:type="dxa"/>
            <w:vAlign w:val="bottom"/>
            <w:tcBorders>
              <w:left w:val="single" w:sz="8" w:color="auto"/>
              <w:bottom w:val="single" w:sz="8" w:color="auto"/>
              <w:right w:val="single" w:sz="8" w:color="auto"/>
            </w:tcBorders>
          </w:tcPr>
          <w:p>
            <w:pPr>
              <w:ind w:left="20"/>
              <w:spacing w:after="0" w:line="120" w:lineRule="exact"/>
              <w:rPr>
                <w:sz w:val="20"/>
                <w:szCs w:val="20"/>
                <w:color w:val="auto"/>
              </w:rPr>
            </w:pPr>
            <w:r>
              <w:rPr>
                <w:rFonts w:ascii="Arial" w:cs="Arial" w:eastAsia="Arial" w:hAnsi="Arial"/>
                <w:sz w:val="11"/>
                <w:szCs w:val="11"/>
                <w:color w:val="auto"/>
              </w:rPr>
              <w:t>of Pittsburgh, Pa.</w:t>
            </w:r>
          </w:p>
        </w:tc>
        <w:tc>
          <w:tcPr>
            <w:tcW w:w="540" w:type="dxa"/>
            <w:vAlign w:val="bottom"/>
            <w:tcBorders>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ind w:left="280"/>
              <w:spacing w:after="0" w:line="124" w:lineRule="exact"/>
              <w:rPr>
                <w:sz w:val="20"/>
                <w:szCs w:val="20"/>
                <w:color w:val="auto"/>
              </w:rPr>
            </w:pPr>
            <w:r>
              <w:rPr>
                <w:rFonts w:ascii="Arial" w:cs="Arial" w:eastAsia="Arial" w:hAnsi="Arial"/>
                <w:sz w:val="11"/>
                <w:szCs w:val="11"/>
                <w:color w:val="auto"/>
              </w:rPr>
              <w:t>In Excess of:</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$25,000,000</w:t>
            </w:r>
          </w:p>
        </w:tc>
        <w:tc>
          <w:tcPr>
            <w:tcW w:w="1000" w:type="dxa"/>
            <w:vAlign w:val="bottom"/>
            <w:tcBorders>
              <w:bottom w:val="single" w:sz="8" w:color="auto"/>
              <w:right w:val="single" w:sz="8" w:color="auto"/>
            </w:tcBorders>
          </w:tcPr>
          <w:p>
            <w:pPr>
              <w:spacing w:after="0"/>
              <w:rPr>
                <w:sz w:val="10"/>
                <w:szCs w:val="10"/>
                <w:color w:val="auto"/>
              </w:rPr>
            </w:pPr>
          </w:p>
        </w:tc>
      </w:tr>
      <w:tr>
        <w:trPr>
          <w:trHeight w:val="406"/>
        </w:trPr>
        <w:tc>
          <w:tcPr>
            <w:tcW w:w="9140" w:type="dxa"/>
            <w:vAlign w:val="bottom"/>
            <w:gridSpan w:val="6"/>
          </w:tcPr>
          <w:p>
            <w:pPr>
              <w:spacing w:after="0"/>
              <w:rPr>
                <w:sz w:val="20"/>
                <w:szCs w:val="20"/>
                <w:color w:val="auto"/>
              </w:rPr>
            </w:pPr>
            <w:r>
              <w:rPr>
                <w:rFonts w:ascii="Arial" w:cs="Arial" w:eastAsia="Arial" w:hAnsi="Arial"/>
                <w:sz w:val="10"/>
                <w:szCs w:val="10"/>
                <w:color w:val="auto"/>
              </w:rPr>
              <w:t>Note 1: This Document is intended as a guide only, please consult your policy for a complete listings of all applicable terms, conditions, and limits.</w:t>
            </w:r>
          </w:p>
        </w:tc>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30"/>
        </w:trPr>
        <w:tc>
          <w:tcPr>
            <w:tcW w:w="2360" w:type="dxa"/>
            <w:vAlign w:val="bottom"/>
            <w:gridSpan w:val="2"/>
          </w:tcPr>
          <w:p>
            <w:pPr>
              <w:spacing w:after="0"/>
              <w:rPr>
                <w:sz w:val="20"/>
                <w:szCs w:val="20"/>
                <w:color w:val="auto"/>
              </w:rPr>
            </w:pPr>
            <w:r>
              <w:rPr>
                <w:rFonts w:ascii="Arial" w:cs="Arial" w:eastAsia="Arial" w:hAnsi="Arial"/>
                <w:sz w:val="10"/>
                <w:szCs w:val="10"/>
                <w:color w:val="auto"/>
              </w:rPr>
              <w:t>Note 2: All premiums are in US Dollars.</w:t>
            </w:r>
          </w:p>
        </w:tc>
        <w:tc>
          <w:tcPr>
            <w:tcW w:w="9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0" w:type="dxa"/>
            <w:vAlign w:val="bottom"/>
          </w:tcPr>
          <w:p>
            <w:pPr>
              <w:ind w:left="760"/>
              <w:spacing w:after="0"/>
              <w:rPr>
                <w:sz w:val="20"/>
                <w:szCs w:val="20"/>
                <w:color w:val="auto"/>
              </w:rPr>
            </w:pPr>
            <w:r>
              <w:rPr>
                <w:rFonts w:ascii="Arial" w:cs="Arial" w:eastAsia="Arial" w:hAnsi="Arial"/>
                <w:sz w:val="10"/>
                <w:szCs w:val="10"/>
                <w:color w:val="auto"/>
                <w:w w:val="85"/>
              </w:rPr>
              <w:t>Page</w:t>
            </w:r>
          </w:p>
        </w:tc>
      </w:tr>
      <w:tr>
        <w:trPr>
          <w:trHeight w:val="108"/>
        </w:trPr>
        <w:tc>
          <w:tcPr>
            <w:tcW w:w="1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0" w:type="dxa"/>
            <w:vAlign w:val="bottom"/>
          </w:tcPr>
          <w:p>
            <w:pPr>
              <w:ind w:left="760"/>
              <w:spacing w:after="0" w:line="108" w:lineRule="exact"/>
              <w:rPr>
                <w:sz w:val="20"/>
                <w:szCs w:val="20"/>
                <w:color w:val="auto"/>
              </w:rPr>
            </w:pPr>
            <w:r>
              <w:rPr>
                <w:rFonts w:ascii="Arial" w:cs="Arial" w:eastAsia="Arial" w:hAnsi="Arial"/>
                <w:sz w:val="10"/>
                <w:szCs w:val="10"/>
                <w:color w:val="auto"/>
              </w:rPr>
              <w:t>5 of</w:t>
            </w:r>
          </w:p>
        </w:tc>
      </w:tr>
      <w:tr>
        <w:trPr>
          <w:trHeight w:val="108"/>
        </w:trPr>
        <w:tc>
          <w:tcPr>
            <w:tcW w:w="1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0" w:type="dxa"/>
            <w:vAlign w:val="bottom"/>
          </w:tcPr>
          <w:p>
            <w:pPr>
              <w:ind w:left="760"/>
              <w:spacing w:after="0" w:line="108" w:lineRule="exact"/>
              <w:rPr>
                <w:sz w:val="20"/>
                <w:szCs w:val="20"/>
                <w:color w:val="auto"/>
              </w:rPr>
            </w:pPr>
            <w:r>
              <w:rPr>
                <w:rFonts w:ascii="Arial" w:cs="Arial" w:eastAsia="Arial" w:hAnsi="Arial"/>
                <w:sz w:val="10"/>
                <w:szCs w:val="10"/>
                <w:color w:val="auto"/>
              </w:rPr>
              <w:t>8</w:t>
            </w:r>
          </w:p>
        </w:tc>
      </w:tr>
    </w:tbl>
    <w:p>
      <w:pPr>
        <w:ind w:left="388" w:hanging="388"/>
        <w:spacing w:after="0"/>
        <w:tabs>
          <w:tab w:leader="none" w:pos="388" w:val="left"/>
        </w:tabs>
        <w:numPr>
          <w:ilvl w:val="0"/>
          <w:numId w:val="194"/>
        </w:numPr>
        <w:rPr>
          <w:rFonts w:ascii="Arial" w:cs="Arial" w:eastAsia="Arial" w:hAnsi="Arial"/>
          <w:sz w:val="10"/>
          <w:szCs w:val="10"/>
          <w:b w:val="1"/>
          <w:bCs w:val="1"/>
          <w:color w:val="auto"/>
        </w:rPr>
      </w:pPr>
      <w:r>
        <w:rPr>
          <w:rFonts w:ascii="Arial" w:cs="Arial" w:eastAsia="Arial" w:hAnsi="Arial"/>
          <w:sz w:val="10"/>
          <w:szCs w:val="10"/>
          <w:b w:val="1"/>
          <w:bCs w:val="1"/>
          <w:color w:val="auto"/>
        </w:rPr>
        <w:t>Represents text omitted pursuant to a request for confidential treatment. The omitted material has been filed separately with the Securities and Exchange Commission</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267335</wp:posOffset>
            </wp:positionV>
            <wp:extent cx="7329170" cy="368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127" w:right="199" w:bottom="1440" w:gutter="0" w:footer="0" w:header="0"/>
        </w:sectPr>
      </w:pPr>
    </w:p>
    <w:bookmarkStart w:id="173" w:name="page174"/>
    <w:bookmarkEnd w:id="173"/>
    <w:tbl>
      <w:tblPr>
        <w:tblLayout w:type="fixed"/>
        <w:tblInd w:w="18" w:type="dxa"/>
        <w:tblCellMar>
          <w:top w:w="0" w:type="dxa"/>
          <w:left w:w="0" w:type="dxa"/>
          <w:bottom w:w="0" w:type="dxa"/>
          <w:right w:w="0" w:type="dxa"/>
        </w:tblCellMar>
      </w:tblPr>
      <w:tr>
        <w:trPr>
          <w:trHeight w:val="157"/>
        </w:trPr>
        <w:tc>
          <w:tcPr>
            <w:tcW w:w="1820" w:type="dxa"/>
            <w:vAlign w:val="bottom"/>
          </w:tcPr>
          <w:p>
            <w:pPr>
              <w:spacing w:after="0"/>
              <w:rPr>
                <w:sz w:val="20"/>
                <w:szCs w:val="20"/>
                <w:color w:val="auto"/>
              </w:rPr>
            </w:pPr>
            <w:r>
              <w:rPr>
                <w:rFonts w:ascii="Arial" w:cs="Arial" w:eastAsia="Arial" w:hAnsi="Arial"/>
                <w:sz w:val="12"/>
                <w:szCs w:val="12"/>
                <w:b w:val="1"/>
                <w:bCs w:val="1"/>
                <w:color w:val="auto"/>
              </w:rPr>
              <w:t>Schedule 5.10 Insurance</w:t>
            </w:r>
          </w:p>
        </w:tc>
        <w:tc>
          <w:tcPr>
            <w:tcW w:w="14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44"/>
        </w:trPr>
        <w:tc>
          <w:tcPr>
            <w:tcW w:w="18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33"/>
        </w:trPr>
        <w:tc>
          <w:tcPr>
            <w:tcW w:w="1820" w:type="dxa"/>
            <w:vAlign w:val="bottom"/>
            <w:tcBorders>
              <w:left w:val="single" w:sz="8" w:color="auto"/>
              <w:bottom w:val="single" w:sz="8" w:color="auto"/>
              <w:right w:val="single" w:sz="8" w:color="BEBEBE"/>
            </w:tcBorders>
            <w:shd w:val="clear" w:color="auto" w:fill="BEBEBE"/>
          </w:tcPr>
          <w:p>
            <w:pPr>
              <w:ind w:left="80"/>
              <w:spacing w:after="0" w:line="133" w:lineRule="exact"/>
              <w:rPr>
                <w:sz w:val="20"/>
                <w:szCs w:val="20"/>
                <w:color w:val="auto"/>
              </w:rPr>
            </w:pPr>
            <w:r>
              <w:rPr>
                <w:rFonts w:ascii="Arial" w:cs="Arial" w:eastAsia="Arial" w:hAnsi="Arial"/>
                <w:sz w:val="12"/>
                <w:szCs w:val="12"/>
                <w:b w:val="1"/>
                <w:bCs w:val="1"/>
                <w:color w:val="auto"/>
              </w:rPr>
              <w:t>Coverage/Limits as of:</w:t>
            </w:r>
          </w:p>
        </w:tc>
        <w:tc>
          <w:tcPr>
            <w:tcW w:w="1480" w:type="dxa"/>
            <w:vAlign w:val="bottom"/>
            <w:tcBorders>
              <w:bottom w:val="single" w:sz="8" w:color="auto"/>
              <w:right w:val="single" w:sz="8" w:color="auto"/>
            </w:tcBorders>
            <w:shd w:val="clear" w:color="auto" w:fill="BEBEBE"/>
          </w:tcPr>
          <w:p>
            <w:pPr>
              <w:spacing w:after="0"/>
              <w:rPr>
                <w:sz w:val="11"/>
                <w:szCs w:val="11"/>
                <w:color w:val="auto"/>
              </w:rPr>
            </w:pPr>
          </w:p>
        </w:tc>
        <w:tc>
          <w:tcPr>
            <w:tcW w:w="1780" w:type="dxa"/>
            <w:vAlign w:val="bottom"/>
            <w:tcBorders>
              <w:bottom w:val="single" w:sz="8" w:color="auto"/>
              <w:right w:val="single" w:sz="8" w:color="auto"/>
            </w:tcBorders>
            <w:shd w:val="clear" w:color="auto" w:fill="BEBEBE"/>
          </w:tcPr>
          <w:p>
            <w:pPr>
              <w:jc w:val="right"/>
              <w:ind w:right="1064"/>
              <w:spacing w:after="0" w:line="133" w:lineRule="exact"/>
              <w:rPr>
                <w:sz w:val="20"/>
                <w:szCs w:val="20"/>
                <w:color w:val="auto"/>
              </w:rPr>
            </w:pPr>
            <w:r>
              <w:rPr>
                <w:rFonts w:ascii="Arial" w:cs="Arial" w:eastAsia="Arial" w:hAnsi="Arial"/>
                <w:sz w:val="12"/>
                <w:szCs w:val="12"/>
                <w:b w:val="1"/>
                <w:bCs w:val="1"/>
                <w:color w:val="auto"/>
                <w:w w:val="94"/>
              </w:rPr>
              <w:t>July 1, 2017</w:t>
            </w:r>
          </w:p>
        </w:tc>
        <w:tc>
          <w:tcPr>
            <w:tcW w:w="1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241"/>
        </w:trPr>
        <w:tc>
          <w:tcPr>
            <w:tcW w:w="18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24"/>
        </w:trPr>
        <w:tc>
          <w:tcPr>
            <w:tcW w:w="1820" w:type="dxa"/>
            <w:vAlign w:val="bottom"/>
            <w:tcBorders>
              <w:left w:val="single" w:sz="8" w:color="auto"/>
              <w:bottom w:val="single" w:sz="8" w:color="auto"/>
              <w:right w:val="single" w:sz="8" w:color="C0C0C0"/>
            </w:tcBorders>
            <w:shd w:val="clear" w:color="auto" w:fill="C0C0C0"/>
          </w:tcPr>
          <w:p>
            <w:pPr>
              <w:ind w:left="20"/>
              <w:spacing w:after="0" w:line="124" w:lineRule="exact"/>
              <w:rPr>
                <w:sz w:val="20"/>
                <w:szCs w:val="20"/>
                <w:color w:val="auto"/>
              </w:rPr>
            </w:pPr>
            <w:r>
              <w:rPr>
                <w:rFonts w:ascii="Arial" w:cs="Arial" w:eastAsia="Arial" w:hAnsi="Arial"/>
                <w:sz w:val="11"/>
                <w:szCs w:val="11"/>
                <w:b w:val="1"/>
                <w:bCs w:val="1"/>
                <w:color w:val="auto"/>
              </w:rPr>
              <w:t>Fiduciary Liability</w:t>
            </w:r>
          </w:p>
        </w:tc>
        <w:tc>
          <w:tcPr>
            <w:tcW w:w="1480" w:type="dxa"/>
            <w:vAlign w:val="bottom"/>
            <w:tcBorders>
              <w:bottom w:val="single" w:sz="8" w:color="auto"/>
              <w:right w:val="single" w:sz="8" w:color="C0C0C0"/>
            </w:tcBorders>
            <w:shd w:val="clear" w:color="auto" w:fill="C0C0C0"/>
          </w:tcPr>
          <w:p>
            <w:pPr>
              <w:spacing w:after="0"/>
              <w:rPr>
                <w:sz w:val="10"/>
                <w:szCs w:val="10"/>
                <w:color w:val="auto"/>
              </w:rPr>
            </w:pPr>
          </w:p>
        </w:tc>
        <w:tc>
          <w:tcPr>
            <w:tcW w:w="1780" w:type="dxa"/>
            <w:vAlign w:val="bottom"/>
            <w:tcBorders>
              <w:bottom w:val="single" w:sz="8" w:color="auto"/>
              <w:right w:val="single" w:sz="8" w:color="C0C0C0"/>
            </w:tcBorders>
            <w:shd w:val="clear" w:color="auto" w:fill="C0C0C0"/>
          </w:tcPr>
          <w:p>
            <w:pPr>
              <w:spacing w:after="0"/>
              <w:rPr>
                <w:sz w:val="10"/>
                <w:szCs w:val="10"/>
                <w:color w:val="auto"/>
              </w:rPr>
            </w:pPr>
          </w:p>
        </w:tc>
        <w:tc>
          <w:tcPr>
            <w:tcW w:w="120" w:type="dxa"/>
            <w:vAlign w:val="bottom"/>
            <w:tcBorders>
              <w:bottom w:val="single" w:sz="8" w:color="auto"/>
              <w:right w:val="single" w:sz="8" w:color="C0C0C0"/>
            </w:tcBorders>
            <w:shd w:val="clear" w:color="auto" w:fill="C0C0C0"/>
          </w:tcPr>
          <w:p>
            <w:pPr>
              <w:spacing w:after="0"/>
              <w:rPr>
                <w:sz w:val="10"/>
                <w:szCs w:val="10"/>
                <w:color w:val="auto"/>
              </w:rPr>
            </w:pPr>
          </w:p>
        </w:tc>
        <w:tc>
          <w:tcPr>
            <w:tcW w:w="3940" w:type="dxa"/>
            <w:vAlign w:val="bottom"/>
            <w:tcBorders>
              <w:bottom w:val="single" w:sz="8" w:color="auto"/>
              <w:right w:val="single" w:sz="8" w:color="C0C0C0"/>
            </w:tcBorders>
            <w:shd w:val="clear" w:color="auto" w:fill="C0C0C0"/>
          </w:tcPr>
          <w:p>
            <w:pPr>
              <w:spacing w:after="0"/>
              <w:rPr>
                <w:sz w:val="10"/>
                <w:szCs w:val="10"/>
                <w:color w:val="auto"/>
              </w:rPr>
            </w:pPr>
          </w:p>
        </w:tc>
        <w:tc>
          <w:tcPr>
            <w:tcW w:w="1340" w:type="dxa"/>
            <w:vAlign w:val="bottom"/>
            <w:tcBorders>
              <w:bottom w:val="single" w:sz="8" w:color="auto"/>
              <w:right w:val="single" w:sz="8" w:color="C0C0C0"/>
            </w:tcBorders>
            <w:shd w:val="clear" w:color="auto" w:fill="C0C0C0"/>
          </w:tcPr>
          <w:p>
            <w:pPr>
              <w:spacing w:after="0"/>
              <w:rPr>
                <w:sz w:val="10"/>
                <w:szCs w:val="10"/>
                <w:color w:val="auto"/>
              </w:rPr>
            </w:pPr>
          </w:p>
        </w:tc>
        <w:tc>
          <w:tcPr>
            <w:tcW w:w="1000" w:type="dxa"/>
            <w:vAlign w:val="bottom"/>
            <w:tcBorders>
              <w:bottom w:val="single" w:sz="8" w:color="auto"/>
              <w:right w:val="single" w:sz="8" w:color="auto"/>
            </w:tcBorders>
            <w:shd w:val="clear" w:color="auto" w:fill="C0C0C0"/>
          </w:tcPr>
          <w:p>
            <w:pPr>
              <w:spacing w:after="0"/>
              <w:rPr>
                <w:sz w:val="10"/>
                <w:szCs w:val="10"/>
                <w:color w:val="auto"/>
              </w:rPr>
            </w:pPr>
          </w:p>
        </w:tc>
      </w:tr>
      <w:tr>
        <w:trPr>
          <w:trHeight w:val="124"/>
        </w:trPr>
        <w:tc>
          <w:tcPr>
            <w:tcW w:w="182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National Union Fire Ins Co</w:t>
            </w:r>
          </w:p>
        </w:tc>
        <w:tc>
          <w:tcPr>
            <w:tcW w:w="1480" w:type="dxa"/>
            <w:vAlign w:val="bottom"/>
            <w:tcBorders>
              <w:right w:val="single" w:sz="8" w:color="auto"/>
            </w:tcBorders>
          </w:tcPr>
          <w:p>
            <w:pPr>
              <w:jc w:val="right"/>
              <w:ind w:right="606"/>
              <w:spacing w:after="0" w:line="124" w:lineRule="exact"/>
              <w:rPr>
                <w:sz w:val="20"/>
                <w:szCs w:val="20"/>
                <w:color w:val="auto"/>
              </w:rPr>
            </w:pPr>
            <w:r>
              <w:rPr>
                <w:rFonts w:ascii="Arial" w:cs="Arial" w:eastAsia="Arial" w:hAnsi="Arial"/>
                <w:sz w:val="11"/>
                <w:szCs w:val="11"/>
                <w:color w:val="auto"/>
              </w:rPr>
              <w:t>***</w:t>
            </w:r>
          </w:p>
        </w:tc>
        <w:tc>
          <w:tcPr>
            <w:tcW w:w="1780" w:type="dxa"/>
            <w:vAlign w:val="bottom"/>
          </w:tcPr>
          <w:p>
            <w:pPr>
              <w:jc w:val="right"/>
              <w:ind w:right="544"/>
              <w:spacing w:after="0" w:line="124" w:lineRule="exact"/>
              <w:rPr>
                <w:sz w:val="20"/>
                <w:szCs w:val="20"/>
                <w:color w:val="auto"/>
              </w:rPr>
            </w:pPr>
            <w:r>
              <w:rPr>
                <w:rFonts w:ascii="Arial" w:cs="Arial" w:eastAsia="Arial" w:hAnsi="Arial"/>
                <w:sz w:val="11"/>
                <w:szCs w:val="11"/>
                <w:color w:val="auto"/>
                <w:w w:val="96"/>
              </w:rPr>
              <w:t>07/01/2017 - 07/01/2018</w:t>
            </w: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Limit</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$5,000,000</w:t>
            </w:r>
          </w:p>
        </w:tc>
        <w:tc>
          <w:tcPr>
            <w:tcW w:w="1000" w:type="dxa"/>
            <w:vAlign w:val="bottom"/>
            <w:tcBorders>
              <w:right w:val="single" w:sz="8" w:color="auto"/>
            </w:tcBorders>
          </w:tcPr>
          <w:p>
            <w:pPr>
              <w:jc w:val="right"/>
              <w:ind w:right="406"/>
              <w:spacing w:after="0" w:line="124"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1"/>
                <w:szCs w:val="11"/>
                <w:color w:val="auto"/>
              </w:rPr>
              <w:t>***</w:t>
            </w:r>
          </w:p>
        </w:tc>
      </w:tr>
      <w:tr>
        <w:trPr>
          <w:trHeight w:val="124"/>
        </w:trPr>
        <w:tc>
          <w:tcPr>
            <w:tcW w:w="1820" w:type="dxa"/>
            <w:vAlign w:val="bottom"/>
            <w:tcBorders>
              <w:left w:val="single" w:sz="8" w:color="auto"/>
              <w:bottom w:val="single" w:sz="8" w:color="auto"/>
              <w:right w:val="single" w:sz="8" w:color="auto"/>
            </w:tcBorders>
          </w:tcPr>
          <w:p>
            <w:pPr>
              <w:ind w:left="20"/>
              <w:spacing w:after="0" w:line="120" w:lineRule="exact"/>
              <w:rPr>
                <w:sz w:val="20"/>
                <w:szCs w:val="20"/>
                <w:color w:val="auto"/>
              </w:rPr>
            </w:pPr>
            <w:r>
              <w:rPr>
                <w:rFonts w:ascii="Arial" w:cs="Arial" w:eastAsia="Arial" w:hAnsi="Arial"/>
                <w:sz w:val="11"/>
                <w:szCs w:val="11"/>
                <w:color w:val="auto"/>
              </w:rPr>
              <w:t>of Pittsburgh, Pa.</w:t>
            </w:r>
          </w:p>
        </w:tc>
        <w:tc>
          <w:tcPr>
            <w:tcW w:w="148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Continuity Date</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7/1/2005</w:t>
            </w:r>
          </w:p>
        </w:tc>
        <w:tc>
          <w:tcPr>
            <w:tcW w:w="1000" w:type="dxa"/>
            <w:vAlign w:val="bottom"/>
            <w:tcBorders>
              <w:bottom w:val="single" w:sz="8" w:color="auto"/>
              <w:right w:val="single" w:sz="8" w:color="auto"/>
            </w:tcBorders>
          </w:tcPr>
          <w:p>
            <w:pPr>
              <w:spacing w:after="0"/>
              <w:rPr>
                <w:sz w:val="10"/>
                <w:szCs w:val="10"/>
                <w:color w:val="auto"/>
              </w:rPr>
            </w:pPr>
          </w:p>
        </w:tc>
      </w:tr>
      <w:tr>
        <w:trPr>
          <w:trHeight w:val="124"/>
        </w:trPr>
        <w:tc>
          <w:tcPr>
            <w:tcW w:w="1820" w:type="dxa"/>
            <w:vAlign w:val="bottom"/>
            <w:tcBorders>
              <w:left w:val="single" w:sz="8" w:color="auto"/>
              <w:bottom w:val="single" w:sz="8" w:color="auto"/>
              <w:right w:val="single" w:sz="8" w:color="C0C0C0"/>
            </w:tcBorders>
            <w:shd w:val="clear" w:color="auto" w:fill="C0C0C0"/>
          </w:tcPr>
          <w:p>
            <w:pPr>
              <w:ind w:left="20"/>
              <w:spacing w:after="0" w:line="124" w:lineRule="exact"/>
              <w:rPr>
                <w:sz w:val="20"/>
                <w:szCs w:val="20"/>
                <w:color w:val="auto"/>
              </w:rPr>
            </w:pPr>
            <w:r>
              <w:rPr>
                <w:rFonts w:ascii="Arial" w:cs="Arial" w:eastAsia="Arial" w:hAnsi="Arial"/>
                <w:sz w:val="11"/>
                <w:szCs w:val="11"/>
                <w:b w:val="1"/>
                <w:bCs w:val="1"/>
                <w:color w:val="auto"/>
              </w:rPr>
              <w:t>Employment Practices Liability</w:t>
            </w:r>
          </w:p>
        </w:tc>
        <w:tc>
          <w:tcPr>
            <w:tcW w:w="1480" w:type="dxa"/>
            <w:vAlign w:val="bottom"/>
            <w:tcBorders>
              <w:bottom w:val="single" w:sz="8" w:color="auto"/>
              <w:right w:val="single" w:sz="8" w:color="C0C0C0"/>
            </w:tcBorders>
            <w:shd w:val="clear" w:color="auto" w:fill="C0C0C0"/>
          </w:tcPr>
          <w:p>
            <w:pPr>
              <w:spacing w:after="0"/>
              <w:rPr>
                <w:sz w:val="10"/>
                <w:szCs w:val="10"/>
                <w:color w:val="auto"/>
              </w:rPr>
            </w:pPr>
          </w:p>
        </w:tc>
        <w:tc>
          <w:tcPr>
            <w:tcW w:w="1780" w:type="dxa"/>
            <w:vAlign w:val="bottom"/>
            <w:tcBorders>
              <w:bottom w:val="single" w:sz="8" w:color="auto"/>
              <w:right w:val="single" w:sz="8" w:color="C0C0C0"/>
            </w:tcBorders>
            <w:shd w:val="clear" w:color="auto" w:fill="C0C0C0"/>
          </w:tcPr>
          <w:p>
            <w:pPr>
              <w:spacing w:after="0"/>
              <w:rPr>
                <w:sz w:val="10"/>
                <w:szCs w:val="10"/>
                <w:color w:val="auto"/>
              </w:rPr>
            </w:pPr>
          </w:p>
        </w:tc>
        <w:tc>
          <w:tcPr>
            <w:tcW w:w="120" w:type="dxa"/>
            <w:vAlign w:val="bottom"/>
            <w:tcBorders>
              <w:bottom w:val="single" w:sz="8" w:color="auto"/>
              <w:right w:val="single" w:sz="8" w:color="C0C0C0"/>
            </w:tcBorders>
            <w:shd w:val="clear" w:color="auto" w:fill="C0C0C0"/>
          </w:tcPr>
          <w:p>
            <w:pPr>
              <w:spacing w:after="0"/>
              <w:rPr>
                <w:sz w:val="10"/>
                <w:szCs w:val="10"/>
                <w:color w:val="auto"/>
              </w:rPr>
            </w:pPr>
          </w:p>
        </w:tc>
        <w:tc>
          <w:tcPr>
            <w:tcW w:w="3940" w:type="dxa"/>
            <w:vAlign w:val="bottom"/>
            <w:tcBorders>
              <w:bottom w:val="single" w:sz="8" w:color="auto"/>
              <w:right w:val="single" w:sz="8" w:color="C0C0C0"/>
            </w:tcBorders>
            <w:shd w:val="clear" w:color="auto" w:fill="C0C0C0"/>
          </w:tcPr>
          <w:p>
            <w:pPr>
              <w:spacing w:after="0"/>
              <w:rPr>
                <w:sz w:val="10"/>
                <w:szCs w:val="10"/>
                <w:color w:val="auto"/>
              </w:rPr>
            </w:pPr>
          </w:p>
        </w:tc>
        <w:tc>
          <w:tcPr>
            <w:tcW w:w="1340" w:type="dxa"/>
            <w:vAlign w:val="bottom"/>
            <w:tcBorders>
              <w:bottom w:val="single" w:sz="8" w:color="auto"/>
              <w:right w:val="single" w:sz="8" w:color="C0C0C0"/>
            </w:tcBorders>
            <w:shd w:val="clear" w:color="auto" w:fill="C0C0C0"/>
          </w:tcPr>
          <w:p>
            <w:pPr>
              <w:spacing w:after="0"/>
              <w:rPr>
                <w:sz w:val="10"/>
                <w:szCs w:val="10"/>
                <w:color w:val="auto"/>
              </w:rPr>
            </w:pPr>
          </w:p>
        </w:tc>
        <w:tc>
          <w:tcPr>
            <w:tcW w:w="1000" w:type="dxa"/>
            <w:vAlign w:val="bottom"/>
            <w:tcBorders>
              <w:bottom w:val="single" w:sz="8" w:color="auto"/>
              <w:right w:val="single" w:sz="8" w:color="auto"/>
            </w:tcBorders>
            <w:shd w:val="clear" w:color="auto" w:fill="C0C0C0"/>
          </w:tcPr>
          <w:p>
            <w:pPr>
              <w:spacing w:after="0"/>
              <w:rPr>
                <w:sz w:val="10"/>
                <w:szCs w:val="10"/>
                <w:color w:val="auto"/>
              </w:rPr>
            </w:pPr>
          </w:p>
        </w:tc>
      </w:tr>
      <w:tr>
        <w:trPr>
          <w:trHeight w:val="124"/>
        </w:trPr>
        <w:tc>
          <w:tcPr>
            <w:tcW w:w="182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w w:val="89"/>
              </w:rPr>
              <w:t>National Union Fire Insurance Company</w:t>
            </w:r>
          </w:p>
        </w:tc>
        <w:tc>
          <w:tcPr>
            <w:tcW w:w="1480" w:type="dxa"/>
            <w:vAlign w:val="bottom"/>
            <w:tcBorders>
              <w:right w:val="single" w:sz="8" w:color="auto"/>
            </w:tcBorders>
          </w:tcPr>
          <w:p>
            <w:pPr>
              <w:jc w:val="right"/>
              <w:ind w:right="606"/>
              <w:spacing w:after="0" w:line="124" w:lineRule="exact"/>
              <w:rPr>
                <w:sz w:val="20"/>
                <w:szCs w:val="20"/>
                <w:color w:val="auto"/>
              </w:rPr>
            </w:pPr>
            <w:r>
              <w:rPr>
                <w:rFonts w:ascii="Arial" w:cs="Arial" w:eastAsia="Arial" w:hAnsi="Arial"/>
                <w:sz w:val="11"/>
                <w:szCs w:val="11"/>
                <w:color w:val="auto"/>
              </w:rPr>
              <w:t>***</w:t>
            </w:r>
          </w:p>
        </w:tc>
        <w:tc>
          <w:tcPr>
            <w:tcW w:w="1780" w:type="dxa"/>
            <w:vAlign w:val="bottom"/>
          </w:tcPr>
          <w:p>
            <w:pPr>
              <w:jc w:val="right"/>
              <w:ind w:right="544"/>
              <w:spacing w:after="0" w:line="124" w:lineRule="exact"/>
              <w:rPr>
                <w:sz w:val="20"/>
                <w:szCs w:val="20"/>
                <w:color w:val="auto"/>
              </w:rPr>
            </w:pPr>
            <w:r>
              <w:rPr>
                <w:rFonts w:ascii="Arial" w:cs="Arial" w:eastAsia="Arial" w:hAnsi="Arial"/>
                <w:sz w:val="11"/>
                <w:szCs w:val="11"/>
                <w:color w:val="auto"/>
                <w:w w:val="96"/>
              </w:rPr>
              <w:t>07/01/2017 - 07/01/2018</w:t>
            </w: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Aggregate Limit</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$5,000,000</w:t>
            </w:r>
          </w:p>
        </w:tc>
        <w:tc>
          <w:tcPr>
            <w:tcW w:w="1000" w:type="dxa"/>
            <w:vAlign w:val="bottom"/>
            <w:tcBorders>
              <w:right w:val="single" w:sz="8" w:color="auto"/>
            </w:tcBorders>
          </w:tcPr>
          <w:p>
            <w:pPr>
              <w:jc w:val="right"/>
              <w:ind w:right="406"/>
              <w:spacing w:after="0" w:line="124"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1"/>
                <w:szCs w:val="11"/>
                <w:color w:val="auto"/>
              </w:rPr>
              <w:t>***</w:t>
            </w:r>
          </w:p>
        </w:tc>
      </w:tr>
      <w:tr>
        <w:trPr>
          <w:trHeight w:val="113"/>
        </w:trPr>
        <w:tc>
          <w:tcPr>
            <w:tcW w:w="1820" w:type="dxa"/>
            <w:vAlign w:val="bottom"/>
            <w:tcBorders>
              <w:left w:val="single" w:sz="8" w:color="auto"/>
              <w:right w:val="single" w:sz="8" w:color="auto"/>
            </w:tcBorders>
          </w:tcPr>
          <w:p>
            <w:pPr>
              <w:ind w:left="20"/>
              <w:spacing w:after="0" w:line="110" w:lineRule="exact"/>
              <w:rPr>
                <w:sz w:val="20"/>
                <w:szCs w:val="20"/>
                <w:color w:val="auto"/>
              </w:rPr>
            </w:pPr>
            <w:r>
              <w:rPr>
                <w:rFonts w:ascii="Arial" w:cs="Arial" w:eastAsia="Arial" w:hAnsi="Arial"/>
                <w:sz w:val="11"/>
                <w:szCs w:val="11"/>
                <w:color w:val="auto"/>
              </w:rPr>
              <w:t>of</w:t>
            </w:r>
          </w:p>
        </w:tc>
        <w:tc>
          <w:tcPr>
            <w:tcW w:w="1480" w:type="dxa"/>
            <w:vAlign w:val="bottom"/>
            <w:tcBorders>
              <w:right w:val="single" w:sz="8" w:color="auto"/>
            </w:tcBorders>
          </w:tcPr>
          <w:p>
            <w:pPr>
              <w:spacing w:after="0"/>
              <w:rPr>
                <w:sz w:val="9"/>
                <w:szCs w:val="9"/>
                <w:color w:val="auto"/>
              </w:rPr>
            </w:pPr>
          </w:p>
        </w:tc>
        <w:tc>
          <w:tcPr>
            <w:tcW w:w="178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3940" w:type="dxa"/>
            <w:vAlign w:val="bottom"/>
            <w:tcBorders>
              <w:bottom w:val="single" w:sz="8" w:color="auto"/>
              <w:right w:val="single" w:sz="8" w:color="auto"/>
            </w:tcBorders>
          </w:tcPr>
          <w:p>
            <w:pPr>
              <w:spacing w:after="0" w:line="110" w:lineRule="exact"/>
              <w:rPr>
                <w:sz w:val="20"/>
                <w:szCs w:val="20"/>
                <w:color w:val="auto"/>
              </w:rPr>
            </w:pPr>
            <w:r>
              <w:rPr>
                <w:rFonts w:ascii="Arial" w:cs="Arial" w:eastAsia="Arial" w:hAnsi="Arial"/>
                <w:sz w:val="11"/>
                <w:szCs w:val="11"/>
                <w:color w:val="auto"/>
              </w:rPr>
              <w:t>Continuity Date</w:t>
            </w:r>
          </w:p>
        </w:tc>
        <w:tc>
          <w:tcPr>
            <w:tcW w:w="1340" w:type="dxa"/>
            <w:vAlign w:val="bottom"/>
            <w:tcBorders>
              <w:bottom w:val="single" w:sz="8" w:color="auto"/>
              <w:right w:val="single" w:sz="8" w:color="auto"/>
            </w:tcBorders>
          </w:tcPr>
          <w:p>
            <w:pPr>
              <w:jc w:val="right"/>
              <w:spacing w:after="0" w:line="110" w:lineRule="exact"/>
              <w:rPr>
                <w:sz w:val="20"/>
                <w:szCs w:val="20"/>
                <w:color w:val="auto"/>
              </w:rPr>
            </w:pPr>
            <w:r>
              <w:rPr>
                <w:rFonts w:ascii="Arial" w:cs="Arial" w:eastAsia="Arial" w:hAnsi="Arial"/>
                <w:sz w:val="11"/>
                <w:szCs w:val="11"/>
                <w:color w:val="auto"/>
              </w:rPr>
              <w:t>4/28/2000</w:t>
            </w:r>
          </w:p>
        </w:tc>
        <w:tc>
          <w:tcPr>
            <w:tcW w:w="1000" w:type="dxa"/>
            <w:vAlign w:val="bottom"/>
            <w:tcBorders>
              <w:right w:val="single" w:sz="8" w:color="auto"/>
            </w:tcBorders>
          </w:tcPr>
          <w:p>
            <w:pPr>
              <w:spacing w:after="0"/>
              <w:rPr>
                <w:sz w:val="9"/>
                <w:szCs w:val="9"/>
                <w:color w:val="auto"/>
              </w:rPr>
            </w:pPr>
          </w:p>
        </w:tc>
      </w:tr>
      <w:tr>
        <w:trPr>
          <w:trHeight w:val="135"/>
        </w:trPr>
        <w:tc>
          <w:tcPr>
            <w:tcW w:w="1820" w:type="dxa"/>
            <w:vAlign w:val="bottom"/>
            <w:tcBorders>
              <w:left w:val="single" w:sz="8" w:color="auto"/>
              <w:bottom w:val="single" w:sz="8" w:color="auto"/>
              <w:right w:val="single" w:sz="8" w:color="auto"/>
            </w:tcBorders>
          </w:tcPr>
          <w:p>
            <w:pPr>
              <w:ind w:left="20"/>
              <w:spacing w:after="0" w:line="113" w:lineRule="exact"/>
              <w:rPr>
                <w:sz w:val="20"/>
                <w:szCs w:val="20"/>
                <w:color w:val="auto"/>
              </w:rPr>
            </w:pPr>
            <w:r>
              <w:rPr>
                <w:rFonts w:ascii="Arial" w:cs="Arial" w:eastAsia="Arial" w:hAnsi="Arial"/>
                <w:sz w:val="11"/>
                <w:szCs w:val="11"/>
                <w:color w:val="auto"/>
              </w:rPr>
              <w:t>Pittsburgh, Pa.</w:t>
            </w:r>
          </w:p>
        </w:tc>
        <w:tc>
          <w:tcPr>
            <w:tcW w:w="1480" w:type="dxa"/>
            <w:vAlign w:val="bottom"/>
            <w:tcBorders>
              <w:bottom w:val="single" w:sz="8" w:color="auto"/>
              <w:right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39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1"/>
                <w:szCs w:val="11"/>
                <w:i w:val="1"/>
                <w:iCs w:val="1"/>
                <w:color w:val="auto"/>
              </w:rPr>
              <w:t>Retention</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i w:val="1"/>
                <w:iCs w:val="1"/>
                <w:color w:val="auto"/>
              </w:rPr>
              <w:t>$250,000</w:t>
            </w:r>
          </w:p>
        </w:tc>
        <w:tc>
          <w:tcPr>
            <w:tcW w:w="1000" w:type="dxa"/>
            <w:vAlign w:val="bottom"/>
            <w:tcBorders>
              <w:bottom w:val="single" w:sz="8" w:color="auto"/>
              <w:right w:val="single" w:sz="8" w:color="auto"/>
            </w:tcBorders>
          </w:tcPr>
          <w:p>
            <w:pPr>
              <w:spacing w:after="0"/>
              <w:rPr>
                <w:sz w:val="11"/>
                <w:szCs w:val="11"/>
                <w:color w:val="auto"/>
              </w:rPr>
            </w:pPr>
          </w:p>
        </w:tc>
      </w:tr>
      <w:tr>
        <w:trPr>
          <w:trHeight w:val="124"/>
        </w:trPr>
        <w:tc>
          <w:tcPr>
            <w:tcW w:w="1820" w:type="dxa"/>
            <w:vAlign w:val="bottom"/>
            <w:tcBorders>
              <w:left w:val="single" w:sz="8" w:color="auto"/>
              <w:bottom w:val="single" w:sz="8" w:color="auto"/>
              <w:right w:val="single" w:sz="8" w:color="C0C0C0"/>
            </w:tcBorders>
            <w:shd w:val="clear" w:color="auto" w:fill="C0C0C0"/>
          </w:tcPr>
          <w:p>
            <w:pPr>
              <w:ind w:left="20"/>
              <w:spacing w:after="0" w:line="124" w:lineRule="exact"/>
              <w:rPr>
                <w:sz w:val="20"/>
                <w:szCs w:val="20"/>
                <w:color w:val="auto"/>
              </w:rPr>
            </w:pPr>
            <w:r>
              <w:rPr>
                <w:rFonts w:ascii="Arial" w:cs="Arial" w:eastAsia="Arial" w:hAnsi="Arial"/>
                <w:sz w:val="11"/>
                <w:szCs w:val="11"/>
                <w:b w:val="1"/>
                <w:bCs w:val="1"/>
                <w:color w:val="auto"/>
              </w:rPr>
              <w:t>Crime</w:t>
            </w:r>
          </w:p>
        </w:tc>
        <w:tc>
          <w:tcPr>
            <w:tcW w:w="1480" w:type="dxa"/>
            <w:vAlign w:val="bottom"/>
            <w:tcBorders>
              <w:bottom w:val="single" w:sz="8" w:color="auto"/>
              <w:right w:val="single" w:sz="8" w:color="C0C0C0"/>
            </w:tcBorders>
            <w:shd w:val="clear" w:color="auto" w:fill="C0C0C0"/>
          </w:tcPr>
          <w:p>
            <w:pPr>
              <w:spacing w:after="0"/>
              <w:rPr>
                <w:sz w:val="10"/>
                <w:szCs w:val="10"/>
                <w:color w:val="auto"/>
              </w:rPr>
            </w:pPr>
          </w:p>
        </w:tc>
        <w:tc>
          <w:tcPr>
            <w:tcW w:w="1780" w:type="dxa"/>
            <w:vAlign w:val="bottom"/>
            <w:tcBorders>
              <w:bottom w:val="single" w:sz="8" w:color="auto"/>
              <w:right w:val="single" w:sz="8" w:color="C0C0C0"/>
            </w:tcBorders>
            <w:shd w:val="clear" w:color="auto" w:fill="C0C0C0"/>
          </w:tcPr>
          <w:p>
            <w:pPr>
              <w:spacing w:after="0"/>
              <w:rPr>
                <w:sz w:val="10"/>
                <w:szCs w:val="10"/>
                <w:color w:val="auto"/>
              </w:rPr>
            </w:pPr>
          </w:p>
        </w:tc>
        <w:tc>
          <w:tcPr>
            <w:tcW w:w="120" w:type="dxa"/>
            <w:vAlign w:val="bottom"/>
            <w:tcBorders>
              <w:bottom w:val="single" w:sz="8" w:color="auto"/>
              <w:right w:val="single" w:sz="8" w:color="C0C0C0"/>
            </w:tcBorders>
            <w:shd w:val="clear" w:color="auto" w:fill="C0C0C0"/>
          </w:tcPr>
          <w:p>
            <w:pPr>
              <w:spacing w:after="0"/>
              <w:rPr>
                <w:sz w:val="10"/>
                <w:szCs w:val="10"/>
                <w:color w:val="auto"/>
              </w:rPr>
            </w:pPr>
          </w:p>
        </w:tc>
        <w:tc>
          <w:tcPr>
            <w:tcW w:w="3940" w:type="dxa"/>
            <w:vAlign w:val="bottom"/>
            <w:tcBorders>
              <w:bottom w:val="single" w:sz="8" w:color="auto"/>
              <w:right w:val="single" w:sz="8" w:color="C0C0C0"/>
            </w:tcBorders>
            <w:shd w:val="clear" w:color="auto" w:fill="C0C0C0"/>
          </w:tcPr>
          <w:p>
            <w:pPr>
              <w:spacing w:after="0"/>
              <w:rPr>
                <w:sz w:val="10"/>
                <w:szCs w:val="10"/>
                <w:color w:val="auto"/>
              </w:rPr>
            </w:pPr>
          </w:p>
        </w:tc>
        <w:tc>
          <w:tcPr>
            <w:tcW w:w="1340" w:type="dxa"/>
            <w:vAlign w:val="bottom"/>
            <w:tcBorders>
              <w:bottom w:val="single" w:sz="8" w:color="auto"/>
              <w:right w:val="single" w:sz="8" w:color="C0C0C0"/>
            </w:tcBorders>
            <w:shd w:val="clear" w:color="auto" w:fill="C0C0C0"/>
          </w:tcPr>
          <w:p>
            <w:pPr>
              <w:spacing w:after="0"/>
              <w:rPr>
                <w:sz w:val="10"/>
                <w:szCs w:val="10"/>
                <w:color w:val="auto"/>
              </w:rPr>
            </w:pPr>
          </w:p>
        </w:tc>
        <w:tc>
          <w:tcPr>
            <w:tcW w:w="1000" w:type="dxa"/>
            <w:vAlign w:val="bottom"/>
            <w:tcBorders>
              <w:bottom w:val="single" w:sz="8" w:color="auto"/>
              <w:right w:val="single" w:sz="8" w:color="auto"/>
            </w:tcBorders>
            <w:shd w:val="clear" w:color="auto" w:fill="C0C0C0"/>
          </w:tcPr>
          <w:p>
            <w:pPr>
              <w:spacing w:after="0"/>
              <w:rPr>
                <w:sz w:val="10"/>
                <w:szCs w:val="10"/>
                <w:color w:val="auto"/>
              </w:rPr>
            </w:pPr>
          </w:p>
        </w:tc>
      </w:tr>
      <w:tr>
        <w:trPr>
          <w:trHeight w:val="119"/>
        </w:trPr>
        <w:tc>
          <w:tcPr>
            <w:tcW w:w="1820" w:type="dxa"/>
            <w:vAlign w:val="bottom"/>
            <w:tcBorders>
              <w:left w:val="single" w:sz="8" w:color="auto"/>
              <w:right w:val="single" w:sz="8" w:color="auto"/>
            </w:tcBorders>
          </w:tcPr>
          <w:p>
            <w:pPr>
              <w:ind w:left="20"/>
              <w:spacing w:after="0" w:line="119" w:lineRule="exact"/>
              <w:rPr>
                <w:sz w:val="20"/>
                <w:szCs w:val="20"/>
                <w:color w:val="auto"/>
              </w:rPr>
            </w:pPr>
            <w:r>
              <w:rPr>
                <w:rFonts w:ascii="Arial" w:cs="Arial" w:eastAsia="Arial" w:hAnsi="Arial"/>
                <w:sz w:val="11"/>
                <w:szCs w:val="11"/>
                <w:color w:val="auto"/>
                <w:w w:val="89"/>
              </w:rPr>
              <w:t>National Union Fire Insurance Company</w:t>
            </w:r>
          </w:p>
        </w:tc>
        <w:tc>
          <w:tcPr>
            <w:tcW w:w="1480" w:type="dxa"/>
            <w:vAlign w:val="bottom"/>
            <w:tcBorders>
              <w:right w:val="single" w:sz="8" w:color="auto"/>
            </w:tcBorders>
          </w:tcPr>
          <w:p>
            <w:pPr>
              <w:jc w:val="right"/>
              <w:ind w:right="606"/>
              <w:spacing w:after="0" w:line="119" w:lineRule="exact"/>
              <w:rPr>
                <w:sz w:val="20"/>
                <w:szCs w:val="20"/>
                <w:color w:val="auto"/>
              </w:rPr>
            </w:pPr>
            <w:r>
              <w:rPr>
                <w:rFonts w:ascii="Arial" w:cs="Arial" w:eastAsia="Arial" w:hAnsi="Arial"/>
                <w:sz w:val="11"/>
                <w:szCs w:val="11"/>
                <w:color w:val="auto"/>
              </w:rPr>
              <w:t>***</w:t>
            </w:r>
          </w:p>
        </w:tc>
        <w:tc>
          <w:tcPr>
            <w:tcW w:w="1780" w:type="dxa"/>
            <w:vAlign w:val="bottom"/>
          </w:tcPr>
          <w:p>
            <w:pPr>
              <w:jc w:val="right"/>
              <w:ind w:right="544"/>
              <w:spacing w:after="0" w:line="119" w:lineRule="exact"/>
              <w:rPr>
                <w:sz w:val="20"/>
                <w:szCs w:val="20"/>
                <w:color w:val="auto"/>
              </w:rPr>
            </w:pPr>
            <w:r>
              <w:rPr>
                <w:rFonts w:ascii="Arial" w:cs="Arial" w:eastAsia="Arial" w:hAnsi="Arial"/>
                <w:sz w:val="11"/>
                <w:szCs w:val="11"/>
                <w:color w:val="auto"/>
                <w:w w:val="96"/>
              </w:rPr>
              <w:t>07/01/2017 - 07/01/2018</w:t>
            </w:r>
          </w:p>
        </w:tc>
        <w:tc>
          <w:tcPr>
            <w:tcW w:w="120" w:type="dxa"/>
            <w:vAlign w:val="bottom"/>
            <w:tcBorders>
              <w:right w:val="single" w:sz="8" w:color="auto"/>
            </w:tcBorders>
          </w:tcPr>
          <w:p>
            <w:pPr>
              <w:spacing w:after="0"/>
              <w:rPr>
                <w:sz w:val="10"/>
                <w:szCs w:val="10"/>
                <w:color w:val="auto"/>
              </w:rPr>
            </w:pPr>
          </w:p>
        </w:tc>
        <w:tc>
          <w:tcPr>
            <w:tcW w:w="3940" w:type="dxa"/>
            <w:vAlign w:val="bottom"/>
            <w:tcBorders>
              <w:right w:val="single" w:sz="8" w:color="auto"/>
            </w:tcBorders>
          </w:tcPr>
          <w:p>
            <w:pPr>
              <w:spacing w:after="0" w:line="119" w:lineRule="exact"/>
              <w:rPr>
                <w:sz w:val="20"/>
                <w:szCs w:val="20"/>
                <w:color w:val="auto"/>
              </w:rPr>
            </w:pPr>
            <w:r>
              <w:rPr>
                <w:rFonts w:ascii="Arial" w:cs="Arial" w:eastAsia="Arial" w:hAnsi="Arial"/>
                <w:sz w:val="11"/>
                <w:szCs w:val="11"/>
                <w:color w:val="auto"/>
              </w:rPr>
              <w:t>Loss of Assets</w:t>
            </w:r>
          </w:p>
        </w:tc>
        <w:tc>
          <w:tcPr>
            <w:tcW w:w="1340" w:type="dxa"/>
            <w:vAlign w:val="bottom"/>
            <w:tcBorders>
              <w:right w:val="single" w:sz="8" w:color="auto"/>
            </w:tcBorders>
          </w:tcPr>
          <w:p>
            <w:pPr>
              <w:jc w:val="right"/>
              <w:spacing w:after="0" w:line="119" w:lineRule="exact"/>
              <w:rPr>
                <w:sz w:val="20"/>
                <w:szCs w:val="20"/>
                <w:color w:val="auto"/>
              </w:rPr>
            </w:pPr>
            <w:r>
              <w:rPr>
                <w:rFonts w:ascii="Arial" w:cs="Arial" w:eastAsia="Arial" w:hAnsi="Arial"/>
                <w:sz w:val="11"/>
                <w:szCs w:val="11"/>
                <w:color w:val="auto"/>
              </w:rPr>
              <w:t>$5,000,000</w:t>
            </w:r>
          </w:p>
        </w:tc>
        <w:tc>
          <w:tcPr>
            <w:tcW w:w="1000" w:type="dxa"/>
            <w:vAlign w:val="bottom"/>
            <w:tcBorders>
              <w:right w:val="single" w:sz="8" w:color="auto"/>
            </w:tcBorders>
          </w:tcPr>
          <w:p>
            <w:pPr>
              <w:jc w:val="right"/>
              <w:ind w:right="406"/>
              <w:spacing w:after="0" w:line="119"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1"/>
                <w:szCs w:val="11"/>
                <w:color w:val="auto"/>
              </w:rPr>
              <w:t>***</w:t>
            </w:r>
          </w:p>
        </w:tc>
      </w:tr>
      <w:tr>
        <w:trPr>
          <w:trHeight w:val="136"/>
        </w:trPr>
        <w:tc>
          <w:tcPr>
            <w:tcW w:w="18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of Pittsburgh, Pa.</w:t>
            </w:r>
          </w:p>
        </w:tc>
        <w:tc>
          <w:tcPr>
            <w:tcW w:w="1480" w:type="dxa"/>
            <w:vAlign w:val="bottom"/>
            <w:tcBorders>
              <w:right w:val="single" w:sz="8" w:color="auto"/>
            </w:tcBorders>
          </w:tcPr>
          <w:p>
            <w:pPr>
              <w:spacing w:after="0"/>
              <w:rPr>
                <w:sz w:val="11"/>
                <w:szCs w:val="11"/>
                <w:color w:val="auto"/>
              </w:rPr>
            </w:pPr>
          </w:p>
        </w:tc>
        <w:tc>
          <w:tcPr>
            <w:tcW w:w="17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394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r>
      <w:tr>
        <w:trPr>
          <w:trHeight w:val="635"/>
        </w:trPr>
        <w:tc>
          <w:tcPr>
            <w:tcW w:w="1820" w:type="dxa"/>
            <w:vAlign w:val="bottom"/>
            <w:tcBorders>
              <w:left w:val="single" w:sz="8" w:color="auto"/>
              <w:right w:val="single" w:sz="8" w:color="auto"/>
            </w:tcBorders>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r>
      <w:tr>
        <w:trPr>
          <w:trHeight w:val="125"/>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right w:val="single" w:sz="8" w:color="auto"/>
            </w:tcBorders>
          </w:tcPr>
          <w:p>
            <w:pPr>
              <w:spacing w:after="0" w:line="125" w:lineRule="exact"/>
              <w:rPr>
                <w:sz w:val="20"/>
                <w:szCs w:val="20"/>
                <w:color w:val="auto"/>
              </w:rPr>
            </w:pPr>
            <w:r>
              <w:rPr>
                <w:rFonts w:ascii="Arial" w:cs="Arial" w:eastAsia="Arial" w:hAnsi="Arial"/>
                <w:sz w:val="11"/>
                <w:szCs w:val="11"/>
                <w:color w:val="auto"/>
              </w:rPr>
              <w:t>Loss of Employee Benefit Plan Assets</w:t>
            </w:r>
          </w:p>
        </w:tc>
        <w:tc>
          <w:tcPr>
            <w:tcW w:w="1340" w:type="dxa"/>
            <w:vAlign w:val="bottom"/>
            <w:tcBorders>
              <w:right w:val="single" w:sz="8" w:color="auto"/>
            </w:tcBorders>
          </w:tcPr>
          <w:p>
            <w:pPr>
              <w:jc w:val="right"/>
              <w:spacing w:after="0" w:line="125" w:lineRule="exact"/>
              <w:rPr>
                <w:sz w:val="20"/>
                <w:szCs w:val="20"/>
                <w:color w:val="auto"/>
              </w:rPr>
            </w:pPr>
            <w:r>
              <w:rPr>
                <w:rFonts w:ascii="Arial" w:cs="Arial" w:eastAsia="Arial" w:hAnsi="Arial"/>
                <w:sz w:val="11"/>
                <w:szCs w:val="11"/>
                <w:color w:val="auto"/>
              </w:rPr>
              <w:t>$5,000,000</w:t>
            </w:r>
          </w:p>
        </w:tc>
        <w:tc>
          <w:tcPr>
            <w:tcW w:w="1000" w:type="dxa"/>
            <w:vAlign w:val="bottom"/>
            <w:tcBorders>
              <w:right w:val="single" w:sz="8" w:color="auto"/>
            </w:tcBorders>
          </w:tcPr>
          <w:p>
            <w:pPr>
              <w:spacing w:after="0"/>
              <w:rPr>
                <w:sz w:val="10"/>
                <w:szCs w:val="10"/>
                <w:color w:val="auto"/>
              </w:rPr>
            </w:pPr>
          </w:p>
        </w:tc>
      </w:tr>
      <w:tr>
        <w:trPr>
          <w:trHeight w:val="773"/>
        </w:trPr>
        <w:tc>
          <w:tcPr>
            <w:tcW w:w="1820" w:type="dxa"/>
            <w:vAlign w:val="bottom"/>
            <w:tcBorders>
              <w:left w:val="single" w:sz="8" w:color="auto"/>
              <w:right w:val="single" w:sz="8" w:color="auto"/>
            </w:tcBorders>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r>
      <w:tr>
        <w:trPr>
          <w:trHeight w:val="125"/>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right w:val="single" w:sz="8" w:color="auto"/>
            </w:tcBorders>
          </w:tcPr>
          <w:p>
            <w:pPr>
              <w:spacing w:after="0" w:line="125" w:lineRule="exact"/>
              <w:rPr>
                <w:sz w:val="20"/>
                <w:szCs w:val="20"/>
                <w:color w:val="auto"/>
              </w:rPr>
            </w:pPr>
            <w:r>
              <w:rPr>
                <w:rFonts w:ascii="Arial" w:cs="Arial" w:eastAsia="Arial" w:hAnsi="Arial"/>
                <w:sz w:val="11"/>
                <w:szCs w:val="11"/>
                <w:color w:val="auto"/>
              </w:rPr>
              <w:t>Credit Card Forgery</w:t>
            </w:r>
          </w:p>
        </w:tc>
        <w:tc>
          <w:tcPr>
            <w:tcW w:w="1340" w:type="dxa"/>
            <w:vAlign w:val="bottom"/>
            <w:tcBorders>
              <w:right w:val="single" w:sz="8" w:color="auto"/>
            </w:tcBorders>
          </w:tcPr>
          <w:p>
            <w:pPr>
              <w:jc w:val="right"/>
              <w:spacing w:after="0" w:line="125" w:lineRule="exact"/>
              <w:rPr>
                <w:sz w:val="20"/>
                <w:szCs w:val="20"/>
                <w:color w:val="auto"/>
              </w:rPr>
            </w:pPr>
            <w:r>
              <w:rPr>
                <w:rFonts w:ascii="Arial" w:cs="Arial" w:eastAsia="Arial" w:hAnsi="Arial"/>
                <w:sz w:val="11"/>
                <w:szCs w:val="11"/>
                <w:color w:val="auto"/>
              </w:rPr>
              <w:t>$5,000,000</w:t>
            </w:r>
          </w:p>
        </w:tc>
        <w:tc>
          <w:tcPr>
            <w:tcW w:w="1000" w:type="dxa"/>
            <w:vAlign w:val="bottom"/>
            <w:tcBorders>
              <w:right w:val="single" w:sz="8" w:color="auto"/>
            </w:tcBorders>
          </w:tcPr>
          <w:p>
            <w:pPr>
              <w:spacing w:after="0"/>
              <w:rPr>
                <w:sz w:val="10"/>
                <w:szCs w:val="10"/>
                <w:color w:val="auto"/>
              </w:rPr>
            </w:pPr>
          </w:p>
        </w:tc>
      </w:tr>
      <w:tr>
        <w:trPr>
          <w:trHeight w:val="773"/>
        </w:trPr>
        <w:tc>
          <w:tcPr>
            <w:tcW w:w="1820" w:type="dxa"/>
            <w:vAlign w:val="bottom"/>
            <w:tcBorders>
              <w:left w:val="single" w:sz="8" w:color="auto"/>
              <w:right w:val="single" w:sz="8" w:color="auto"/>
            </w:tcBorders>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r>
      <w:tr>
        <w:trPr>
          <w:trHeight w:val="125"/>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right w:val="single" w:sz="8" w:color="auto"/>
            </w:tcBorders>
          </w:tcPr>
          <w:p>
            <w:pPr>
              <w:spacing w:after="0" w:line="125" w:lineRule="exact"/>
              <w:rPr>
                <w:sz w:val="20"/>
                <w:szCs w:val="20"/>
                <w:color w:val="auto"/>
              </w:rPr>
            </w:pPr>
            <w:r>
              <w:rPr>
                <w:rFonts w:ascii="Arial" w:cs="Arial" w:eastAsia="Arial" w:hAnsi="Arial"/>
                <w:sz w:val="11"/>
                <w:szCs w:val="11"/>
                <w:i w:val="1"/>
                <w:iCs w:val="1"/>
                <w:color w:val="auto"/>
              </w:rPr>
              <w:t>Deductible</w:t>
            </w:r>
          </w:p>
        </w:tc>
        <w:tc>
          <w:tcPr>
            <w:tcW w:w="1340" w:type="dxa"/>
            <w:vAlign w:val="bottom"/>
            <w:tcBorders>
              <w:right w:val="single" w:sz="8" w:color="auto"/>
            </w:tcBorders>
          </w:tcPr>
          <w:p>
            <w:pPr>
              <w:jc w:val="right"/>
              <w:spacing w:after="0" w:line="125" w:lineRule="exact"/>
              <w:rPr>
                <w:sz w:val="20"/>
                <w:szCs w:val="20"/>
                <w:color w:val="auto"/>
              </w:rPr>
            </w:pPr>
            <w:r>
              <w:rPr>
                <w:rFonts w:ascii="Arial" w:cs="Arial" w:eastAsia="Arial" w:hAnsi="Arial"/>
                <w:sz w:val="11"/>
                <w:szCs w:val="11"/>
                <w:i w:val="1"/>
                <w:iCs w:val="1"/>
                <w:color w:val="auto"/>
              </w:rPr>
              <w:t>$150,000</w:t>
            </w:r>
          </w:p>
        </w:tc>
        <w:tc>
          <w:tcPr>
            <w:tcW w:w="1000" w:type="dxa"/>
            <w:vAlign w:val="bottom"/>
            <w:tcBorders>
              <w:right w:val="single" w:sz="8" w:color="auto"/>
            </w:tcBorders>
          </w:tcPr>
          <w:p>
            <w:pPr>
              <w:spacing w:after="0"/>
              <w:rPr>
                <w:sz w:val="10"/>
                <w:szCs w:val="10"/>
                <w:color w:val="auto"/>
              </w:rPr>
            </w:pPr>
          </w:p>
        </w:tc>
      </w:tr>
      <w:tr>
        <w:trPr>
          <w:trHeight w:val="773"/>
        </w:trPr>
        <w:tc>
          <w:tcPr>
            <w:tcW w:w="1820" w:type="dxa"/>
            <w:vAlign w:val="bottom"/>
            <w:tcBorders>
              <w:left w:val="single" w:sz="8" w:color="auto"/>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r>
    </w:tbl>
    <w:p>
      <w:pPr>
        <w:spacing w:after="0" w:line="295" w:lineRule="exact"/>
        <w:rPr>
          <w:sz w:val="20"/>
          <w:szCs w:val="20"/>
          <w:color w:val="auto"/>
        </w:rPr>
      </w:pPr>
    </w:p>
    <w:p>
      <w:pPr>
        <w:ind w:left="8"/>
        <w:spacing w:after="0"/>
        <w:rPr>
          <w:sz w:val="20"/>
          <w:szCs w:val="20"/>
          <w:color w:val="auto"/>
        </w:rPr>
      </w:pPr>
      <w:r>
        <w:rPr>
          <w:rFonts w:ascii="Arial" w:cs="Arial" w:eastAsia="Arial" w:hAnsi="Arial"/>
          <w:sz w:val="10"/>
          <w:szCs w:val="10"/>
          <w:color w:val="auto"/>
        </w:rPr>
        <w:t>Note 1: This Document is intended as a guide only, please consult your policy for a complete listings of all applicable terms, conditions, and limits.</w:t>
      </w:r>
    </w:p>
    <w:p>
      <w:pPr>
        <w:sectPr>
          <w:pgSz w:w="11900" w:h="16838" w:orient="portrait"/>
          <w:cols w:equalWidth="0" w:num="1">
            <w:col w:w="11488"/>
          </w:cols>
          <w:pgMar w:left="212" w:top="127" w:right="199" w:bottom="1440" w:gutter="0" w:footer="0" w:header="0"/>
        </w:sectPr>
      </w:pPr>
    </w:p>
    <w:p>
      <w:pPr>
        <w:spacing w:after="0" w:line="29" w:lineRule="exact"/>
        <w:rPr>
          <w:sz w:val="20"/>
          <w:szCs w:val="20"/>
          <w:color w:val="auto"/>
        </w:rPr>
      </w:pPr>
    </w:p>
    <w:p>
      <w:pPr>
        <w:ind w:left="8"/>
        <w:spacing w:after="0"/>
        <w:rPr>
          <w:sz w:val="20"/>
          <w:szCs w:val="20"/>
          <w:color w:val="auto"/>
        </w:rPr>
      </w:pPr>
      <w:r>
        <w:rPr>
          <w:rFonts w:ascii="Arial" w:cs="Arial" w:eastAsia="Arial" w:hAnsi="Arial"/>
          <w:sz w:val="10"/>
          <w:szCs w:val="10"/>
          <w:color w:val="auto"/>
        </w:rPr>
        <w:t>Note 2: All premiums are in US Dollars.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0"/>
          <w:szCs w:val="10"/>
          <w:color w:val="auto"/>
        </w:rPr>
        <w:t>Page</w:t>
      </w:r>
    </w:p>
    <w:p>
      <w:pPr>
        <w:spacing w:after="0" w:line="225" w:lineRule="auto"/>
        <w:rPr>
          <w:sz w:val="20"/>
          <w:szCs w:val="20"/>
          <w:color w:val="auto"/>
        </w:rPr>
      </w:pPr>
      <w:r>
        <w:rPr>
          <w:rFonts w:ascii="Arial" w:cs="Arial" w:eastAsia="Arial" w:hAnsi="Arial"/>
          <w:sz w:val="10"/>
          <w:szCs w:val="10"/>
          <w:color w:val="auto"/>
        </w:rPr>
        <w:t>6 of</w:t>
      </w:r>
    </w:p>
    <w:p>
      <w:pPr>
        <w:spacing w:after="0"/>
        <w:rPr>
          <w:sz w:val="20"/>
          <w:szCs w:val="20"/>
          <w:color w:val="auto"/>
        </w:rPr>
      </w:pPr>
      <w:r>
        <w:rPr>
          <w:rFonts w:ascii="Arial" w:cs="Arial" w:eastAsia="Arial" w:hAnsi="Arial"/>
          <w:sz w:val="10"/>
          <w:szCs w:val="10"/>
          <w:color w:val="auto"/>
        </w:rPr>
        <w:t>8</w:t>
      </w:r>
    </w:p>
    <w:p>
      <w:pPr>
        <w:spacing w:after="0" w:line="7" w:lineRule="exact"/>
        <w:rPr>
          <w:sz w:val="20"/>
          <w:szCs w:val="20"/>
          <w:color w:val="auto"/>
        </w:rPr>
      </w:pPr>
    </w:p>
    <w:p>
      <w:pPr>
        <w:sectPr>
          <w:pgSz w:w="11900" w:h="16838" w:orient="portrait"/>
          <w:cols w:equalWidth="0" w:num="2">
            <w:col w:w="10528" w:space="720"/>
            <w:col w:w="240"/>
          </w:cols>
          <w:pgMar w:left="212" w:top="127" w:right="199" w:bottom="1440" w:gutter="0" w:footer="0" w:header="0"/>
          <w:type w:val="continuous"/>
        </w:sectPr>
      </w:pPr>
    </w:p>
    <w:p>
      <w:pPr>
        <w:ind w:left="388" w:hanging="388"/>
        <w:spacing w:after="0"/>
        <w:tabs>
          <w:tab w:leader="none" w:pos="388" w:val="left"/>
        </w:tabs>
        <w:numPr>
          <w:ilvl w:val="0"/>
          <w:numId w:val="195"/>
        </w:numPr>
        <w:rPr>
          <w:rFonts w:ascii="Arial" w:cs="Arial" w:eastAsia="Arial" w:hAnsi="Arial"/>
          <w:sz w:val="9"/>
          <w:szCs w:val="9"/>
          <w:b w:val="1"/>
          <w:bCs w:val="1"/>
          <w:color w:val="auto"/>
        </w:rPr>
      </w:pPr>
      <w:r>
        <w:rPr>
          <w:rFonts w:ascii="Arial" w:cs="Arial" w:eastAsia="Arial" w:hAnsi="Arial"/>
          <w:sz w:val="8"/>
          <w:szCs w:val="8"/>
          <w:b w:val="1"/>
          <w:bCs w:val="1"/>
          <w:color w:val="auto"/>
        </w:rPr>
        <w:t>Represents text omitted pursuant to a request for confidential treatment. The omitted material has been filed separately with the Securities and Exchange Commission</w:t>
      </w:r>
      <w:r>
        <w:rPr>
          <w:rFonts w:ascii="Arial" w:cs="Arial" w:eastAsia="Arial" w:hAnsi="Arial"/>
          <w:sz w:val="10"/>
          <w:szCs w:val="1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272415</wp:posOffset>
            </wp:positionV>
            <wp:extent cx="7329170" cy="368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127" w:right="199" w:bottom="1440" w:gutter="0" w:footer="0" w:header="0"/>
          <w:type w:val="continuous"/>
        </w:sectPr>
      </w:pPr>
    </w:p>
    <w:bookmarkStart w:id="174" w:name="page175"/>
    <w:bookmarkEnd w:id="174"/>
    <w:tbl>
      <w:tblPr>
        <w:tblLayout w:type="fixed"/>
        <w:tblInd w:w="18" w:type="dxa"/>
        <w:tblCellMar>
          <w:top w:w="0" w:type="dxa"/>
          <w:left w:w="0" w:type="dxa"/>
          <w:bottom w:w="0" w:type="dxa"/>
          <w:right w:w="0" w:type="dxa"/>
        </w:tblCellMar>
      </w:tblPr>
      <w:tr>
        <w:trPr>
          <w:trHeight w:val="157"/>
        </w:trPr>
        <w:tc>
          <w:tcPr>
            <w:tcW w:w="1820" w:type="dxa"/>
            <w:vAlign w:val="bottom"/>
          </w:tcPr>
          <w:p>
            <w:pPr>
              <w:spacing w:after="0"/>
              <w:rPr>
                <w:sz w:val="20"/>
                <w:szCs w:val="20"/>
                <w:color w:val="auto"/>
              </w:rPr>
            </w:pPr>
            <w:r>
              <w:rPr>
                <w:rFonts w:ascii="Arial" w:cs="Arial" w:eastAsia="Arial" w:hAnsi="Arial"/>
                <w:sz w:val="12"/>
                <w:szCs w:val="12"/>
                <w:b w:val="1"/>
                <w:bCs w:val="1"/>
                <w:color w:val="auto"/>
              </w:rPr>
              <w:t>Schedule 5.10 Insurance</w:t>
            </w:r>
          </w:p>
        </w:tc>
        <w:tc>
          <w:tcPr>
            <w:tcW w:w="14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44"/>
        </w:trPr>
        <w:tc>
          <w:tcPr>
            <w:tcW w:w="18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33"/>
        </w:trPr>
        <w:tc>
          <w:tcPr>
            <w:tcW w:w="1820" w:type="dxa"/>
            <w:vAlign w:val="bottom"/>
            <w:tcBorders>
              <w:left w:val="single" w:sz="8" w:color="auto"/>
              <w:bottom w:val="single" w:sz="8" w:color="auto"/>
              <w:right w:val="single" w:sz="8" w:color="BEBEBE"/>
            </w:tcBorders>
            <w:shd w:val="clear" w:color="auto" w:fill="BEBEBE"/>
          </w:tcPr>
          <w:p>
            <w:pPr>
              <w:ind w:left="80"/>
              <w:spacing w:after="0" w:line="133" w:lineRule="exact"/>
              <w:rPr>
                <w:sz w:val="20"/>
                <w:szCs w:val="20"/>
                <w:color w:val="auto"/>
              </w:rPr>
            </w:pPr>
            <w:r>
              <w:rPr>
                <w:rFonts w:ascii="Arial" w:cs="Arial" w:eastAsia="Arial" w:hAnsi="Arial"/>
                <w:sz w:val="12"/>
                <w:szCs w:val="12"/>
                <w:b w:val="1"/>
                <w:bCs w:val="1"/>
                <w:color w:val="auto"/>
              </w:rPr>
              <w:t>Coverage/Limits as of:</w:t>
            </w:r>
          </w:p>
        </w:tc>
        <w:tc>
          <w:tcPr>
            <w:tcW w:w="1480" w:type="dxa"/>
            <w:vAlign w:val="bottom"/>
            <w:tcBorders>
              <w:bottom w:val="single" w:sz="8" w:color="auto"/>
              <w:right w:val="single" w:sz="8" w:color="auto"/>
            </w:tcBorders>
            <w:shd w:val="clear" w:color="auto" w:fill="BEBEBE"/>
          </w:tcPr>
          <w:p>
            <w:pPr>
              <w:spacing w:after="0"/>
              <w:rPr>
                <w:sz w:val="11"/>
                <w:szCs w:val="11"/>
                <w:color w:val="auto"/>
              </w:rPr>
            </w:pPr>
          </w:p>
        </w:tc>
        <w:tc>
          <w:tcPr>
            <w:tcW w:w="1780" w:type="dxa"/>
            <w:vAlign w:val="bottom"/>
            <w:tcBorders>
              <w:bottom w:val="single" w:sz="8" w:color="auto"/>
              <w:right w:val="single" w:sz="8" w:color="auto"/>
            </w:tcBorders>
            <w:shd w:val="clear" w:color="auto" w:fill="BEBEBE"/>
          </w:tcPr>
          <w:p>
            <w:pPr>
              <w:jc w:val="right"/>
              <w:ind w:right="1064"/>
              <w:spacing w:after="0" w:line="133" w:lineRule="exact"/>
              <w:rPr>
                <w:sz w:val="20"/>
                <w:szCs w:val="20"/>
                <w:color w:val="auto"/>
              </w:rPr>
            </w:pPr>
            <w:r>
              <w:rPr>
                <w:rFonts w:ascii="Arial" w:cs="Arial" w:eastAsia="Arial" w:hAnsi="Arial"/>
                <w:sz w:val="12"/>
                <w:szCs w:val="12"/>
                <w:b w:val="1"/>
                <w:bCs w:val="1"/>
                <w:color w:val="auto"/>
                <w:w w:val="94"/>
              </w:rPr>
              <w:t>July 1, 2017</w:t>
            </w:r>
          </w:p>
        </w:tc>
        <w:tc>
          <w:tcPr>
            <w:tcW w:w="1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241"/>
        </w:trPr>
        <w:tc>
          <w:tcPr>
            <w:tcW w:w="18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24"/>
        </w:trPr>
        <w:tc>
          <w:tcPr>
            <w:tcW w:w="1820" w:type="dxa"/>
            <w:vAlign w:val="bottom"/>
            <w:tcBorders>
              <w:left w:val="single" w:sz="8" w:color="auto"/>
              <w:bottom w:val="single" w:sz="8" w:color="auto"/>
              <w:right w:val="single" w:sz="8" w:color="C0C0C0"/>
            </w:tcBorders>
            <w:shd w:val="clear" w:color="auto" w:fill="C0C0C0"/>
          </w:tcPr>
          <w:p>
            <w:pPr>
              <w:ind w:left="20"/>
              <w:spacing w:after="0" w:line="124" w:lineRule="exact"/>
              <w:rPr>
                <w:sz w:val="20"/>
                <w:szCs w:val="20"/>
                <w:color w:val="auto"/>
              </w:rPr>
            </w:pPr>
            <w:r>
              <w:rPr>
                <w:rFonts w:ascii="Arial" w:cs="Arial" w:eastAsia="Arial" w:hAnsi="Arial"/>
                <w:sz w:val="11"/>
                <w:szCs w:val="11"/>
                <w:b w:val="1"/>
                <w:bCs w:val="1"/>
                <w:color w:val="auto"/>
              </w:rPr>
              <w:t>Cyber Risk</w:t>
            </w:r>
          </w:p>
        </w:tc>
        <w:tc>
          <w:tcPr>
            <w:tcW w:w="1480" w:type="dxa"/>
            <w:vAlign w:val="bottom"/>
            <w:tcBorders>
              <w:bottom w:val="single" w:sz="8" w:color="auto"/>
              <w:right w:val="single" w:sz="8" w:color="C0C0C0"/>
            </w:tcBorders>
            <w:shd w:val="clear" w:color="auto" w:fill="C0C0C0"/>
          </w:tcPr>
          <w:p>
            <w:pPr>
              <w:spacing w:after="0"/>
              <w:rPr>
                <w:sz w:val="10"/>
                <w:szCs w:val="10"/>
                <w:color w:val="auto"/>
              </w:rPr>
            </w:pPr>
          </w:p>
        </w:tc>
        <w:tc>
          <w:tcPr>
            <w:tcW w:w="1780" w:type="dxa"/>
            <w:vAlign w:val="bottom"/>
            <w:tcBorders>
              <w:bottom w:val="single" w:sz="8" w:color="auto"/>
              <w:right w:val="single" w:sz="8" w:color="C0C0C0"/>
            </w:tcBorders>
            <w:shd w:val="clear" w:color="auto" w:fill="C0C0C0"/>
          </w:tcPr>
          <w:p>
            <w:pPr>
              <w:spacing w:after="0"/>
              <w:rPr>
                <w:sz w:val="10"/>
                <w:szCs w:val="10"/>
                <w:color w:val="auto"/>
              </w:rPr>
            </w:pPr>
          </w:p>
        </w:tc>
        <w:tc>
          <w:tcPr>
            <w:tcW w:w="120" w:type="dxa"/>
            <w:vAlign w:val="bottom"/>
            <w:tcBorders>
              <w:bottom w:val="single" w:sz="8" w:color="auto"/>
              <w:right w:val="single" w:sz="8" w:color="C0C0C0"/>
            </w:tcBorders>
            <w:shd w:val="clear" w:color="auto" w:fill="C0C0C0"/>
          </w:tcPr>
          <w:p>
            <w:pPr>
              <w:spacing w:after="0"/>
              <w:rPr>
                <w:sz w:val="10"/>
                <w:szCs w:val="10"/>
                <w:color w:val="auto"/>
              </w:rPr>
            </w:pPr>
          </w:p>
        </w:tc>
        <w:tc>
          <w:tcPr>
            <w:tcW w:w="3940" w:type="dxa"/>
            <w:vAlign w:val="bottom"/>
            <w:tcBorders>
              <w:bottom w:val="single" w:sz="8" w:color="auto"/>
              <w:right w:val="single" w:sz="8" w:color="C0C0C0"/>
            </w:tcBorders>
            <w:shd w:val="clear" w:color="auto" w:fill="C0C0C0"/>
          </w:tcPr>
          <w:p>
            <w:pPr>
              <w:spacing w:after="0"/>
              <w:rPr>
                <w:sz w:val="10"/>
                <w:szCs w:val="10"/>
                <w:color w:val="auto"/>
              </w:rPr>
            </w:pPr>
          </w:p>
        </w:tc>
        <w:tc>
          <w:tcPr>
            <w:tcW w:w="1340" w:type="dxa"/>
            <w:vAlign w:val="bottom"/>
            <w:tcBorders>
              <w:bottom w:val="single" w:sz="8" w:color="auto"/>
              <w:right w:val="single" w:sz="8" w:color="C0C0C0"/>
            </w:tcBorders>
            <w:shd w:val="clear" w:color="auto" w:fill="C0C0C0"/>
          </w:tcPr>
          <w:p>
            <w:pPr>
              <w:spacing w:after="0"/>
              <w:rPr>
                <w:sz w:val="10"/>
                <w:szCs w:val="10"/>
                <w:color w:val="auto"/>
              </w:rPr>
            </w:pPr>
          </w:p>
        </w:tc>
        <w:tc>
          <w:tcPr>
            <w:tcW w:w="1000" w:type="dxa"/>
            <w:vAlign w:val="bottom"/>
            <w:tcBorders>
              <w:bottom w:val="single" w:sz="8" w:color="auto"/>
              <w:right w:val="single" w:sz="8" w:color="auto"/>
            </w:tcBorders>
            <w:shd w:val="clear" w:color="auto" w:fill="C0C0C0"/>
          </w:tcPr>
          <w:p>
            <w:pPr>
              <w:spacing w:after="0"/>
              <w:rPr>
                <w:sz w:val="10"/>
                <w:szCs w:val="10"/>
                <w:color w:val="auto"/>
              </w:rPr>
            </w:pPr>
          </w:p>
        </w:tc>
      </w:tr>
      <w:tr>
        <w:trPr>
          <w:trHeight w:val="124"/>
        </w:trPr>
        <w:tc>
          <w:tcPr>
            <w:tcW w:w="182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Beazley Insurance Company, Inc.</w:t>
            </w:r>
          </w:p>
        </w:tc>
        <w:tc>
          <w:tcPr>
            <w:tcW w:w="1480" w:type="dxa"/>
            <w:vAlign w:val="bottom"/>
            <w:tcBorders>
              <w:right w:val="single" w:sz="8" w:color="auto"/>
            </w:tcBorders>
          </w:tcPr>
          <w:p>
            <w:pPr>
              <w:jc w:val="right"/>
              <w:ind w:right="606"/>
              <w:spacing w:after="0" w:line="124" w:lineRule="exact"/>
              <w:rPr>
                <w:sz w:val="20"/>
                <w:szCs w:val="20"/>
                <w:color w:val="auto"/>
              </w:rPr>
            </w:pPr>
            <w:r>
              <w:rPr>
                <w:rFonts w:ascii="Arial" w:cs="Arial" w:eastAsia="Arial" w:hAnsi="Arial"/>
                <w:sz w:val="11"/>
                <w:szCs w:val="11"/>
                <w:color w:val="auto"/>
              </w:rPr>
              <w:t>***</w:t>
            </w:r>
          </w:p>
        </w:tc>
        <w:tc>
          <w:tcPr>
            <w:tcW w:w="1780" w:type="dxa"/>
            <w:vAlign w:val="bottom"/>
          </w:tcPr>
          <w:p>
            <w:pPr>
              <w:jc w:val="right"/>
              <w:ind w:right="564"/>
              <w:spacing w:after="0" w:line="124" w:lineRule="exact"/>
              <w:rPr>
                <w:sz w:val="20"/>
                <w:szCs w:val="20"/>
                <w:color w:val="auto"/>
              </w:rPr>
            </w:pPr>
            <w:r>
              <w:rPr>
                <w:rFonts w:ascii="Arial" w:cs="Arial" w:eastAsia="Arial" w:hAnsi="Arial"/>
                <w:sz w:val="11"/>
                <w:szCs w:val="11"/>
                <w:color w:val="auto"/>
              </w:rPr>
              <w:t>10/14/2017-10/14/2018</w:t>
            </w: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Policy Aggregate (I.A, I.C-I.E)</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$10,000,000</w:t>
            </w:r>
          </w:p>
        </w:tc>
        <w:tc>
          <w:tcPr>
            <w:tcW w:w="1000" w:type="dxa"/>
            <w:vAlign w:val="bottom"/>
            <w:tcBorders>
              <w:right w:val="single" w:sz="8" w:color="auto"/>
            </w:tcBorders>
          </w:tcPr>
          <w:p>
            <w:pPr>
              <w:jc w:val="right"/>
              <w:ind w:right="408"/>
              <w:spacing w:after="0" w:line="124"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1"/>
                <w:szCs w:val="11"/>
                <w:color w:val="auto"/>
              </w:rPr>
              <w:t>***</w:t>
            </w:r>
          </w:p>
        </w:tc>
      </w:tr>
      <w:tr>
        <w:trPr>
          <w:trHeight w:val="124"/>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ind w:left="180"/>
              <w:spacing w:after="0" w:line="124" w:lineRule="exact"/>
              <w:rPr>
                <w:sz w:val="20"/>
                <w:szCs w:val="20"/>
                <w:color w:val="auto"/>
              </w:rPr>
            </w:pPr>
            <w:r>
              <w:rPr>
                <w:rFonts w:ascii="Arial" w:cs="Arial" w:eastAsia="Arial" w:hAnsi="Arial"/>
                <w:sz w:val="11"/>
                <w:szCs w:val="11"/>
                <w:i w:val="1"/>
                <w:iCs w:val="1"/>
                <w:color w:val="auto"/>
              </w:rPr>
              <w:t>Retroactive Date (unless specified below)</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i w:val="1"/>
                <w:iCs w:val="1"/>
                <w:color w:val="auto"/>
              </w:rPr>
              <w:t>10/14/2003</w:t>
            </w:r>
          </w:p>
        </w:tc>
        <w:tc>
          <w:tcPr>
            <w:tcW w:w="1000" w:type="dxa"/>
            <w:vAlign w:val="bottom"/>
            <w:tcBorders>
              <w:right w:val="single" w:sz="8" w:color="auto"/>
            </w:tcBorders>
          </w:tcPr>
          <w:p>
            <w:pPr>
              <w:spacing w:after="0"/>
              <w:rPr>
                <w:sz w:val="10"/>
                <w:szCs w:val="10"/>
                <w:color w:val="auto"/>
              </w:rPr>
            </w:pPr>
          </w:p>
        </w:tc>
      </w:tr>
      <w:tr>
        <w:trPr>
          <w:trHeight w:val="124"/>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ind w:left="180"/>
              <w:spacing w:after="0" w:line="124" w:lineRule="exact"/>
              <w:rPr>
                <w:sz w:val="20"/>
                <w:szCs w:val="20"/>
                <w:color w:val="auto"/>
              </w:rPr>
            </w:pPr>
            <w:r>
              <w:rPr>
                <w:rFonts w:ascii="Arial" w:cs="Arial" w:eastAsia="Arial" w:hAnsi="Arial"/>
                <w:sz w:val="11"/>
                <w:szCs w:val="11"/>
                <w:i w:val="1"/>
                <w:iCs w:val="1"/>
                <w:color w:val="auto"/>
              </w:rPr>
              <w:t>Continuity Date (unless specified below)</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i w:val="1"/>
                <w:iCs w:val="1"/>
                <w:color w:val="auto"/>
              </w:rPr>
              <w:t>10/14/2006</w:t>
            </w:r>
          </w:p>
        </w:tc>
        <w:tc>
          <w:tcPr>
            <w:tcW w:w="1000" w:type="dxa"/>
            <w:vAlign w:val="bottom"/>
            <w:tcBorders>
              <w:right w:val="single" w:sz="8" w:color="auto"/>
            </w:tcBorders>
          </w:tcPr>
          <w:p>
            <w:pPr>
              <w:spacing w:after="0"/>
              <w:rPr>
                <w:sz w:val="10"/>
                <w:szCs w:val="10"/>
                <w:color w:val="auto"/>
              </w:rPr>
            </w:pPr>
          </w:p>
        </w:tc>
      </w:tr>
      <w:tr>
        <w:trPr>
          <w:trHeight w:val="124"/>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Information Security &amp; Privacy Liability (I.A)</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incl above</w:t>
            </w:r>
          </w:p>
        </w:tc>
        <w:tc>
          <w:tcPr>
            <w:tcW w:w="1000" w:type="dxa"/>
            <w:vAlign w:val="bottom"/>
            <w:tcBorders>
              <w:right w:val="single" w:sz="8" w:color="auto"/>
            </w:tcBorders>
          </w:tcPr>
          <w:p>
            <w:pPr>
              <w:spacing w:after="0"/>
              <w:rPr>
                <w:sz w:val="10"/>
                <w:szCs w:val="10"/>
                <w:color w:val="auto"/>
              </w:rPr>
            </w:pPr>
          </w:p>
        </w:tc>
      </w:tr>
      <w:tr>
        <w:trPr>
          <w:trHeight w:val="124"/>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ind w:left="180"/>
              <w:spacing w:after="0" w:line="124" w:lineRule="exact"/>
              <w:rPr>
                <w:sz w:val="20"/>
                <w:szCs w:val="20"/>
                <w:color w:val="auto"/>
              </w:rPr>
            </w:pPr>
            <w:r>
              <w:rPr>
                <w:rFonts w:ascii="Arial" w:cs="Arial" w:eastAsia="Arial" w:hAnsi="Arial"/>
                <w:sz w:val="11"/>
                <w:szCs w:val="11"/>
                <w:i w:val="1"/>
                <w:iCs w:val="1"/>
                <w:color w:val="auto"/>
              </w:rPr>
              <w:t>Retention</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i w:val="1"/>
                <w:iCs w:val="1"/>
                <w:color w:val="auto"/>
              </w:rPr>
              <w:t>$150,000</w:t>
            </w:r>
          </w:p>
        </w:tc>
        <w:tc>
          <w:tcPr>
            <w:tcW w:w="1000" w:type="dxa"/>
            <w:vAlign w:val="bottom"/>
            <w:tcBorders>
              <w:right w:val="single" w:sz="8" w:color="auto"/>
            </w:tcBorders>
          </w:tcPr>
          <w:p>
            <w:pPr>
              <w:spacing w:after="0"/>
              <w:rPr>
                <w:sz w:val="10"/>
                <w:szCs w:val="10"/>
                <w:color w:val="auto"/>
              </w:rPr>
            </w:pPr>
          </w:p>
        </w:tc>
      </w:tr>
      <w:tr>
        <w:trPr>
          <w:trHeight w:val="125"/>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right w:val="single" w:sz="8" w:color="auto"/>
            </w:tcBorders>
          </w:tcPr>
          <w:p>
            <w:pPr>
              <w:spacing w:after="0" w:line="125" w:lineRule="exact"/>
              <w:rPr>
                <w:sz w:val="20"/>
                <w:szCs w:val="20"/>
                <w:color w:val="auto"/>
              </w:rPr>
            </w:pPr>
            <w:r>
              <w:rPr>
                <w:rFonts w:ascii="Arial" w:cs="Arial" w:eastAsia="Arial" w:hAnsi="Arial"/>
                <w:sz w:val="11"/>
                <w:szCs w:val="11"/>
                <w:color w:val="auto"/>
              </w:rPr>
              <w:t>CI Fines, Expenses and</w:t>
            </w:r>
          </w:p>
        </w:tc>
        <w:tc>
          <w:tcPr>
            <w:tcW w:w="1340" w:type="dxa"/>
            <w:vAlign w:val="bottom"/>
            <w:tcBorders>
              <w:right w:val="single" w:sz="8" w:color="auto"/>
            </w:tcBorders>
          </w:tcPr>
          <w:p>
            <w:pPr>
              <w:jc w:val="right"/>
              <w:spacing w:after="0" w:line="125" w:lineRule="exact"/>
              <w:rPr>
                <w:sz w:val="20"/>
                <w:szCs w:val="20"/>
                <w:color w:val="auto"/>
              </w:rPr>
            </w:pPr>
            <w:r>
              <w:rPr>
                <w:rFonts w:ascii="Arial" w:cs="Arial" w:eastAsia="Arial" w:hAnsi="Arial"/>
                <w:sz w:val="11"/>
                <w:szCs w:val="11"/>
                <w:color w:val="auto"/>
              </w:rPr>
              <w:t>$10,000,000</w:t>
            </w:r>
          </w:p>
        </w:tc>
        <w:tc>
          <w:tcPr>
            <w:tcW w:w="1000" w:type="dxa"/>
            <w:vAlign w:val="bottom"/>
            <w:tcBorders>
              <w:right w:val="single" w:sz="8" w:color="auto"/>
            </w:tcBorders>
          </w:tcPr>
          <w:p>
            <w:pPr>
              <w:spacing w:after="0"/>
              <w:rPr>
                <w:sz w:val="10"/>
                <w:szCs w:val="10"/>
                <w:color w:val="auto"/>
              </w:rPr>
            </w:pPr>
          </w:p>
        </w:tc>
      </w:tr>
      <w:tr>
        <w:trPr>
          <w:trHeight w:val="141"/>
        </w:trPr>
        <w:tc>
          <w:tcPr>
            <w:tcW w:w="1820" w:type="dxa"/>
            <w:vAlign w:val="bottom"/>
            <w:tcBorders>
              <w:left w:val="single" w:sz="8" w:color="auto"/>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3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Costs</w:t>
            </w:r>
          </w:p>
        </w:tc>
        <w:tc>
          <w:tcPr>
            <w:tcW w:w="1340" w:type="dxa"/>
            <w:vAlign w:val="bottom"/>
            <w:tcBorders>
              <w:bottom w:val="single" w:sz="8" w:color="auto"/>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r>
      <w:tr>
        <w:trPr>
          <w:trHeight w:val="126"/>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1"/>
                <w:szCs w:val="11"/>
                <w:color w:val="auto"/>
              </w:rPr>
              <w:t>Legal and Forensic Expenses Aggregate Sublimit</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$2,000,000</w:t>
            </w:r>
          </w:p>
        </w:tc>
        <w:tc>
          <w:tcPr>
            <w:tcW w:w="1000" w:type="dxa"/>
            <w:vAlign w:val="bottom"/>
            <w:tcBorders>
              <w:right w:val="single" w:sz="8" w:color="auto"/>
            </w:tcBorders>
          </w:tcPr>
          <w:p>
            <w:pPr>
              <w:spacing w:after="0"/>
              <w:rPr>
                <w:sz w:val="10"/>
                <w:szCs w:val="10"/>
                <w:color w:val="auto"/>
              </w:rPr>
            </w:pPr>
          </w:p>
        </w:tc>
      </w:tr>
      <w:tr>
        <w:trPr>
          <w:trHeight w:val="124"/>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ind w:left="180"/>
              <w:spacing w:after="0" w:line="124" w:lineRule="exact"/>
              <w:rPr>
                <w:sz w:val="20"/>
                <w:szCs w:val="20"/>
                <w:color w:val="auto"/>
              </w:rPr>
            </w:pPr>
            <w:r>
              <w:rPr>
                <w:rFonts w:ascii="Arial" w:cs="Arial" w:eastAsia="Arial" w:hAnsi="Arial"/>
                <w:sz w:val="11"/>
                <w:szCs w:val="11"/>
                <w:i w:val="1"/>
                <w:iCs w:val="1"/>
                <w:color w:val="auto"/>
              </w:rPr>
              <w:t>Retention</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i w:val="1"/>
                <w:iCs w:val="1"/>
                <w:color w:val="auto"/>
              </w:rPr>
              <w:t>$10,000</w:t>
            </w:r>
          </w:p>
        </w:tc>
        <w:tc>
          <w:tcPr>
            <w:tcW w:w="1000" w:type="dxa"/>
            <w:vAlign w:val="bottom"/>
            <w:tcBorders>
              <w:right w:val="single" w:sz="8" w:color="auto"/>
            </w:tcBorders>
          </w:tcPr>
          <w:p>
            <w:pPr>
              <w:spacing w:after="0"/>
              <w:rPr>
                <w:sz w:val="10"/>
                <w:szCs w:val="10"/>
                <w:color w:val="auto"/>
              </w:rPr>
            </w:pPr>
          </w:p>
        </w:tc>
      </w:tr>
      <w:tr>
        <w:trPr>
          <w:trHeight w:val="125"/>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right w:val="single" w:sz="8" w:color="auto"/>
            </w:tcBorders>
          </w:tcPr>
          <w:p>
            <w:pPr>
              <w:spacing w:after="0" w:line="125" w:lineRule="exact"/>
              <w:rPr>
                <w:sz w:val="20"/>
                <w:szCs w:val="20"/>
                <w:color w:val="auto"/>
              </w:rPr>
            </w:pPr>
            <w:r>
              <w:rPr>
                <w:rFonts w:ascii="Arial" w:cs="Arial" w:eastAsia="Arial" w:hAnsi="Arial"/>
                <w:sz w:val="11"/>
                <w:szCs w:val="11"/>
                <w:color w:val="auto"/>
              </w:rPr>
              <w:t>Regulatory Defense &amp; Penalties (I.C) Aggregate Sublimit</w:t>
            </w:r>
          </w:p>
        </w:tc>
        <w:tc>
          <w:tcPr>
            <w:tcW w:w="1340" w:type="dxa"/>
            <w:vAlign w:val="bottom"/>
            <w:tcBorders>
              <w:right w:val="single" w:sz="8" w:color="auto"/>
            </w:tcBorders>
          </w:tcPr>
          <w:p>
            <w:pPr>
              <w:jc w:val="right"/>
              <w:spacing w:after="0" w:line="125" w:lineRule="exact"/>
              <w:rPr>
                <w:sz w:val="20"/>
                <w:szCs w:val="20"/>
                <w:color w:val="auto"/>
              </w:rPr>
            </w:pPr>
            <w:r>
              <w:rPr>
                <w:rFonts w:ascii="Arial" w:cs="Arial" w:eastAsia="Arial" w:hAnsi="Arial"/>
                <w:sz w:val="11"/>
                <w:szCs w:val="11"/>
                <w:color w:val="auto"/>
              </w:rPr>
              <w:t>$10,000,000</w:t>
            </w:r>
          </w:p>
        </w:tc>
        <w:tc>
          <w:tcPr>
            <w:tcW w:w="1000" w:type="dxa"/>
            <w:vAlign w:val="bottom"/>
            <w:tcBorders>
              <w:right w:val="single" w:sz="8" w:color="auto"/>
            </w:tcBorders>
          </w:tcPr>
          <w:p>
            <w:pPr>
              <w:spacing w:after="0"/>
              <w:rPr>
                <w:sz w:val="10"/>
                <w:szCs w:val="10"/>
                <w:color w:val="auto"/>
              </w:rPr>
            </w:pPr>
          </w:p>
        </w:tc>
      </w:tr>
      <w:tr>
        <w:trPr>
          <w:trHeight w:val="143"/>
        </w:trPr>
        <w:tc>
          <w:tcPr>
            <w:tcW w:w="1820" w:type="dxa"/>
            <w:vAlign w:val="bottom"/>
            <w:tcBorders>
              <w:left w:val="single" w:sz="8" w:color="auto"/>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394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r>
      <w:tr>
        <w:trPr>
          <w:trHeight w:val="125"/>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right w:val="single" w:sz="8" w:color="auto"/>
            </w:tcBorders>
          </w:tcPr>
          <w:p>
            <w:pPr>
              <w:spacing w:after="0" w:line="125" w:lineRule="exact"/>
              <w:rPr>
                <w:sz w:val="20"/>
                <w:szCs w:val="20"/>
                <w:color w:val="auto"/>
              </w:rPr>
            </w:pPr>
            <w:r>
              <w:rPr>
                <w:rFonts w:ascii="Arial" w:cs="Arial" w:eastAsia="Arial" w:hAnsi="Arial"/>
                <w:sz w:val="11"/>
                <w:szCs w:val="11"/>
                <w:color w:val="auto"/>
              </w:rPr>
              <w:t>Crisis Management &amp; Public Relations (I.B) Aggregate Sub</w:t>
            </w:r>
          </w:p>
        </w:tc>
        <w:tc>
          <w:tcPr>
            <w:tcW w:w="1340" w:type="dxa"/>
            <w:vAlign w:val="bottom"/>
            <w:tcBorders>
              <w:right w:val="single" w:sz="8" w:color="auto"/>
            </w:tcBorders>
          </w:tcPr>
          <w:p>
            <w:pPr>
              <w:jc w:val="right"/>
              <w:spacing w:after="0" w:line="125" w:lineRule="exact"/>
              <w:rPr>
                <w:sz w:val="20"/>
                <w:szCs w:val="20"/>
                <w:color w:val="auto"/>
              </w:rPr>
            </w:pPr>
            <w:r>
              <w:rPr>
                <w:rFonts w:ascii="Arial" w:cs="Arial" w:eastAsia="Arial" w:hAnsi="Arial"/>
                <w:sz w:val="11"/>
                <w:szCs w:val="11"/>
                <w:color w:val="auto"/>
              </w:rPr>
              <w:t>$2,000,000</w:t>
            </w:r>
          </w:p>
        </w:tc>
        <w:tc>
          <w:tcPr>
            <w:tcW w:w="1000" w:type="dxa"/>
            <w:vAlign w:val="bottom"/>
            <w:tcBorders>
              <w:right w:val="single" w:sz="8" w:color="auto"/>
            </w:tcBorders>
          </w:tcPr>
          <w:p>
            <w:pPr>
              <w:spacing w:after="0"/>
              <w:rPr>
                <w:sz w:val="10"/>
                <w:szCs w:val="10"/>
                <w:color w:val="auto"/>
              </w:rPr>
            </w:pPr>
          </w:p>
        </w:tc>
      </w:tr>
      <w:tr>
        <w:trPr>
          <w:trHeight w:val="143"/>
        </w:trPr>
        <w:tc>
          <w:tcPr>
            <w:tcW w:w="1820" w:type="dxa"/>
            <w:vAlign w:val="bottom"/>
            <w:tcBorders>
              <w:left w:val="single" w:sz="8" w:color="auto"/>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394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r>
      <w:tr>
        <w:trPr>
          <w:trHeight w:val="124"/>
        </w:trPr>
        <w:tc>
          <w:tcPr>
            <w:tcW w:w="1820" w:type="dxa"/>
            <w:vAlign w:val="bottom"/>
            <w:tcBorders>
              <w:left w:val="single" w:sz="8" w:color="auto"/>
              <w:bottom w:val="single" w:sz="8" w:color="auto"/>
              <w:right w:val="single" w:sz="8" w:color="auto"/>
            </w:tcBorders>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ind w:left="180"/>
              <w:spacing w:after="0" w:line="124" w:lineRule="exact"/>
              <w:rPr>
                <w:sz w:val="20"/>
                <w:szCs w:val="20"/>
                <w:color w:val="auto"/>
              </w:rPr>
            </w:pPr>
            <w:r>
              <w:rPr>
                <w:rFonts w:ascii="Arial" w:cs="Arial" w:eastAsia="Arial" w:hAnsi="Arial"/>
                <w:sz w:val="11"/>
                <w:szCs w:val="11"/>
                <w:i w:val="1"/>
                <w:iCs w:val="1"/>
                <w:color w:val="auto"/>
              </w:rPr>
              <w:t>Retention</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i w:val="1"/>
                <w:iCs w:val="1"/>
                <w:color w:val="auto"/>
              </w:rPr>
              <w:t>$10,000</w:t>
            </w:r>
          </w:p>
        </w:tc>
        <w:tc>
          <w:tcPr>
            <w:tcW w:w="1000" w:type="dxa"/>
            <w:vAlign w:val="bottom"/>
            <w:tcBorders>
              <w:bottom w:val="single" w:sz="8" w:color="auto"/>
              <w:right w:val="single" w:sz="8" w:color="auto"/>
            </w:tcBorders>
          </w:tcPr>
          <w:p>
            <w:pPr>
              <w:spacing w:after="0"/>
              <w:rPr>
                <w:sz w:val="10"/>
                <w:szCs w:val="10"/>
                <w:color w:val="auto"/>
              </w:rPr>
            </w:pPr>
          </w:p>
        </w:tc>
      </w:tr>
      <w:tr>
        <w:trPr>
          <w:trHeight w:val="124"/>
        </w:trPr>
        <w:tc>
          <w:tcPr>
            <w:tcW w:w="1820" w:type="dxa"/>
            <w:vAlign w:val="bottom"/>
            <w:tcBorders>
              <w:left w:val="single" w:sz="8" w:color="auto"/>
              <w:bottom w:val="single" w:sz="8" w:color="auto"/>
              <w:right w:val="single" w:sz="8" w:color="C0C0C0"/>
            </w:tcBorders>
            <w:shd w:val="clear" w:color="auto" w:fill="C0C0C0"/>
          </w:tcPr>
          <w:p>
            <w:pPr>
              <w:ind w:left="20"/>
              <w:spacing w:after="0" w:line="124" w:lineRule="exact"/>
              <w:rPr>
                <w:sz w:val="20"/>
                <w:szCs w:val="20"/>
                <w:color w:val="auto"/>
              </w:rPr>
            </w:pPr>
            <w:r>
              <w:rPr>
                <w:rFonts w:ascii="Arial" w:cs="Arial" w:eastAsia="Arial" w:hAnsi="Arial"/>
                <w:sz w:val="11"/>
                <w:szCs w:val="11"/>
                <w:b w:val="1"/>
                <w:bCs w:val="1"/>
                <w:color w:val="auto"/>
              </w:rPr>
              <w:t>Exces Cyber Risk</w:t>
            </w:r>
          </w:p>
        </w:tc>
        <w:tc>
          <w:tcPr>
            <w:tcW w:w="1480" w:type="dxa"/>
            <w:vAlign w:val="bottom"/>
            <w:tcBorders>
              <w:bottom w:val="single" w:sz="8" w:color="auto"/>
              <w:right w:val="single" w:sz="8" w:color="C0C0C0"/>
            </w:tcBorders>
            <w:shd w:val="clear" w:color="auto" w:fill="C0C0C0"/>
          </w:tcPr>
          <w:p>
            <w:pPr>
              <w:spacing w:after="0"/>
              <w:rPr>
                <w:sz w:val="10"/>
                <w:szCs w:val="10"/>
                <w:color w:val="auto"/>
              </w:rPr>
            </w:pPr>
          </w:p>
        </w:tc>
        <w:tc>
          <w:tcPr>
            <w:tcW w:w="1780" w:type="dxa"/>
            <w:vAlign w:val="bottom"/>
            <w:tcBorders>
              <w:bottom w:val="single" w:sz="8" w:color="auto"/>
              <w:right w:val="single" w:sz="8" w:color="C0C0C0"/>
            </w:tcBorders>
            <w:shd w:val="clear" w:color="auto" w:fill="C0C0C0"/>
          </w:tcPr>
          <w:p>
            <w:pPr>
              <w:spacing w:after="0"/>
              <w:rPr>
                <w:sz w:val="10"/>
                <w:szCs w:val="10"/>
                <w:color w:val="auto"/>
              </w:rPr>
            </w:pPr>
          </w:p>
        </w:tc>
        <w:tc>
          <w:tcPr>
            <w:tcW w:w="120" w:type="dxa"/>
            <w:vAlign w:val="bottom"/>
            <w:tcBorders>
              <w:bottom w:val="single" w:sz="8" w:color="auto"/>
              <w:right w:val="single" w:sz="8" w:color="C0C0C0"/>
            </w:tcBorders>
            <w:shd w:val="clear" w:color="auto" w:fill="C0C0C0"/>
          </w:tcPr>
          <w:p>
            <w:pPr>
              <w:spacing w:after="0"/>
              <w:rPr>
                <w:sz w:val="10"/>
                <w:szCs w:val="10"/>
                <w:color w:val="auto"/>
              </w:rPr>
            </w:pPr>
          </w:p>
        </w:tc>
        <w:tc>
          <w:tcPr>
            <w:tcW w:w="3940" w:type="dxa"/>
            <w:vAlign w:val="bottom"/>
            <w:tcBorders>
              <w:bottom w:val="single" w:sz="8" w:color="auto"/>
              <w:right w:val="single" w:sz="8" w:color="C0C0C0"/>
            </w:tcBorders>
            <w:shd w:val="clear" w:color="auto" w:fill="C0C0C0"/>
          </w:tcPr>
          <w:p>
            <w:pPr>
              <w:spacing w:after="0"/>
              <w:rPr>
                <w:sz w:val="10"/>
                <w:szCs w:val="10"/>
                <w:color w:val="auto"/>
              </w:rPr>
            </w:pPr>
          </w:p>
        </w:tc>
        <w:tc>
          <w:tcPr>
            <w:tcW w:w="1340" w:type="dxa"/>
            <w:vAlign w:val="bottom"/>
            <w:tcBorders>
              <w:bottom w:val="single" w:sz="8" w:color="auto"/>
              <w:right w:val="single" w:sz="8" w:color="C0C0C0"/>
            </w:tcBorders>
            <w:shd w:val="clear" w:color="auto" w:fill="C0C0C0"/>
          </w:tcPr>
          <w:p>
            <w:pPr>
              <w:spacing w:after="0"/>
              <w:rPr>
                <w:sz w:val="10"/>
                <w:szCs w:val="10"/>
                <w:color w:val="auto"/>
              </w:rPr>
            </w:pPr>
          </w:p>
        </w:tc>
        <w:tc>
          <w:tcPr>
            <w:tcW w:w="1000" w:type="dxa"/>
            <w:vAlign w:val="bottom"/>
            <w:tcBorders>
              <w:bottom w:val="single" w:sz="8" w:color="auto"/>
              <w:right w:val="single" w:sz="8" w:color="auto"/>
            </w:tcBorders>
            <w:shd w:val="clear" w:color="auto" w:fill="C0C0C0"/>
          </w:tcPr>
          <w:p>
            <w:pPr>
              <w:spacing w:after="0"/>
              <w:rPr>
                <w:sz w:val="10"/>
                <w:szCs w:val="10"/>
                <w:color w:val="auto"/>
              </w:rPr>
            </w:pPr>
          </w:p>
        </w:tc>
      </w:tr>
      <w:tr>
        <w:trPr>
          <w:trHeight w:val="124"/>
        </w:trPr>
        <w:tc>
          <w:tcPr>
            <w:tcW w:w="182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National Union Fire</w:t>
            </w:r>
          </w:p>
        </w:tc>
        <w:tc>
          <w:tcPr>
            <w:tcW w:w="1480" w:type="dxa"/>
            <w:vAlign w:val="bottom"/>
            <w:tcBorders>
              <w:right w:val="single" w:sz="8" w:color="auto"/>
            </w:tcBorders>
          </w:tcPr>
          <w:p>
            <w:pPr>
              <w:jc w:val="right"/>
              <w:ind w:right="606"/>
              <w:spacing w:after="0" w:line="124" w:lineRule="exact"/>
              <w:rPr>
                <w:sz w:val="20"/>
                <w:szCs w:val="20"/>
                <w:color w:val="auto"/>
              </w:rPr>
            </w:pPr>
            <w:r>
              <w:rPr>
                <w:rFonts w:ascii="Arial" w:cs="Arial" w:eastAsia="Arial" w:hAnsi="Arial"/>
                <w:sz w:val="11"/>
                <w:szCs w:val="11"/>
                <w:color w:val="auto"/>
              </w:rPr>
              <w:t>***</w:t>
            </w:r>
          </w:p>
        </w:tc>
        <w:tc>
          <w:tcPr>
            <w:tcW w:w="1780" w:type="dxa"/>
            <w:vAlign w:val="bottom"/>
          </w:tcPr>
          <w:p>
            <w:pPr>
              <w:jc w:val="right"/>
              <w:ind w:right="564"/>
              <w:spacing w:after="0" w:line="124" w:lineRule="exact"/>
              <w:rPr>
                <w:sz w:val="20"/>
                <w:szCs w:val="20"/>
                <w:color w:val="auto"/>
              </w:rPr>
            </w:pPr>
            <w:r>
              <w:rPr>
                <w:rFonts w:ascii="Arial" w:cs="Arial" w:eastAsia="Arial" w:hAnsi="Arial"/>
                <w:sz w:val="11"/>
                <w:szCs w:val="11"/>
                <w:color w:val="auto"/>
              </w:rPr>
              <w:t>10/14/2017-10/14/2018</w:t>
            </w: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Policy Aggregate</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$5,000,000</w:t>
            </w:r>
          </w:p>
        </w:tc>
        <w:tc>
          <w:tcPr>
            <w:tcW w:w="1000" w:type="dxa"/>
            <w:vAlign w:val="bottom"/>
            <w:tcBorders>
              <w:right w:val="single" w:sz="8" w:color="auto"/>
            </w:tcBorders>
          </w:tcPr>
          <w:p>
            <w:pPr>
              <w:jc w:val="right"/>
              <w:ind w:right="408"/>
              <w:spacing w:after="0" w:line="124"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1"/>
                <w:szCs w:val="11"/>
                <w:color w:val="auto"/>
              </w:rPr>
              <w:t>***</w:t>
            </w:r>
          </w:p>
        </w:tc>
      </w:tr>
      <w:tr>
        <w:trPr>
          <w:trHeight w:val="124"/>
        </w:trPr>
        <w:tc>
          <w:tcPr>
            <w:tcW w:w="1820" w:type="dxa"/>
            <w:vAlign w:val="bottom"/>
            <w:tcBorders>
              <w:left w:val="single" w:sz="8" w:color="auto"/>
              <w:right w:val="single" w:sz="8" w:color="auto"/>
            </w:tcBorders>
          </w:tcPr>
          <w:p>
            <w:pPr>
              <w:ind w:left="20"/>
              <w:spacing w:after="0" w:line="116" w:lineRule="exact"/>
              <w:rPr>
                <w:sz w:val="20"/>
                <w:szCs w:val="20"/>
                <w:color w:val="auto"/>
              </w:rPr>
            </w:pPr>
            <w:r>
              <w:rPr>
                <w:rFonts w:ascii="Arial" w:cs="Arial" w:eastAsia="Arial" w:hAnsi="Arial"/>
                <w:sz w:val="11"/>
                <w:szCs w:val="11"/>
                <w:color w:val="auto"/>
                <w:w w:val="94"/>
              </w:rPr>
              <w:t>Insurance Company of Pittsburgh, Pa.</w:t>
            </w: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Excess of underlying</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$10,000,000</w:t>
            </w:r>
          </w:p>
        </w:tc>
        <w:tc>
          <w:tcPr>
            <w:tcW w:w="1000" w:type="dxa"/>
            <w:vAlign w:val="bottom"/>
            <w:tcBorders>
              <w:right w:val="single" w:sz="8" w:color="auto"/>
            </w:tcBorders>
          </w:tcPr>
          <w:p>
            <w:pPr>
              <w:spacing w:after="0"/>
              <w:rPr>
                <w:sz w:val="10"/>
                <w:szCs w:val="10"/>
                <w:color w:val="auto"/>
              </w:rPr>
            </w:pPr>
          </w:p>
        </w:tc>
      </w:tr>
      <w:tr>
        <w:trPr>
          <w:trHeight w:val="115"/>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rPr>
                <w:sz w:val="10"/>
                <w:szCs w:val="10"/>
                <w:color w:val="auto"/>
              </w:rPr>
            </w:pPr>
          </w:p>
        </w:tc>
        <w:tc>
          <w:tcPr>
            <w:tcW w:w="1340" w:type="dxa"/>
            <w:vAlign w:val="bottom"/>
            <w:tcBorders>
              <w:bottom w:val="single" w:sz="8" w:color="auto"/>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r>
      <w:tr>
        <w:trPr>
          <w:trHeight w:val="406"/>
        </w:trPr>
        <w:tc>
          <w:tcPr>
            <w:tcW w:w="9140" w:type="dxa"/>
            <w:vAlign w:val="bottom"/>
            <w:gridSpan w:val="5"/>
          </w:tcPr>
          <w:p>
            <w:pPr>
              <w:spacing w:after="0"/>
              <w:rPr>
                <w:sz w:val="20"/>
                <w:szCs w:val="20"/>
                <w:color w:val="auto"/>
              </w:rPr>
            </w:pPr>
            <w:r>
              <w:rPr>
                <w:rFonts w:ascii="Arial" w:cs="Arial" w:eastAsia="Arial" w:hAnsi="Arial"/>
                <w:sz w:val="10"/>
                <w:szCs w:val="10"/>
                <w:color w:val="auto"/>
              </w:rPr>
              <w:t>Note 1: This Document is intended as a guide only, please consult your policy for a complete listings of all applicable terms, conditions, and limits.</w:t>
            </w:r>
          </w:p>
        </w:tc>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30"/>
        </w:trPr>
        <w:tc>
          <w:tcPr>
            <w:tcW w:w="1820" w:type="dxa"/>
            <w:vAlign w:val="bottom"/>
          </w:tcPr>
          <w:p>
            <w:pPr>
              <w:spacing w:after="0"/>
              <w:rPr>
                <w:sz w:val="20"/>
                <w:szCs w:val="20"/>
                <w:color w:val="auto"/>
              </w:rPr>
            </w:pPr>
            <w:r>
              <w:rPr>
                <w:rFonts w:ascii="Arial" w:cs="Arial" w:eastAsia="Arial" w:hAnsi="Arial"/>
                <w:sz w:val="10"/>
                <w:szCs w:val="10"/>
                <w:color w:val="auto"/>
              </w:rPr>
              <w:t>Note 2: All premiums are in US Dollars.</w:t>
            </w:r>
          </w:p>
        </w:tc>
        <w:tc>
          <w:tcPr>
            <w:tcW w:w="14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0" w:type="dxa"/>
            <w:vAlign w:val="bottom"/>
          </w:tcPr>
          <w:p>
            <w:pPr>
              <w:ind w:left="760"/>
              <w:spacing w:after="0"/>
              <w:rPr>
                <w:sz w:val="20"/>
                <w:szCs w:val="20"/>
                <w:color w:val="auto"/>
              </w:rPr>
            </w:pPr>
            <w:r>
              <w:rPr>
                <w:rFonts w:ascii="Arial" w:cs="Arial" w:eastAsia="Arial" w:hAnsi="Arial"/>
                <w:sz w:val="10"/>
                <w:szCs w:val="10"/>
                <w:color w:val="auto"/>
                <w:w w:val="85"/>
              </w:rPr>
              <w:t>Page</w:t>
            </w:r>
          </w:p>
        </w:tc>
      </w:tr>
      <w:tr>
        <w:trPr>
          <w:trHeight w:val="108"/>
        </w:trPr>
        <w:tc>
          <w:tcPr>
            <w:tcW w:w="18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0" w:type="dxa"/>
            <w:vAlign w:val="bottom"/>
          </w:tcPr>
          <w:p>
            <w:pPr>
              <w:ind w:left="760"/>
              <w:spacing w:after="0" w:line="108" w:lineRule="exact"/>
              <w:rPr>
                <w:sz w:val="20"/>
                <w:szCs w:val="20"/>
                <w:color w:val="auto"/>
              </w:rPr>
            </w:pPr>
            <w:r>
              <w:rPr>
                <w:rFonts w:ascii="Arial" w:cs="Arial" w:eastAsia="Arial" w:hAnsi="Arial"/>
                <w:sz w:val="10"/>
                <w:szCs w:val="10"/>
                <w:color w:val="auto"/>
              </w:rPr>
              <w:t>7 of</w:t>
            </w:r>
          </w:p>
        </w:tc>
      </w:tr>
      <w:tr>
        <w:trPr>
          <w:trHeight w:val="108"/>
        </w:trPr>
        <w:tc>
          <w:tcPr>
            <w:tcW w:w="18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0" w:type="dxa"/>
            <w:vAlign w:val="bottom"/>
          </w:tcPr>
          <w:p>
            <w:pPr>
              <w:ind w:left="760"/>
              <w:spacing w:after="0" w:line="108" w:lineRule="exact"/>
              <w:rPr>
                <w:sz w:val="20"/>
                <w:szCs w:val="20"/>
                <w:color w:val="auto"/>
              </w:rPr>
            </w:pPr>
            <w:r>
              <w:rPr>
                <w:rFonts w:ascii="Arial" w:cs="Arial" w:eastAsia="Arial" w:hAnsi="Arial"/>
                <w:sz w:val="10"/>
                <w:szCs w:val="10"/>
                <w:color w:val="auto"/>
              </w:rPr>
              <w:t>8</w:t>
            </w:r>
          </w:p>
        </w:tc>
      </w:tr>
    </w:tbl>
    <w:p>
      <w:pPr>
        <w:ind w:left="388" w:hanging="388"/>
        <w:spacing w:after="0"/>
        <w:tabs>
          <w:tab w:leader="none" w:pos="388" w:val="left"/>
        </w:tabs>
        <w:numPr>
          <w:ilvl w:val="0"/>
          <w:numId w:val="196"/>
        </w:numPr>
        <w:rPr>
          <w:rFonts w:ascii="Arial" w:cs="Arial" w:eastAsia="Arial" w:hAnsi="Arial"/>
          <w:sz w:val="10"/>
          <w:szCs w:val="10"/>
          <w:b w:val="1"/>
          <w:bCs w:val="1"/>
          <w:color w:val="auto"/>
        </w:rPr>
      </w:pPr>
      <w:r>
        <w:rPr>
          <w:rFonts w:ascii="Arial" w:cs="Arial" w:eastAsia="Arial" w:hAnsi="Arial"/>
          <w:sz w:val="10"/>
          <w:szCs w:val="10"/>
          <w:b w:val="1"/>
          <w:bCs w:val="1"/>
          <w:color w:val="auto"/>
        </w:rPr>
        <w:t>Represents text omitted pursuant to a request for confidential treatment. The omitted material has been filed separately with the Securities and Exchange Commission</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267335</wp:posOffset>
            </wp:positionV>
            <wp:extent cx="7329170" cy="368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127" w:right="199" w:bottom="1440" w:gutter="0" w:footer="0" w:header="0"/>
        </w:sectPr>
      </w:pPr>
    </w:p>
    <w:bookmarkStart w:id="175" w:name="page176"/>
    <w:bookmarkEnd w:id="175"/>
    <w:tbl>
      <w:tblPr>
        <w:tblLayout w:type="fixed"/>
        <w:tblInd w:w="18" w:type="dxa"/>
        <w:tblCellMar>
          <w:top w:w="0" w:type="dxa"/>
          <w:left w:w="0" w:type="dxa"/>
          <w:bottom w:w="0" w:type="dxa"/>
          <w:right w:w="0" w:type="dxa"/>
        </w:tblCellMar>
      </w:tblPr>
      <w:tr>
        <w:trPr>
          <w:trHeight w:val="157"/>
        </w:trPr>
        <w:tc>
          <w:tcPr>
            <w:tcW w:w="1820" w:type="dxa"/>
            <w:vAlign w:val="bottom"/>
          </w:tcPr>
          <w:p>
            <w:pPr>
              <w:spacing w:after="0"/>
              <w:rPr>
                <w:sz w:val="20"/>
                <w:szCs w:val="20"/>
                <w:color w:val="auto"/>
              </w:rPr>
            </w:pPr>
            <w:r>
              <w:rPr>
                <w:rFonts w:ascii="Arial" w:cs="Arial" w:eastAsia="Arial" w:hAnsi="Arial"/>
                <w:sz w:val="12"/>
                <w:szCs w:val="12"/>
                <w:b w:val="1"/>
                <w:bCs w:val="1"/>
                <w:color w:val="auto"/>
              </w:rPr>
              <w:t>Schedule 5.10 Insurance</w:t>
            </w:r>
          </w:p>
        </w:tc>
        <w:tc>
          <w:tcPr>
            <w:tcW w:w="14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44"/>
        </w:trPr>
        <w:tc>
          <w:tcPr>
            <w:tcW w:w="18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33"/>
        </w:trPr>
        <w:tc>
          <w:tcPr>
            <w:tcW w:w="1820" w:type="dxa"/>
            <w:vAlign w:val="bottom"/>
            <w:tcBorders>
              <w:left w:val="single" w:sz="8" w:color="auto"/>
              <w:bottom w:val="single" w:sz="8" w:color="auto"/>
              <w:right w:val="single" w:sz="8" w:color="BEBEBE"/>
            </w:tcBorders>
            <w:shd w:val="clear" w:color="auto" w:fill="BEBEBE"/>
          </w:tcPr>
          <w:p>
            <w:pPr>
              <w:ind w:left="80"/>
              <w:spacing w:after="0" w:line="133" w:lineRule="exact"/>
              <w:rPr>
                <w:sz w:val="20"/>
                <w:szCs w:val="20"/>
                <w:color w:val="auto"/>
              </w:rPr>
            </w:pPr>
            <w:r>
              <w:rPr>
                <w:rFonts w:ascii="Arial" w:cs="Arial" w:eastAsia="Arial" w:hAnsi="Arial"/>
                <w:sz w:val="12"/>
                <w:szCs w:val="12"/>
                <w:b w:val="1"/>
                <w:bCs w:val="1"/>
                <w:color w:val="auto"/>
              </w:rPr>
              <w:t>Coverage/Limits as of:</w:t>
            </w:r>
          </w:p>
        </w:tc>
        <w:tc>
          <w:tcPr>
            <w:tcW w:w="1480" w:type="dxa"/>
            <w:vAlign w:val="bottom"/>
            <w:tcBorders>
              <w:bottom w:val="single" w:sz="8" w:color="auto"/>
              <w:right w:val="single" w:sz="8" w:color="auto"/>
            </w:tcBorders>
            <w:shd w:val="clear" w:color="auto" w:fill="BEBEBE"/>
          </w:tcPr>
          <w:p>
            <w:pPr>
              <w:spacing w:after="0"/>
              <w:rPr>
                <w:sz w:val="11"/>
                <w:szCs w:val="11"/>
                <w:color w:val="auto"/>
              </w:rPr>
            </w:pPr>
          </w:p>
        </w:tc>
        <w:tc>
          <w:tcPr>
            <w:tcW w:w="1780" w:type="dxa"/>
            <w:vAlign w:val="bottom"/>
            <w:tcBorders>
              <w:bottom w:val="single" w:sz="8" w:color="auto"/>
              <w:right w:val="single" w:sz="8" w:color="auto"/>
            </w:tcBorders>
            <w:shd w:val="clear" w:color="auto" w:fill="BEBEBE"/>
          </w:tcPr>
          <w:p>
            <w:pPr>
              <w:jc w:val="right"/>
              <w:ind w:right="1063"/>
              <w:spacing w:after="0" w:line="133" w:lineRule="exact"/>
              <w:rPr>
                <w:sz w:val="20"/>
                <w:szCs w:val="20"/>
                <w:color w:val="auto"/>
              </w:rPr>
            </w:pPr>
            <w:r>
              <w:rPr>
                <w:rFonts w:ascii="Arial" w:cs="Arial" w:eastAsia="Arial" w:hAnsi="Arial"/>
                <w:sz w:val="12"/>
                <w:szCs w:val="12"/>
                <w:b w:val="1"/>
                <w:bCs w:val="1"/>
                <w:color w:val="auto"/>
                <w:w w:val="94"/>
              </w:rPr>
              <w:t>July 1, 2017</w:t>
            </w:r>
          </w:p>
        </w:tc>
        <w:tc>
          <w:tcPr>
            <w:tcW w:w="1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286"/>
        </w:trPr>
        <w:tc>
          <w:tcPr>
            <w:tcW w:w="18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24"/>
        </w:trPr>
        <w:tc>
          <w:tcPr>
            <w:tcW w:w="1820" w:type="dxa"/>
            <w:vAlign w:val="bottom"/>
            <w:tcBorders>
              <w:left w:val="single" w:sz="8" w:color="auto"/>
              <w:bottom w:val="single" w:sz="8" w:color="auto"/>
              <w:right w:val="single" w:sz="8" w:color="C0C0C0"/>
            </w:tcBorders>
            <w:shd w:val="clear" w:color="auto" w:fill="C0C0C0"/>
          </w:tcPr>
          <w:p>
            <w:pPr>
              <w:ind w:left="20"/>
              <w:spacing w:after="0" w:line="124" w:lineRule="exact"/>
              <w:rPr>
                <w:sz w:val="20"/>
                <w:szCs w:val="20"/>
                <w:color w:val="auto"/>
              </w:rPr>
            </w:pPr>
            <w:r>
              <w:rPr>
                <w:rFonts w:ascii="Arial" w:cs="Arial" w:eastAsia="Arial" w:hAnsi="Arial"/>
                <w:sz w:val="11"/>
                <w:szCs w:val="11"/>
                <w:b w:val="1"/>
                <w:bCs w:val="1"/>
                <w:color w:val="auto"/>
              </w:rPr>
              <w:t>Special Risk Policy</w:t>
            </w:r>
          </w:p>
        </w:tc>
        <w:tc>
          <w:tcPr>
            <w:tcW w:w="1480" w:type="dxa"/>
            <w:vAlign w:val="bottom"/>
            <w:tcBorders>
              <w:bottom w:val="single" w:sz="8" w:color="auto"/>
              <w:right w:val="single" w:sz="8" w:color="C0C0C0"/>
            </w:tcBorders>
            <w:shd w:val="clear" w:color="auto" w:fill="C0C0C0"/>
          </w:tcPr>
          <w:p>
            <w:pPr>
              <w:spacing w:after="0"/>
              <w:rPr>
                <w:sz w:val="10"/>
                <w:szCs w:val="10"/>
                <w:color w:val="auto"/>
              </w:rPr>
            </w:pPr>
          </w:p>
        </w:tc>
        <w:tc>
          <w:tcPr>
            <w:tcW w:w="1780" w:type="dxa"/>
            <w:vAlign w:val="bottom"/>
            <w:tcBorders>
              <w:bottom w:val="single" w:sz="8" w:color="auto"/>
              <w:right w:val="single" w:sz="8" w:color="C0C0C0"/>
            </w:tcBorders>
            <w:shd w:val="clear" w:color="auto" w:fill="C0C0C0"/>
          </w:tcPr>
          <w:p>
            <w:pPr>
              <w:spacing w:after="0"/>
              <w:rPr>
                <w:sz w:val="10"/>
                <w:szCs w:val="10"/>
                <w:color w:val="auto"/>
              </w:rPr>
            </w:pPr>
          </w:p>
        </w:tc>
        <w:tc>
          <w:tcPr>
            <w:tcW w:w="120" w:type="dxa"/>
            <w:vAlign w:val="bottom"/>
            <w:tcBorders>
              <w:bottom w:val="single" w:sz="8" w:color="auto"/>
              <w:right w:val="single" w:sz="8" w:color="C0C0C0"/>
            </w:tcBorders>
            <w:shd w:val="clear" w:color="auto" w:fill="C0C0C0"/>
          </w:tcPr>
          <w:p>
            <w:pPr>
              <w:spacing w:after="0"/>
              <w:rPr>
                <w:sz w:val="10"/>
                <w:szCs w:val="10"/>
                <w:color w:val="auto"/>
              </w:rPr>
            </w:pPr>
          </w:p>
        </w:tc>
        <w:tc>
          <w:tcPr>
            <w:tcW w:w="3940" w:type="dxa"/>
            <w:vAlign w:val="bottom"/>
            <w:tcBorders>
              <w:bottom w:val="single" w:sz="8" w:color="auto"/>
              <w:right w:val="single" w:sz="8" w:color="C0C0C0"/>
            </w:tcBorders>
            <w:shd w:val="clear" w:color="auto" w:fill="C0C0C0"/>
          </w:tcPr>
          <w:p>
            <w:pPr>
              <w:spacing w:after="0"/>
              <w:rPr>
                <w:sz w:val="10"/>
                <w:szCs w:val="10"/>
                <w:color w:val="auto"/>
              </w:rPr>
            </w:pPr>
          </w:p>
        </w:tc>
        <w:tc>
          <w:tcPr>
            <w:tcW w:w="1340" w:type="dxa"/>
            <w:vAlign w:val="bottom"/>
            <w:tcBorders>
              <w:bottom w:val="single" w:sz="8" w:color="auto"/>
              <w:right w:val="single" w:sz="8" w:color="C0C0C0"/>
            </w:tcBorders>
            <w:shd w:val="clear" w:color="auto" w:fill="C0C0C0"/>
          </w:tcPr>
          <w:p>
            <w:pPr>
              <w:spacing w:after="0"/>
              <w:rPr>
                <w:sz w:val="10"/>
                <w:szCs w:val="10"/>
                <w:color w:val="auto"/>
              </w:rPr>
            </w:pPr>
          </w:p>
        </w:tc>
        <w:tc>
          <w:tcPr>
            <w:tcW w:w="1000" w:type="dxa"/>
            <w:vAlign w:val="bottom"/>
            <w:tcBorders>
              <w:bottom w:val="single" w:sz="8" w:color="auto"/>
              <w:right w:val="single" w:sz="8" w:color="auto"/>
            </w:tcBorders>
            <w:shd w:val="clear" w:color="auto" w:fill="C0C0C0"/>
          </w:tcPr>
          <w:p>
            <w:pPr>
              <w:spacing w:after="0"/>
              <w:rPr>
                <w:sz w:val="10"/>
                <w:szCs w:val="10"/>
                <w:color w:val="auto"/>
              </w:rPr>
            </w:pPr>
          </w:p>
        </w:tc>
      </w:tr>
      <w:tr>
        <w:trPr>
          <w:trHeight w:val="124"/>
        </w:trPr>
        <w:tc>
          <w:tcPr>
            <w:tcW w:w="182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US Specialty Insurance Company</w:t>
            </w:r>
          </w:p>
        </w:tc>
        <w:tc>
          <w:tcPr>
            <w:tcW w:w="1480" w:type="dxa"/>
            <w:vAlign w:val="bottom"/>
            <w:tcBorders>
              <w:right w:val="single" w:sz="8" w:color="auto"/>
            </w:tcBorders>
          </w:tcPr>
          <w:p>
            <w:pPr>
              <w:jc w:val="right"/>
              <w:ind w:right="606"/>
              <w:spacing w:after="0" w:line="124" w:lineRule="exact"/>
              <w:rPr>
                <w:sz w:val="20"/>
                <w:szCs w:val="20"/>
                <w:color w:val="auto"/>
              </w:rPr>
            </w:pPr>
            <w:r>
              <w:rPr>
                <w:rFonts w:ascii="Arial" w:cs="Arial" w:eastAsia="Arial" w:hAnsi="Arial"/>
                <w:sz w:val="11"/>
                <w:szCs w:val="11"/>
                <w:color w:val="auto"/>
              </w:rPr>
              <w:t>***</w:t>
            </w:r>
          </w:p>
        </w:tc>
        <w:tc>
          <w:tcPr>
            <w:tcW w:w="1780" w:type="dxa"/>
            <w:vAlign w:val="bottom"/>
          </w:tcPr>
          <w:p>
            <w:pPr>
              <w:jc w:val="right"/>
              <w:ind w:right="683"/>
              <w:spacing w:after="0" w:line="124" w:lineRule="exact"/>
              <w:rPr>
                <w:sz w:val="20"/>
                <w:szCs w:val="20"/>
                <w:color w:val="auto"/>
              </w:rPr>
            </w:pPr>
            <w:r>
              <w:rPr>
                <w:rFonts w:ascii="Arial" w:cs="Arial" w:eastAsia="Arial" w:hAnsi="Arial"/>
                <w:sz w:val="11"/>
                <w:szCs w:val="11"/>
                <w:color w:val="auto"/>
              </w:rPr>
              <w:t>7/1/2017-7/1/2020</w:t>
            </w: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Limit</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$10,000,000</w:t>
            </w:r>
          </w:p>
        </w:tc>
        <w:tc>
          <w:tcPr>
            <w:tcW w:w="1000" w:type="dxa"/>
            <w:vAlign w:val="bottom"/>
            <w:tcBorders>
              <w:right w:val="single" w:sz="8" w:color="auto"/>
            </w:tcBorders>
          </w:tcPr>
          <w:p>
            <w:pPr>
              <w:jc w:val="right"/>
              <w:ind w:right="408"/>
              <w:spacing w:after="0" w:line="124"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1"/>
                <w:szCs w:val="11"/>
                <w:color w:val="auto"/>
              </w:rPr>
              <w:t>***</w:t>
            </w:r>
          </w:p>
        </w:tc>
      </w:tr>
      <w:tr>
        <w:trPr>
          <w:trHeight w:val="124"/>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Loss of Earnings per loss</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$10,000,000</w:t>
            </w:r>
          </w:p>
        </w:tc>
        <w:tc>
          <w:tcPr>
            <w:tcW w:w="1000" w:type="dxa"/>
            <w:vAlign w:val="bottom"/>
            <w:tcBorders>
              <w:right w:val="single" w:sz="8" w:color="auto"/>
            </w:tcBorders>
          </w:tcPr>
          <w:p>
            <w:pPr>
              <w:spacing w:after="0"/>
              <w:rPr>
                <w:sz w:val="10"/>
                <w:szCs w:val="10"/>
                <w:color w:val="auto"/>
              </w:rPr>
            </w:pPr>
          </w:p>
        </w:tc>
      </w:tr>
      <w:tr>
        <w:trPr>
          <w:trHeight w:val="124"/>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Death/Dismemberment - per person</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$250,000</w:t>
            </w:r>
          </w:p>
        </w:tc>
        <w:tc>
          <w:tcPr>
            <w:tcW w:w="1000" w:type="dxa"/>
            <w:vAlign w:val="bottom"/>
            <w:tcBorders>
              <w:right w:val="single" w:sz="8" w:color="auto"/>
            </w:tcBorders>
          </w:tcPr>
          <w:p>
            <w:pPr>
              <w:spacing w:after="0"/>
              <w:rPr>
                <w:sz w:val="10"/>
                <w:szCs w:val="10"/>
                <w:color w:val="auto"/>
              </w:rPr>
            </w:pPr>
          </w:p>
        </w:tc>
      </w:tr>
      <w:tr>
        <w:trPr>
          <w:trHeight w:val="124"/>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Death/Dismemberment - per accident</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$1,250,000</w:t>
            </w:r>
          </w:p>
        </w:tc>
        <w:tc>
          <w:tcPr>
            <w:tcW w:w="1000" w:type="dxa"/>
            <w:vAlign w:val="bottom"/>
            <w:tcBorders>
              <w:right w:val="single" w:sz="8" w:color="auto"/>
            </w:tcBorders>
          </w:tcPr>
          <w:p>
            <w:pPr>
              <w:spacing w:after="0"/>
              <w:rPr>
                <w:sz w:val="10"/>
                <w:szCs w:val="10"/>
                <w:color w:val="auto"/>
              </w:rPr>
            </w:pPr>
          </w:p>
        </w:tc>
      </w:tr>
      <w:tr>
        <w:trPr>
          <w:trHeight w:val="124"/>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Emergency Repatriation/Relocation Expense per loss</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$250,000</w:t>
            </w:r>
          </w:p>
        </w:tc>
        <w:tc>
          <w:tcPr>
            <w:tcW w:w="1000" w:type="dxa"/>
            <w:vAlign w:val="bottom"/>
            <w:tcBorders>
              <w:right w:val="single" w:sz="8" w:color="auto"/>
            </w:tcBorders>
          </w:tcPr>
          <w:p>
            <w:pPr>
              <w:spacing w:after="0"/>
              <w:rPr>
                <w:sz w:val="10"/>
                <w:szCs w:val="10"/>
                <w:color w:val="auto"/>
              </w:rPr>
            </w:pPr>
          </w:p>
        </w:tc>
      </w:tr>
      <w:tr>
        <w:trPr>
          <w:trHeight w:val="124"/>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Emergency Repatriation/Relocation Expense aggregate</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$250,000</w:t>
            </w:r>
          </w:p>
        </w:tc>
        <w:tc>
          <w:tcPr>
            <w:tcW w:w="1000" w:type="dxa"/>
            <w:vAlign w:val="bottom"/>
            <w:tcBorders>
              <w:right w:val="single" w:sz="8" w:color="auto"/>
            </w:tcBorders>
          </w:tcPr>
          <w:p>
            <w:pPr>
              <w:spacing w:after="0"/>
              <w:rPr>
                <w:sz w:val="10"/>
                <w:szCs w:val="10"/>
                <w:color w:val="auto"/>
              </w:rPr>
            </w:pPr>
          </w:p>
        </w:tc>
      </w:tr>
      <w:tr>
        <w:trPr>
          <w:trHeight w:val="124"/>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Threat Response - any one loss</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$100,000</w:t>
            </w:r>
          </w:p>
        </w:tc>
        <w:tc>
          <w:tcPr>
            <w:tcW w:w="1000" w:type="dxa"/>
            <w:vAlign w:val="bottom"/>
            <w:tcBorders>
              <w:right w:val="single" w:sz="8" w:color="auto"/>
            </w:tcBorders>
          </w:tcPr>
          <w:p>
            <w:pPr>
              <w:spacing w:after="0"/>
              <w:rPr>
                <w:sz w:val="10"/>
                <w:szCs w:val="10"/>
                <w:color w:val="auto"/>
              </w:rPr>
            </w:pPr>
          </w:p>
        </w:tc>
      </w:tr>
      <w:tr>
        <w:trPr>
          <w:trHeight w:val="124"/>
        </w:trPr>
        <w:tc>
          <w:tcPr>
            <w:tcW w:w="1820" w:type="dxa"/>
            <w:vAlign w:val="bottom"/>
            <w:tcBorders>
              <w:left w:val="single" w:sz="8" w:color="auto"/>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Threat Response - any one period</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$100,000</w:t>
            </w:r>
          </w:p>
        </w:tc>
        <w:tc>
          <w:tcPr>
            <w:tcW w:w="1000" w:type="dxa"/>
            <w:vAlign w:val="bottom"/>
            <w:tcBorders>
              <w:right w:val="single" w:sz="8" w:color="auto"/>
            </w:tcBorders>
          </w:tcPr>
          <w:p>
            <w:pPr>
              <w:spacing w:after="0"/>
              <w:rPr>
                <w:sz w:val="10"/>
                <w:szCs w:val="10"/>
                <w:color w:val="auto"/>
              </w:rPr>
            </w:pPr>
          </w:p>
        </w:tc>
      </w:tr>
      <w:tr>
        <w:trPr>
          <w:trHeight w:val="124"/>
        </w:trPr>
        <w:tc>
          <w:tcPr>
            <w:tcW w:w="1820" w:type="dxa"/>
            <w:vAlign w:val="bottom"/>
            <w:tcBorders>
              <w:left w:val="single" w:sz="8" w:color="auto"/>
              <w:bottom w:val="single" w:sz="8" w:color="auto"/>
              <w:right w:val="single" w:sz="8" w:color="auto"/>
            </w:tcBorders>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Disappearance/Investigation Expense</w:t>
            </w:r>
          </w:p>
        </w:tc>
        <w:tc>
          <w:tcPr>
            <w:tcW w:w="1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$50,000</w:t>
            </w:r>
          </w:p>
        </w:tc>
        <w:tc>
          <w:tcPr>
            <w:tcW w:w="1000" w:type="dxa"/>
            <w:vAlign w:val="bottom"/>
            <w:tcBorders>
              <w:bottom w:val="single" w:sz="8" w:color="auto"/>
              <w:right w:val="single" w:sz="8" w:color="auto"/>
            </w:tcBorders>
          </w:tcPr>
          <w:p>
            <w:pPr>
              <w:spacing w:after="0"/>
              <w:rPr>
                <w:sz w:val="10"/>
                <w:szCs w:val="10"/>
                <w:color w:val="auto"/>
              </w:rPr>
            </w:pPr>
          </w:p>
        </w:tc>
      </w:tr>
      <w:tr>
        <w:trPr>
          <w:trHeight w:val="550"/>
        </w:trPr>
        <w:tc>
          <w:tcPr>
            <w:tcW w:w="9140" w:type="dxa"/>
            <w:vAlign w:val="bottom"/>
            <w:gridSpan w:val="5"/>
          </w:tcPr>
          <w:p>
            <w:pPr>
              <w:spacing w:after="0"/>
              <w:rPr>
                <w:sz w:val="20"/>
                <w:szCs w:val="20"/>
                <w:color w:val="auto"/>
              </w:rPr>
            </w:pPr>
            <w:r>
              <w:rPr>
                <w:rFonts w:ascii="Arial" w:cs="Arial" w:eastAsia="Arial" w:hAnsi="Arial"/>
                <w:sz w:val="10"/>
                <w:szCs w:val="10"/>
                <w:color w:val="auto"/>
              </w:rPr>
              <w:t>Note 1: This Document is intended as a guide only, please consult your policy for a complete listings of all applicable terms, conditions, and limits.</w:t>
            </w:r>
          </w:p>
        </w:tc>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30"/>
        </w:trPr>
        <w:tc>
          <w:tcPr>
            <w:tcW w:w="1820" w:type="dxa"/>
            <w:vAlign w:val="bottom"/>
          </w:tcPr>
          <w:p>
            <w:pPr>
              <w:spacing w:after="0"/>
              <w:rPr>
                <w:sz w:val="20"/>
                <w:szCs w:val="20"/>
                <w:color w:val="auto"/>
              </w:rPr>
            </w:pPr>
            <w:r>
              <w:rPr>
                <w:rFonts w:ascii="Arial" w:cs="Arial" w:eastAsia="Arial" w:hAnsi="Arial"/>
                <w:sz w:val="10"/>
                <w:szCs w:val="10"/>
                <w:color w:val="auto"/>
              </w:rPr>
              <w:t>Note 2: All premiums are in US Dollars.</w:t>
            </w:r>
          </w:p>
        </w:tc>
        <w:tc>
          <w:tcPr>
            <w:tcW w:w="14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0" w:type="dxa"/>
            <w:vAlign w:val="bottom"/>
          </w:tcPr>
          <w:p>
            <w:pPr>
              <w:ind w:left="760"/>
              <w:spacing w:after="0"/>
              <w:rPr>
                <w:sz w:val="20"/>
                <w:szCs w:val="20"/>
                <w:color w:val="auto"/>
              </w:rPr>
            </w:pPr>
            <w:r>
              <w:rPr>
                <w:rFonts w:ascii="Arial" w:cs="Arial" w:eastAsia="Arial" w:hAnsi="Arial"/>
                <w:sz w:val="10"/>
                <w:szCs w:val="10"/>
                <w:color w:val="auto"/>
                <w:w w:val="85"/>
              </w:rPr>
              <w:t>Page</w:t>
            </w:r>
          </w:p>
        </w:tc>
      </w:tr>
      <w:tr>
        <w:trPr>
          <w:trHeight w:val="108"/>
        </w:trPr>
        <w:tc>
          <w:tcPr>
            <w:tcW w:w="18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0" w:type="dxa"/>
            <w:vAlign w:val="bottom"/>
          </w:tcPr>
          <w:p>
            <w:pPr>
              <w:ind w:left="760"/>
              <w:spacing w:after="0" w:line="108" w:lineRule="exact"/>
              <w:rPr>
                <w:sz w:val="20"/>
                <w:szCs w:val="20"/>
                <w:color w:val="auto"/>
              </w:rPr>
            </w:pPr>
            <w:r>
              <w:rPr>
                <w:rFonts w:ascii="Arial" w:cs="Arial" w:eastAsia="Arial" w:hAnsi="Arial"/>
                <w:sz w:val="10"/>
                <w:szCs w:val="10"/>
                <w:color w:val="auto"/>
              </w:rPr>
              <w:t>8 of</w:t>
            </w:r>
          </w:p>
        </w:tc>
      </w:tr>
      <w:tr>
        <w:trPr>
          <w:trHeight w:val="108"/>
        </w:trPr>
        <w:tc>
          <w:tcPr>
            <w:tcW w:w="18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0" w:type="dxa"/>
            <w:vAlign w:val="bottom"/>
          </w:tcPr>
          <w:p>
            <w:pPr>
              <w:ind w:left="760"/>
              <w:spacing w:after="0" w:line="108" w:lineRule="exact"/>
              <w:rPr>
                <w:sz w:val="20"/>
                <w:szCs w:val="20"/>
                <w:color w:val="auto"/>
              </w:rPr>
            </w:pPr>
            <w:r>
              <w:rPr>
                <w:rFonts w:ascii="Arial" w:cs="Arial" w:eastAsia="Arial" w:hAnsi="Arial"/>
                <w:sz w:val="10"/>
                <w:szCs w:val="10"/>
                <w:color w:val="auto"/>
              </w:rPr>
              <w:t>8</w:t>
            </w:r>
          </w:p>
        </w:tc>
      </w:tr>
    </w:tbl>
    <w:p>
      <w:pPr>
        <w:ind w:left="388" w:hanging="388"/>
        <w:spacing w:after="0"/>
        <w:tabs>
          <w:tab w:leader="none" w:pos="388" w:val="left"/>
        </w:tabs>
        <w:numPr>
          <w:ilvl w:val="0"/>
          <w:numId w:val="197"/>
        </w:numPr>
        <w:rPr>
          <w:rFonts w:ascii="Arial" w:cs="Arial" w:eastAsia="Arial" w:hAnsi="Arial"/>
          <w:sz w:val="10"/>
          <w:szCs w:val="10"/>
          <w:b w:val="1"/>
          <w:bCs w:val="1"/>
          <w:color w:val="auto"/>
        </w:rPr>
      </w:pPr>
      <w:r>
        <w:rPr>
          <w:rFonts w:ascii="Arial" w:cs="Arial" w:eastAsia="Arial" w:hAnsi="Arial"/>
          <w:sz w:val="10"/>
          <w:szCs w:val="10"/>
          <w:b w:val="1"/>
          <w:bCs w:val="1"/>
          <w:color w:val="auto"/>
        </w:rPr>
        <w:t>Represents text omitted pursuant to a request for confidential treatment. The omitted material has been filed separately with the Securities and Exchange Commission</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267335</wp:posOffset>
            </wp:positionV>
            <wp:extent cx="7329170" cy="368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126" w:right="199" w:bottom="1440" w:gutter="0" w:footer="0" w:header="0"/>
        </w:sectPr>
      </w:pPr>
    </w:p>
    <w:bookmarkStart w:id="176" w:name="page177"/>
    <w:bookmarkEnd w:id="176"/>
    <w:p>
      <w:pPr>
        <w:jc w:val="center"/>
        <w:ind w:right="40"/>
        <w:spacing w:after="0"/>
        <w:rPr>
          <w:sz w:val="20"/>
          <w:szCs w:val="20"/>
          <w:color w:val="auto"/>
        </w:rPr>
      </w:pPr>
      <w:r>
        <w:rPr>
          <w:rFonts w:ascii="Arial" w:cs="Arial" w:eastAsia="Arial" w:hAnsi="Arial"/>
          <w:sz w:val="13"/>
          <w:szCs w:val="13"/>
          <w:color w:val="auto"/>
        </w:rPr>
        <w:t>Schedule 5.13</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Subsidiaries; Other Equity Investments; Equity Interests in the Borrower</w:t>
      </w:r>
    </w:p>
    <w:p>
      <w:pPr>
        <w:spacing w:after="0" w:line="120" w:lineRule="exact"/>
        <w:rPr>
          <w:sz w:val="20"/>
          <w:szCs w:val="20"/>
          <w:color w:val="auto"/>
        </w:rPr>
      </w:pPr>
    </w:p>
    <w:p>
      <w:pPr>
        <w:ind w:left="220"/>
        <w:spacing w:after="0"/>
        <w:rPr>
          <w:sz w:val="20"/>
          <w:szCs w:val="20"/>
          <w:color w:val="auto"/>
        </w:rPr>
      </w:pPr>
      <w:r>
        <w:rPr>
          <w:rFonts w:ascii="Arial" w:cs="Arial" w:eastAsia="Arial" w:hAnsi="Arial"/>
          <w:sz w:val="13"/>
          <w:szCs w:val="13"/>
          <w:color w:val="auto"/>
        </w:rPr>
        <w:t>a)</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900" w:type="dxa"/>
            <w:vAlign w:val="bottom"/>
            <w:gridSpan w:val="2"/>
            <w:shd w:val="clear" w:color="auto" w:fill="BEBEBE"/>
          </w:tcPr>
          <w:p>
            <w:pPr>
              <w:spacing w:after="0"/>
              <w:rPr>
                <w:sz w:val="20"/>
                <w:szCs w:val="20"/>
                <w:color w:val="auto"/>
              </w:rPr>
            </w:pPr>
            <w:r>
              <w:rPr>
                <w:rFonts w:ascii="Arial" w:cs="Arial" w:eastAsia="Arial" w:hAnsi="Arial"/>
                <w:sz w:val="10"/>
                <w:szCs w:val="10"/>
                <w:b w:val="1"/>
                <w:bCs w:val="1"/>
                <w:color w:val="auto"/>
              </w:rPr>
              <w:t>Subsidiary</w:t>
            </w:r>
          </w:p>
        </w:tc>
        <w:tc>
          <w:tcPr>
            <w:tcW w:w="1220" w:type="dxa"/>
            <w:vAlign w:val="bottom"/>
            <w:gridSpan w:val="3"/>
            <w:shd w:val="clear" w:color="auto" w:fill="BEBEBE"/>
          </w:tcPr>
          <w:p>
            <w:pPr>
              <w:ind w:left="600"/>
              <w:spacing w:after="0"/>
              <w:rPr>
                <w:sz w:val="20"/>
                <w:szCs w:val="20"/>
                <w:color w:val="auto"/>
              </w:rPr>
            </w:pPr>
            <w:r>
              <w:rPr>
                <w:rFonts w:ascii="Arial" w:cs="Arial" w:eastAsia="Arial" w:hAnsi="Arial"/>
                <w:sz w:val="10"/>
                <w:szCs w:val="10"/>
                <w:b w:val="1"/>
                <w:bCs w:val="1"/>
                <w:color w:val="auto"/>
              </w:rPr>
              <w:t>Juris</w:t>
            </w:r>
          </w:p>
        </w:tc>
        <w:tc>
          <w:tcPr>
            <w:tcW w:w="2160" w:type="dxa"/>
            <w:vAlign w:val="bottom"/>
            <w:gridSpan w:val="2"/>
            <w:shd w:val="clear" w:color="auto" w:fill="BEBEBE"/>
          </w:tcPr>
          <w:p>
            <w:pPr>
              <w:spacing w:after="0"/>
              <w:rPr>
                <w:sz w:val="20"/>
                <w:szCs w:val="20"/>
                <w:color w:val="auto"/>
              </w:rPr>
            </w:pPr>
            <w:r>
              <w:rPr>
                <w:rFonts w:ascii="Arial" w:cs="Arial" w:eastAsia="Arial" w:hAnsi="Arial"/>
                <w:sz w:val="10"/>
                <w:szCs w:val="10"/>
                <w:b w:val="1"/>
                <w:bCs w:val="1"/>
                <w:color w:val="auto"/>
              </w:rPr>
              <w:t>Registered Holder</w:t>
            </w:r>
          </w:p>
        </w:tc>
        <w:tc>
          <w:tcPr>
            <w:tcW w:w="1200" w:type="dxa"/>
            <w:vAlign w:val="bottom"/>
            <w:gridSpan w:val="4"/>
            <w:shd w:val="clear" w:color="auto" w:fill="BEBEBE"/>
          </w:tcPr>
          <w:p>
            <w:pPr>
              <w:spacing w:after="0"/>
              <w:rPr>
                <w:sz w:val="20"/>
                <w:szCs w:val="20"/>
                <w:color w:val="auto"/>
              </w:rPr>
            </w:pPr>
            <w:r>
              <w:rPr>
                <w:rFonts w:ascii="Arial" w:cs="Arial" w:eastAsia="Arial" w:hAnsi="Arial"/>
                <w:sz w:val="10"/>
                <w:szCs w:val="10"/>
                <w:b w:val="1"/>
                <w:bCs w:val="1"/>
                <w:color w:val="auto"/>
              </w:rPr>
              <w:t>Certificate No.</w:t>
            </w:r>
          </w:p>
        </w:tc>
        <w:tc>
          <w:tcPr>
            <w:tcW w:w="2040" w:type="dxa"/>
            <w:vAlign w:val="bottom"/>
            <w:gridSpan w:val="6"/>
            <w:shd w:val="clear" w:color="auto" w:fill="BEBEBE"/>
          </w:tcPr>
          <w:p>
            <w:pPr>
              <w:ind w:left="220"/>
              <w:spacing w:after="0"/>
              <w:rPr>
                <w:sz w:val="20"/>
                <w:szCs w:val="20"/>
                <w:color w:val="auto"/>
              </w:rPr>
            </w:pPr>
            <w:r>
              <w:rPr>
                <w:rFonts w:ascii="Arial" w:cs="Arial" w:eastAsia="Arial" w:hAnsi="Arial"/>
                <w:sz w:val="10"/>
                <w:szCs w:val="10"/>
                <w:b w:val="1"/>
                <w:bCs w:val="1"/>
                <w:color w:val="auto"/>
              </w:rPr>
              <w:t>Number of Equity Interests</w:t>
            </w:r>
          </w:p>
        </w:tc>
        <w:tc>
          <w:tcPr>
            <w:tcW w:w="1400" w:type="dxa"/>
            <w:vAlign w:val="bottom"/>
            <w:gridSpan w:val="3"/>
            <w:shd w:val="clear" w:color="auto" w:fill="BEBEBE"/>
          </w:tcPr>
          <w:p>
            <w:pPr>
              <w:spacing w:after="0"/>
              <w:rPr>
                <w:sz w:val="20"/>
                <w:szCs w:val="20"/>
                <w:color w:val="auto"/>
              </w:rPr>
            </w:pPr>
            <w:r>
              <w:rPr>
                <w:rFonts w:ascii="Arial" w:cs="Arial" w:eastAsia="Arial" w:hAnsi="Arial"/>
                <w:sz w:val="10"/>
                <w:szCs w:val="10"/>
                <w:b w:val="1"/>
                <w:bCs w:val="1"/>
                <w:color w:val="auto"/>
              </w:rPr>
              <w:t>Percentage</w:t>
            </w:r>
          </w:p>
        </w:tc>
        <w:tc>
          <w:tcPr>
            <w:tcW w:w="1540" w:type="dxa"/>
            <w:vAlign w:val="bottom"/>
            <w:gridSpan w:val="4"/>
            <w:shd w:val="clear" w:color="auto" w:fill="BEBEBE"/>
          </w:tcPr>
          <w:p>
            <w:pPr>
              <w:spacing w:after="0"/>
              <w:rPr>
                <w:sz w:val="20"/>
                <w:szCs w:val="20"/>
                <w:color w:val="auto"/>
              </w:rPr>
            </w:pPr>
            <w:r>
              <w:rPr>
                <w:rFonts w:ascii="Arial" w:cs="Arial" w:eastAsia="Arial" w:hAnsi="Arial"/>
                <w:sz w:val="10"/>
                <w:szCs w:val="10"/>
                <w:b w:val="1"/>
                <w:bCs w:val="1"/>
                <w:color w:val="auto"/>
              </w:rPr>
              <w:t>Required to be Pledged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20" w:type="dxa"/>
            <w:vAlign w:val="bottom"/>
            <w:tcBorders>
              <w:top w:val="single" w:sz="8" w:color="auto"/>
              <w:bottom w:val="single" w:sz="8" w:color="BEBEBE"/>
            </w:tcBorders>
            <w:shd w:val="clear" w:color="auto" w:fill="BEBEBE"/>
          </w:tcPr>
          <w:p>
            <w:pPr>
              <w:spacing w:after="0"/>
              <w:rPr>
                <w:sz w:val="7"/>
                <w:szCs w:val="7"/>
                <w:color w:val="auto"/>
              </w:rPr>
            </w:pPr>
          </w:p>
        </w:tc>
        <w:tc>
          <w:tcPr>
            <w:tcW w:w="1480" w:type="dxa"/>
            <w:vAlign w:val="bottom"/>
            <w:tcBorders>
              <w:top w:val="single" w:sz="8" w:color="BEBEBE"/>
              <w:bottom w:val="single" w:sz="8" w:color="BEBEBE"/>
            </w:tcBorders>
            <w:shd w:val="clear" w:color="auto" w:fill="BEBEBE"/>
          </w:tcPr>
          <w:p>
            <w:pPr>
              <w:spacing w:after="0"/>
              <w:rPr>
                <w:sz w:val="7"/>
                <w:szCs w:val="7"/>
                <w:color w:val="auto"/>
              </w:rPr>
            </w:pPr>
          </w:p>
        </w:tc>
        <w:tc>
          <w:tcPr>
            <w:tcW w:w="600" w:type="dxa"/>
            <w:vAlign w:val="bottom"/>
            <w:tcBorders>
              <w:top w:val="single" w:sz="8" w:color="BEBEBE"/>
              <w:bottom w:val="single" w:sz="8" w:color="BEBEBE"/>
            </w:tcBorders>
            <w:shd w:val="clear" w:color="auto" w:fill="BEBEBE"/>
          </w:tcPr>
          <w:p>
            <w:pPr>
              <w:spacing w:after="0"/>
              <w:rPr>
                <w:sz w:val="7"/>
                <w:szCs w:val="7"/>
                <w:color w:val="auto"/>
              </w:rPr>
            </w:pPr>
          </w:p>
        </w:tc>
        <w:tc>
          <w:tcPr>
            <w:tcW w:w="220" w:type="dxa"/>
            <w:vAlign w:val="bottom"/>
            <w:tcBorders>
              <w:top w:val="single" w:sz="8" w:color="auto"/>
              <w:bottom w:val="single" w:sz="8" w:color="BEBEBE"/>
            </w:tcBorders>
            <w:shd w:val="clear" w:color="auto" w:fill="BEBEBE"/>
          </w:tcPr>
          <w:p>
            <w:pPr>
              <w:spacing w:after="0"/>
              <w:rPr>
                <w:sz w:val="7"/>
                <w:szCs w:val="7"/>
                <w:color w:val="auto"/>
              </w:rPr>
            </w:pPr>
          </w:p>
        </w:tc>
        <w:tc>
          <w:tcPr>
            <w:tcW w:w="400" w:type="dxa"/>
            <w:vAlign w:val="bottom"/>
            <w:tcBorders>
              <w:top w:val="single" w:sz="8" w:color="BEBEBE"/>
              <w:bottom w:val="single" w:sz="8" w:color="BEBEBE"/>
            </w:tcBorders>
            <w:shd w:val="clear" w:color="auto" w:fill="BEBEBE"/>
          </w:tcPr>
          <w:p>
            <w:pPr>
              <w:spacing w:after="0"/>
              <w:rPr>
                <w:sz w:val="7"/>
                <w:szCs w:val="7"/>
                <w:color w:val="auto"/>
              </w:rPr>
            </w:pPr>
          </w:p>
        </w:tc>
        <w:tc>
          <w:tcPr>
            <w:tcW w:w="760" w:type="dxa"/>
            <w:vAlign w:val="bottom"/>
            <w:tcBorders>
              <w:top w:val="single" w:sz="8" w:color="auto"/>
              <w:bottom w:val="single" w:sz="8" w:color="BEBEBE"/>
            </w:tcBorders>
            <w:shd w:val="clear" w:color="auto" w:fill="BEBEBE"/>
          </w:tcPr>
          <w:p>
            <w:pPr>
              <w:spacing w:after="0"/>
              <w:rPr>
                <w:sz w:val="7"/>
                <w:szCs w:val="7"/>
                <w:color w:val="auto"/>
              </w:rPr>
            </w:pPr>
          </w:p>
        </w:tc>
        <w:tc>
          <w:tcPr>
            <w:tcW w:w="1400" w:type="dxa"/>
            <w:vAlign w:val="bottom"/>
            <w:tcBorders>
              <w:top w:val="single" w:sz="8" w:color="BEBEBE"/>
              <w:bottom w:val="single" w:sz="8" w:color="BEBEBE"/>
            </w:tcBorders>
            <w:shd w:val="clear" w:color="auto" w:fill="BEBEBE"/>
          </w:tcPr>
          <w:p>
            <w:pPr>
              <w:spacing w:after="0"/>
              <w:rPr>
                <w:sz w:val="7"/>
                <w:szCs w:val="7"/>
                <w:color w:val="auto"/>
              </w:rPr>
            </w:pPr>
          </w:p>
        </w:tc>
        <w:tc>
          <w:tcPr>
            <w:tcW w:w="440" w:type="dxa"/>
            <w:vAlign w:val="bottom"/>
            <w:tcBorders>
              <w:top w:val="single" w:sz="8" w:color="auto"/>
              <w:bottom w:val="single" w:sz="8" w:color="BEBEBE"/>
            </w:tcBorders>
            <w:shd w:val="clear" w:color="auto" w:fill="BEBEBE"/>
          </w:tcPr>
          <w:p>
            <w:pPr>
              <w:spacing w:after="0"/>
              <w:rPr>
                <w:sz w:val="7"/>
                <w:szCs w:val="7"/>
                <w:color w:val="auto"/>
              </w:rPr>
            </w:pPr>
          </w:p>
        </w:tc>
        <w:tc>
          <w:tcPr>
            <w:tcW w:w="20" w:type="dxa"/>
            <w:vAlign w:val="bottom"/>
            <w:tcBorders>
              <w:top w:val="single" w:sz="8" w:color="BEBEBE"/>
              <w:bottom w:val="single" w:sz="8" w:color="BEBEBE"/>
            </w:tcBorders>
            <w:shd w:val="clear" w:color="auto" w:fill="BEBEBE"/>
          </w:tcPr>
          <w:p>
            <w:pPr>
              <w:spacing w:after="0"/>
              <w:rPr>
                <w:sz w:val="7"/>
                <w:szCs w:val="7"/>
                <w:color w:val="auto"/>
              </w:rPr>
            </w:pPr>
          </w:p>
        </w:tc>
        <w:tc>
          <w:tcPr>
            <w:tcW w:w="140" w:type="dxa"/>
            <w:vAlign w:val="bottom"/>
            <w:tcBorders>
              <w:top w:val="single" w:sz="8" w:color="auto"/>
              <w:bottom w:val="single" w:sz="8" w:color="BEBEBE"/>
            </w:tcBorders>
            <w:shd w:val="clear" w:color="auto" w:fill="BEBEBE"/>
          </w:tcPr>
          <w:p>
            <w:pPr>
              <w:spacing w:after="0"/>
              <w:rPr>
                <w:sz w:val="7"/>
                <w:szCs w:val="7"/>
                <w:color w:val="auto"/>
              </w:rPr>
            </w:pPr>
          </w:p>
        </w:tc>
        <w:tc>
          <w:tcPr>
            <w:tcW w:w="600" w:type="dxa"/>
            <w:vAlign w:val="bottom"/>
            <w:tcBorders>
              <w:top w:val="single" w:sz="8" w:color="BEBEBE"/>
              <w:bottom w:val="single" w:sz="8" w:color="BEBEBE"/>
            </w:tcBorders>
            <w:shd w:val="clear" w:color="auto" w:fill="BEBEBE"/>
          </w:tcPr>
          <w:p>
            <w:pPr>
              <w:spacing w:after="0"/>
              <w:rPr>
                <w:sz w:val="7"/>
                <w:szCs w:val="7"/>
                <w:color w:val="auto"/>
              </w:rPr>
            </w:pPr>
          </w:p>
        </w:tc>
        <w:tc>
          <w:tcPr>
            <w:tcW w:w="220" w:type="dxa"/>
            <w:vAlign w:val="bottom"/>
            <w:tcBorders>
              <w:top w:val="single" w:sz="8" w:color="BEBEBE"/>
              <w:bottom w:val="single" w:sz="8" w:color="BEBEBE"/>
            </w:tcBorders>
            <w:shd w:val="clear" w:color="auto" w:fill="BEBEBE"/>
          </w:tcPr>
          <w:p>
            <w:pPr>
              <w:spacing w:after="0"/>
              <w:rPr>
                <w:sz w:val="7"/>
                <w:szCs w:val="7"/>
                <w:color w:val="auto"/>
              </w:rPr>
            </w:pPr>
          </w:p>
        </w:tc>
        <w:tc>
          <w:tcPr>
            <w:tcW w:w="160" w:type="dxa"/>
            <w:vAlign w:val="bottom"/>
            <w:tcBorders>
              <w:top w:val="single" w:sz="8" w:color="auto"/>
              <w:bottom w:val="single" w:sz="8" w:color="BEBEBE"/>
            </w:tcBorders>
            <w:shd w:val="clear" w:color="auto" w:fill="BEBEBE"/>
          </w:tcPr>
          <w:p>
            <w:pPr>
              <w:spacing w:after="0"/>
              <w:rPr>
                <w:sz w:val="7"/>
                <w:szCs w:val="7"/>
                <w:color w:val="auto"/>
              </w:rPr>
            </w:pPr>
          </w:p>
        </w:tc>
        <w:tc>
          <w:tcPr>
            <w:tcW w:w="300" w:type="dxa"/>
            <w:vAlign w:val="bottom"/>
            <w:tcBorders>
              <w:top w:val="single" w:sz="8" w:color="auto"/>
              <w:bottom w:val="single" w:sz="8" w:color="BEBEBE"/>
            </w:tcBorders>
            <w:shd w:val="clear" w:color="auto" w:fill="BEBEBE"/>
          </w:tcPr>
          <w:p>
            <w:pPr>
              <w:spacing w:after="0"/>
              <w:rPr>
                <w:sz w:val="7"/>
                <w:szCs w:val="7"/>
                <w:color w:val="auto"/>
              </w:rPr>
            </w:pPr>
          </w:p>
        </w:tc>
        <w:tc>
          <w:tcPr>
            <w:tcW w:w="20" w:type="dxa"/>
            <w:vAlign w:val="bottom"/>
            <w:tcBorders>
              <w:top w:val="single" w:sz="8" w:color="BEBEBE"/>
              <w:bottom w:val="single" w:sz="8" w:color="BEBEBE"/>
            </w:tcBorders>
            <w:shd w:val="clear" w:color="auto" w:fill="BEBEBE"/>
          </w:tcPr>
          <w:p>
            <w:pPr>
              <w:spacing w:after="0"/>
              <w:rPr>
                <w:sz w:val="7"/>
                <w:szCs w:val="7"/>
                <w:color w:val="auto"/>
              </w:rPr>
            </w:pPr>
          </w:p>
        </w:tc>
        <w:tc>
          <w:tcPr>
            <w:tcW w:w="660" w:type="dxa"/>
            <w:vAlign w:val="bottom"/>
            <w:tcBorders>
              <w:top w:val="single" w:sz="8" w:color="auto"/>
              <w:bottom w:val="single" w:sz="8" w:color="BEBEBE"/>
            </w:tcBorders>
            <w:shd w:val="clear" w:color="auto" w:fill="BEBEBE"/>
          </w:tcPr>
          <w:p>
            <w:pPr>
              <w:spacing w:after="0"/>
              <w:rPr>
                <w:sz w:val="7"/>
                <w:szCs w:val="7"/>
                <w:color w:val="auto"/>
              </w:rPr>
            </w:pPr>
          </w:p>
        </w:tc>
        <w:tc>
          <w:tcPr>
            <w:tcW w:w="680" w:type="dxa"/>
            <w:vAlign w:val="bottom"/>
            <w:tcBorders>
              <w:top w:val="single" w:sz="8" w:color="BEBEBE"/>
              <w:bottom w:val="single" w:sz="8" w:color="BEBEBE"/>
            </w:tcBorders>
            <w:shd w:val="clear" w:color="auto" w:fill="BEBEBE"/>
          </w:tcPr>
          <w:p>
            <w:pPr>
              <w:spacing w:after="0"/>
              <w:rPr>
                <w:sz w:val="7"/>
                <w:szCs w:val="7"/>
                <w:color w:val="auto"/>
              </w:rPr>
            </w:pPr>
          </w:p>
        </w:tc>
        <w:tc>
          <w:tcPr>
            <w:tcW w:w="460" w:type="dxa"/>
            <w:vAlign w:val="bottom"/>
            <w:tcBorders>
              <w:top w:val="single" w:sz="8" w:color="auto"/>
              <w:bottom w:val="single" w:sz="8" w:color="auto"/>
            </w:tcBorders>
            <w:shd w:val="clear" w:color="auto" w:fill="BEBEBE"/>
          </w:tcPr>
          <w:p>
            <w:pPr>
              <w:spacing w:after="0" w:line="88" w:lineRule="exact"/>
              <w:rPr>
                <w:sz w:val="20"/>
                <w:szCs w:val="20"/>
                <w:color w:val="auto"/>
              </w:rPr>
            </w:pPr>
            <w:r>
              <w:rPr>
                <w:rFonts w:ascii="Arial" w:cs="Arial" w:eastAsia="Arial" w:hAnsi="Arial"/>
                <w:sz w:val="8"/>
                <w:szCs w:val="8"/>
                <w:b w:val="1"/>
                <w:bCs w:val="1"/>
                <w:color w:val="auto"/>
                <w:w w:val="85"/>
              </w:rPr>
              <w:t>of Ownership</w:t>
            </w:r>
          </w:p>
        </w:tc>
        <w:tc>
          <w:tcPr>
            <w:tcW w:w="100" w:type="dxa"/>
            <w:vAlign w:val="bottom"/>
            <w:tcBorders>
              <w:top w:val="single" w:sz="8" w:color="BEBEBE"/>
              <w:bottom w:val="single" w:sz="8" w:color="auto"/>
            </w:tcBorders>
            <w:shd w:val="clear" w:color="auto" w:fill="BEBEBE"/>
          </w:tcPr>
          <w:p>
            <w:pPr>
              <w:spacing w:after="0"/>
              <w:rPr>
                <w:sz w:val="7"/>
                <w:szCs w:val="7"/>
                <w:color w:val="auto"/>
              </w:rPr>
            </w:pPr>
          </w:p>
        </w:tc>
        <w:tc>
          <w:tcPr>
            <w:tcW w:w="840" w:type="dxa"/>
            <w:vAlign w:val="bottom"/>
            <w:tcBorders>
              <w:top w:val="single" w:sz="8" w:color="BEBEBE"/>
              <w:bottom w:val="single" w:sz="8" w:color="BEBEBE"/>
            </w:tcBorders>
            <w:shd w:val="clear" w:color="auto" w:fill="BEBEBE"/>
          </w:tcPr>
          <w:p>
            <w:pPr>
              <w:spacing w:after="0"/>
              <w:rPr>
                <w:sz w:val="7"/>
                <w:szCs w:val="7"/>
                <w:color w:val="auto"/>
              </w:rPr>
            </w:pPr>
          </w:p>
        </w:tc>
        <w:tc>
          <w:tcPr>
            <w:tcW w:w="600" w:type="dxa"/>
            <w:vAlign w:val="bottom"/>
            <w:tcBorders>
              <w:top w:val="single" w:sz="8" w:color="auto"/>
              <w:bottom w:val="single" w:sz="8" w:color="BEBEBE"/>
            </w:tcBorders>
            <w:shd w:val="clear" w:color="auto" w:fill="BEBEBE"/>
          </w:tcPr>
          <w:p>
            <w:pPr>
              <w:spacing w:after="0"/>
              <w:rPr>
                <w:sz w:val="7"/>
                <w:szCs w:val="7"/>
                <w:color w:val="auto"/>
              </w:rPr>
            </w:pPr>
          </w:p>
        </w:tc>
        <w:tc>
          <w:tcPr>
            <w:tcW w:w="20" w:type="dxa"/>
            <w:vAlign w:val="bottom"/>
            <w:tcBorders>
              <w:top w:val="single" w:sz="8" w:color="BEBEBE"/>
              <w:bottom w:val="single" w:sz="8" w:color="BEBEBE"/>
            </w:tcBorders>
            <w:shd w:val="clear" w:color="auto" w:fill="BEBEBE"/>
          </w:tcPr>
          <w:p>
            <w:pPr>
              <w:spacing w:after="0"/>
              <w:rPr>
                <w:sz w:val="7"/>
                <w:szCs w:val="7"/>
                <w:color w:val="auto"/>
              </w:rPr>
            </w:pPr>
          </w:p>
        </w:tc>
        <w:tc>
          <w:tcPr>
            <w:tcW w:w="340" w:type="dxa"/>
            <w:vAlign w:val="bottom"/>
            <w:tcBorders>
              <w:top w:val="single" w:sz="8" w:color="auto"/>
              <w:bottom w:val="single" w:sz="8" w:color="BEBEBE"/>
            </w:tcBorders>
            <w:shd w:val="clear" w:color="auto" w:fill="BEBEBE"/>
          </w:tcPr>
          <w:p>
            <w:pPr>
              <w:spacing w:after="0"/>
              <w:rPr>
                <w:sz w:val="7"/>
                <w:szCs w:val="7"/>
                <w:color w:val="auto"/>
              </w:rPr>
            </w:pPr>
          </w:p>
        </w:tc>
        <w:tc>
          <w:tcPr>
            <w:tcW w:w="580" w:type="dxa"/>
            <w:vAlign w:val="bottom"/>
            <w:tcBorders>
              <w:top w:val="single" w:sz="8" w:color="BEBEBE"/>
              <w:bottom w:val="single" w:sz="8" w:color="BEBEBE"/>
            </w:tcBorders>
            <w:shd w:val="clear" w:color="auto" w:fill="BEBEB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420" w:type="dxa"/>
            <w:vAlign w:val="bottom"/>
            <w:shd w:val="clear" w:color="auto" w:fill="BEBEBE"/>
          </w:tcPr>
          <w:p>
            <w:pPr>
              <w:spacing w:after="0"/>
              <w:rPr>
                <w:sz w:val="11"/>
                <w:szCs w:val="11"/>
                <w:color w:val="auto"/>
              </w:rPr>
            </w:pPr>
          </w:p>
        </w:tc>
        <w:tc>
          <w:tcPr>
            <w:tcW w:w="1480" w:type="dxa"/>
            <w:vAlign w:val="bottom"/>
            <w:shd w:val="clear" w:color="auto" w:fill="BEBEBE"/>
          </w:tcPr>
          <w:p>
            <w:pPr>
              <w:spacing w:after="0"/>
              <w:rPr>
                <w:sz w:val="11"/>
                <w:szCs w:val="11"/>
                <w:color w:val="auto"/>
              </w:rPr>
            </w:pPr>
          </w:p>
        </w:tc>
        <w:tc>
          <w:tcPr>
            <w:tcW w:w="600" w:type="dxa"/>
            <w:vAlign w:val="bottom"/>
            <w:shd w:val="clear" w:color="auto" w:fill="BEBEBE"/>
          </w:tcPr>
          <w:p>
            <w:pPr>
              <w:spacing w:after="0"/>
              <w:rPr>
                <w:sz w:val="11"/>
                <w:szCs w:val="11"/>
                <w:color w:val="auto"/>
              </w:rPr>
            </w:pPr>
          </w:p>
        </w:tc>
        <w:tc>
          <w:tcPr>
            <w:tcW w:w="220" w:type="dxa"/>
            <w:vAlign w:val="bottom"/>
            <w:shd w:val="clear" w:color="auto" w:fill="BEBEBE"/>
          </w:tcPr>
          <w:p>
            <w:pPr>
              <w:spacing w:after="0"/>
              <w:rPr>
                <w:sz w:val="11"/>
                <w:szCs w:val="11"/>
                <w:color w:val="auto"/>
              </w:rPr>
            </w:pPr>
          </w:p>
        </w:tc>
        <w:tc>
          <w:tcPr>
            <w:tcW w:w="400" w:type="dxa"/>
            <w:vAlign w:val="bottom"/>
            <w:shd w:val="clear" w:color="auto" w:fill="BEBEBE"/>
          </w:tcPr>
          <w:p>
            <w:pPr>
              <w:spacing w:after="0"/>
              <w:rPr>
                <w:sz w:val="11"/>
                <w:szCs w:val="11"/>
                <w:color w:val="auto"/>
              </w:rPr>
            </w:pPr>
          </w:p>
        </w:tc>
        <w:tc>
          <w:tcPr>
            <w:tcW w:w="760" w:type="dxa"/>
            <w:vAlign w:val="bottom"/>
            <w:shd w:val="clear" w:color="auto" w:fill="BEBEBE"/>
          </w:tcPr>
          <w:p>
            <w:pPr>
              <w:spacing w:after="0"/>
              <w:rPr>
                <w:sz w:val="11"/>
                <w:szCs w:val="11"/>
                <w:color w:val="auto"/>
              </w:rPr>
            </w:pPr>
          </w:p>
        </w:tc>
        <w:tc>
          <w:tcPr>
            <w:tcW w:w="1400" w:type="dxa"/>
            <w:vAlign w:val="bottom"/>
            <w:shd w:val="clear" w:color="auto" w:fill="BEBEBE"/>
          </w:tcPr>
          <w:p>
            <w:pPr>
              <w:spacing w:after="0"/>
              <w:rPr>
                <w:sz w:val="11"/>
                <w:szCs w:val="11"/>
                <w:color w:val="auto"/>
              </w:rPr>
            </w:pPr>
          </w:p>
        </w:tc>
        <w:tc>
          <w:tcPr>
            <w:tcW w:w="440" w:type="dxa"/>
            <w:vAlign w:val="bottom"/>
            <w:shd w:val="clear" w:color="auto" w:fill="BEBEBE"/>
          </w:tcPr>
          <w:p>
            <w:pPr>
              <w:spacing w:after="0"/>
              <w:rPr>
                <w:sz w:val="11"/>
                <w:szCs w:val="11"/>
                <w:color w:val="auto"/>
              </w:rPr>
            </w:pPr>
          </w:p>
        </w:tc>
        <w:tc>
          <w:tcPr>
            <w:tcW w:w="20" w:type="dxa"/>
            <w:vAlign w:val="bottom"/>
            <w:shd w:val="clear" w:color="auto" w:fill="BEBEBE"/>
          </w:tcPr>
          <w:p>
            <w:pPr>
              <w:spacing w:after="0"/>
              <w:rPr>
                <w:sz w:val="11"/>
                <w:szCs w:val="11"/>
                <w:color w:val="auto"/>
              </w:rPr>
            </w:pPr>
          </w:p>
        </w:tc>
        <w:tc>
          <w:tcPr>
            <w:tcW w:w="140" w:type="dxa"/>
            <w:vAlign w:val="bottom"/>
            <w:shd w:val="clear" w:color="auto" w:fill="BEBEBE"/>
          </w:tcPr>
          <w:p>
            <w:pPr>
              <w:spacing w:after="0"/>
              <w:rPr>
                <w:sz w:val="11"/>
                <w:szCs w:val="11"/>
                <w:color w:val="auto"/>
              </w:rPr>
            </w:pPr>
          </w:p>
        </w:tc>
        <w:tc>
          <w:tcPr>
            <w:tcW w:w="600" w:type="dxa"/>
            <w:vAlign w:val="bottom"/>
            <w:shd w:val="clear" w:color="auto" w:fill="BEBEBE"/>
          </w:tcPr>
          <w:p>
            <w:pPr>
              <w:spacing w:after="0"/>
              <w:rPr>
                <w:sz w:val="11"/>
                <w:szCs w:val="11"/>
                <w:color w:val="auto"/>
              </w:rPr>
            </w:pPr>
          </w:p>
        </w:tc>
        <w:tc>
          <w:tcPr>
            <w:tcW w:w="220" w:type="dxa"/>
            <w:vAlign w:val="bottom"/>
            <w:shd w:val="clear" w:color="auto" w:fill="BEBEBE"/>
          </w:tcPr>
          <w:p>
            <w:pPr>
              <w:spacing w:after="0"/>
              <w:rPr>
                <w:sz w:val="11"/>
                <w:szCs w:val="11"/>
                <w:color w:val="auto"/>
              </w:rPr>
            </w:pPr>
          </w:p>
        </w:tc>
        <w:tc>
          <w:tcPr>
            <w:tcW w:w="160" w:type="dxa"/>
            <w:vAlign w:val="bottom"/>
            <w:shd w:val="clear" w:color="auto" w:fill="BEBEBE"/>
          </w:tcPr>
          <w:p>
            <w:pPr>
              <w:spacing w:after="0"/>
              <w:rPr>
                <w:sz w:val="11"/>
                <w:szCs w:val="11"/>
                <w:color w:val="auto"/>
              </w:rPr>
            </w:pPr>
          </w:p>
        </w:tc>
        <w:tc>
          <w:tcPr>
            <w:tcW w:w="300" w:type="dxa"/>
            <w:vAlign w:val="bottom"/>
            <w:shd w:val="clear" w:color="auto" w:fill="BEBEBE"/>
          </w:tcPr>
          <w:p>
            <w:pPr>
              <w:spacing w:after="0"/>
              <w:rPr>
                <w:sz w:val="11"/>
                <w:szCs w:val="11"/>
                <w:color w:val="auto"/>
              </w:rPr>
            </w:pPr>
          </w:p>
        </w:tc>
        <w:tc>
          <w:tcPr>
            <w:tcW w:w="20" w:type="dxa"/>
            <w:vAlign w:val="bottom"/>
            <w:shd w:val="clear" w:color="auto" w:fill="BEBEBE"/>
          </w:tcPr>
          <w:p>
            <w:pPr>
              <w:spacing w:after="0"/>
              <w:rPr>
                <w:sz w:val="11"/>
                <w:szCs w:val="11"/>
                <w:color w:val="auto"/>
              </w:rPr>
            </w:pPr>
          </w:p>
        </w:tc>
        <w:tc>
          <w:tcPr>
            <w:tcW w:w="660" w:type="dxa"/>
            <w:vAlign w:val="bottom"/>
            <w:shd w:val="clear" w:color="auto" w:fill="BEBEBE"/>
          </w:tcPr>
          <w:p>
            <w:pPr>
              <w:spacing w:after="0"/>
              <w:rPr>
                <w:sz w:val="11"/>
                <w:szCs w:val="11"/>
                <w:color w:val="auto"/>
              </w:rPr>
            </w:pPr>
          </w:p>
        </w:tc>
        <w:tc>
          <w:tcPr>
            <w:tcW w:w="680" w:type="dxa"/>
            <w:vAlign w:val="bottom"/>
            <w:shd w:val="clear" w:color="auto" w:fill="BEBEBE"/>
          </w:tcPr>
          <w:p>
            <w:pPr>
              <w:spacing w:after="0"/>
              <w:rPr>
                <w:sz w:val="11"/>
                <w:szCs w:val="11"/>
                <w:color w:val="auto"/>
              </w:rPr>
            </w:pPr>
          </w:p>
        </w:tc>
        <w:tc>
          <w:tcPr>
            <w:tcW w:w="460" w:type="dxa"/>
            <w:vAlign w:val="bottom"/>
            <w:shd w:val="clear" w:color="auto" w:fill="BEBEBE"/>
          </w:tcPr>
          <w:p>
            <w:pPr>
              <w:spacing w:after="0"/>
              <w:rPr>
                <w:sz w:val="11"/>
                <w:szCs w:val="11"/>
                <w:color w:val="auto"/>
              </w:rPr>
            </w:pPr>
          </w:p>
        </w:tc>
        <w:tc>
          <w:tcPr>
            <w:tcW w:w="100" w:type="dxa"/>
            <w:vAlign w:val="bottom"/>
            <w:shd w:val="clear" w:color="auto" w:fill="BEBEBE"/>
          </w:tcPr>
          <w:p>
            <w:pPr>
              <w:spacing w:after="0"/>
              <w:rPr>
                <w:sz w:val="11"/>
                <w:szCs w:val="11"/>
                <w:color w:val="auto"/>
              </w:rPr>
            </w:pPr>
          </w:p>
        </w:tc>
        <w:tc>
          <w:tcPr>
            <w:tcW w:w="840" w:type="dxa"/>
            <w:vAlign w:val="bottom"/>
            <w:shd w:val="clear" w:color="auto" w:fill="BEBEBE"/>
          </w:tcPr>
          <w:p>
            <w:pPr>
              <w:spacing w:after="0"/>
              <w:rPr>
                <w:sz w:val="11"/>
                <w:szCs w:val="11"/>
                <w:color w:val="auto"/>
              </w:rPr>
            </w:pPr>
          </w:p>
        </w:tc>
        <w:tc>
          <w:tcPr>
            <w:tcW w:w="600" w:type="dxa"/>
            <w:vAlign w:val="bottom"/>
            <w:shd w:val="clear" w:color="auto" w:fill="BEBEBE"/>
          </w:tcPr>
          <w:p>
            <w:pPr>
              <w:spacing w:after="0"/>
              <w:rPr>
                <w:sz w:val="11"/>
                <w:szCs w:val="11"/>
                <w:color w:val="auto"/>
              </w:rPr>
            </w:pPr>
          </w:p>
        </w:tc>
        <w:tc>
          <w:tcPr>
            <w:tcW w:w="20" w:type="dxa"/>
            <w:vAlign w:val="bottom"/>
            <w:shd w:val="clear" w:color="auto" w:fill="BEBEBE"/>
          </w:tcPr>
          <w:p>
            <w:pPr>
              <w:spacing w:after="0"/>
              <w:rPr>
                <w:sz w:val="11"/>
                <w:szCs w:val="11"/>
                <w:color w:val="auto"/>
              </w:rPr>
            </w:pPr>
          </w:p>
        </w:tc>
        <w:tc>
          <w:tcPr>
            <w:tcW w:w="340" w:type="dxa"/>
            <w:vAlign w:val="bottom"/>
            <w:shd w:val="clear" w:color="auto" w:fill="BEBEBE"/>
          </w:tcPr>
          <w:p>
            <w:pPr>
              <w:spacing w:after="0"/>
              <w:rPr>
                <w:sz w:val="11"/>
                <w:szCs w:val="11"/>
                <w:color w:val="auto"/>
              </w:rPr>
            </w:pPr>
          </w:p>
        </w:tc>
        <w:tc>
          <w:tcPr>
            <w:tcW w:w="580" w:type="dxa"/>
            <w:vAlign w:val="bottom"/>
            <w:shd w:val="clear" w:color="auto" w:fill="BEBEB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 w:type="dxa"/>
            <w:vAlign w:val="bottom"/>
            <w:vMerge w:val="continue"/>
          </w:tcPr>
          <w:p>
            <w:pPr>
              <w:spacing w:after="0"/>
              <w:rPr>
                <w:sz w:val="7"/>
                <w:szCs w:val="7"/>
                <w:color w:val="auto"/>
              </w:rPr>
            </w:pPr>
          </w:p>
        </w:tc>
        <w:tc>
          <w:tcPr>
            <w:tcW w:w="1900" w:type="dxa"/>
            <w:vAlign w:val="bottom"/>
            <w:gridSpan w:val="2"/>
          </w:tcPr>
          <w:p>
            <w:pPr>
              <w:spacing w:after="0" w:line="87" w:lineRule="exact"/>
              <w:rPr>
                <w:sz w:val="20"/>
                <w:szCs w:val="20"/>
                <w:color w:val="auto"/>
              </w:rPr>
            </w:pPr>
            <w:r>
              <w:rPr>
                <w:rFonts w:ascii="Arial" w:cs="Arial" w:eastAsia="Arial" w:hAnsi="Arial"/>
                <w:sz w:val="10"/>
                <w:szCs w:val="10"/>
                <w:color w:val="auto"/>
              </w:rPr>
              <w:t>CMRG Apparel, LLC</w:t>
            </w:r>
          </w:p>
        </w:tc>
        <w:tc>
          <w:tcPr>
            <w:tcW w:w="1220" w:type="dxa"/>
            <w:vAlign w:val="bottom"/>
            <w:gridSpan w:val="3"/>
          </w:tcPr>
          <w:p>
            <w:pPr>
              <w:ind w:left="600"/>
              <w:spacing w:after="0" w:line="87" w:lineRule="exact"/>
              <w:rPr>
                <w:sz w:val="20"/>
                <w:szCs w:val="20"/>
                <w:color w:val="auto"/>
              </w:rPr>
            </w:pPr>
            <w:r>
              <w:rPr>
                <w:rFonts w:ascii="Arial" w:cs="Arial" w:eastAsia="Arial" w:hAnsi="Arial"/>
                <w:sz w:val="10"/>
                <w:szCs w:val="10"/>
                <w:color w:val="auto"/>
              </w:rPr>
              <w:t>DE</w:t>
            </w:r>
          </w:p>
        </w:tc>
        <w:tc>
          <w:tcPr>
            <w:tcW w:w="2160" w:type="dxa"/>
            <w:vAlign w:val="bottom"/>
            <w:gridSpan w:val="2"/>
          </w:tcPr>
          <w:p>
            <w:pPr>
              <w:spacing w:after="0" w:line="87" w:lineRule="exact"/>
              <w:rPr>
                <w:sz w:val="20"/>
                <w:szCs w:val="20"/>
                <w:color w:val="auto"/>
              </w:rPr>
            </w:pPr>
            <w:r>
              <w:rPr>
                <w:rFonts w:ascii="Arial" w:cs="Arial" w:eastAsia="Arial" w:hAnsi="Arial"/>
                <w:sz w:val="10"/>
                <w:szCs w:val="10"/>
                <w:color w:val="auto"/>
              </w:rPr>
              <w:t>CMXL Apparel, LP</w:t>
            </w:r>
          </w:p>
        </w:tc>
        <w:tc>
          <w:tcPr>
            <w:tcW w:w="1200" w:type="dxa"/>
            <w:vAlign w:val="bottom"/>
            <w:gridSpan w:val="4"/>
          </w:tcPr>
          <w:p>
            <w:pPr>
              <w:jc w:val="center"/>
              <w:ind w:left="112"/>
              <w:spacing w:after="0" w:line="87" w:lineRule="exact"/>
              <w:rPr>
                <w:sz w:val="20"/>
                <w:szCs w:val="20"/>
                <w:color w:val="auto"/>
              </w:rPr>
            </w:pPr>
            <w:r>
              <w:rPr>
                <w:rFonts w:ascii="Arial" w:cs="Arial" w:eastAsia="Arial" w:hAnsi="Arial"/>
                <w:sz w:val="10"/>
                <w:szCs w:val="10"/>
                <w:color w:val="auto"/>
                <w:w w:val="91"/>
              </w:rPr>
              <w:t>Uncertificated</w:t>
            </w:r>
          </w:p>
        </w:tc>
        <w:tc>
          <w:tcPr>
            <w:tcW w:w="2040" w:type="dxa"/>
            <w:vAlign w:val="bottom"/>
            <w:gridSpan w:val="6"/>
          </w:tcPr>
          <w:p>
            <w:pPr>
              <w:ind w:left="220"/>
              <w:spacing w:after="0" w:line="87" w:lineRule="exact"/>
              <w:rPr>
                <w:sz w:val="20"/>
                <w:szCs w:val="20"/>
                <w:color w:val="auto"/>
              </w:rPr>
            </w:pPr>
            <w:r>
              <w:rPr>
                <w:rFonts w:ascii="Arial" w:cs="Arial" w:eastAsia="Arial" w:hAnsi="Arial"/>
                <w:sz w:val="10"/>
                <w:szCs w:val="10"/>
                <w:color w:val="auto"/>
              </w:rPr>
              <w:t>760 Shares of Common Stock,</w:t>
            </w:r>
          </w:p>
        </w:tc>
        <w:tc>
          <w:tcPr>
            <w:tcW w:w="460" w:type="dxa"/>
            <w:vAlign w:val="bottom"/>
          </w:tcPr>
          <w:p>
            <w:pPr>
              <w:spacing w:after="0" w:line="87" w:lineRule="exact"/>
              <w:rPr>
                <w:sz w:val="20"/>
                <w:szCs w:val="20"/>
                <w:color w:val="auto"/>
              </w:rPr>
            </w:pPr>
            <w:r>
              <w:rPr>
                <w:rFonts w:ascii="Arial" w:cs="Arial" w:eastAsia="Arial" w:hAnsi="Arial"/>
                <w:sz w:val="10"/>
                <w:szCs w:val="10"/>
                <w:color w:val="auto"/>
              </w:rPr>
              <w:t>100.0%</w:t>
            </w: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0" w:type="dxa"/>
            <w:vAlign w:val="bottom"/>
          </w:tcPr>
          <w:p>
            <w:pPr>
              <w:spacing w:after="0" w:line="87" w:lineRule="exact"/>
              <w:rPr>
                <w:sz w:val="20"/>
                <w:szCs w:val="20"/>
                <w:color w:val="auto"/>
              </w:rPr>
            </w:pPr>
            <w:r>
              <w:rPr>
                <w:rFonts w:ascii="Arial" w:cs="Arial" w:eastAsia="Arial" w:hAnsi="Arial"/>
                <w:sz w:val="10"/>
                <w:szCs w:val="10"/>
                <w:color w:val="auto"/>
              </w:rPr>
              <w:t>100.0%</w:t>
            </w: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40" w:type="dxa"/>
            <w:vAlign w:val="bottom"/>
            <w:gridSpan w:val="6"/>
          </w:tcPr>
          <w:p>
            <w:pPr>
              <w:ind w:left="220"/>
              <w:spacing w:after="0"/>
              <w:rPr>
                <w:sz w:val="20"/>
                <w:szCs w:val="20"/>
                <w:color w:val="auto"/>
              </w:rPr>
            </w:pPr>
            <w:r>
              <w:rPr>
                <w:rFonts w:ascii="Arial" w:cs="Arial" w:eastAsia="Arial" w:hAnsi="Arial"/>
                <w:sz w:val="10"/>
                <w:szCs w:val="10"/>
                <w:color w:val="auto"/>
              </w:rPr>
              <w:t>$.01 Par Value</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0"/>
        </w:trPr>
        <w:tc>
          <w:tcPr>
            <w:tcW w:w="1920" w:type="dxa"/>
            <w:vAlign w:val="bottom"/>
            <w:gridSpan w:val="3"/>
          </w:tcPr>
          <w:p>
            <w:pPr>
              <w:spacing w:after="0"/>
              <w:rPr>
                <w:sz w:val="20"/>
                <w:szCs w:val="20"/>
                <w:color w:val="auto"/>
              </w:rPr>
            </w:pPr>
            <w:r>
              <w:rPr>
                <w:rFonts w:ascii="Arial" w:cs="Arial" w:eastAsia="Arial" w:hAnsi="Arial"/>
                <w:sz w:val="10"/>
                <w:szCs w:val="10"/>
                <w:color w:val="auto"/>
              </w:rPr>
              <w:t>Casual Male RBT, LLC</w:t>
            </w:r>
          </w:p>
        </w:tc>
        <w:tc>
          <w:tcPr>
            <w:tcW w:w="1220" w:type="dxa"/>
            <w:vAlign w:val="bottom"/>
            <w:gridSpan w:val="3"/>
          </w:tcPr>
          <w:p>
            <w:pPr>
              <w:ind w:left="600"/>
              <w:spacing w:after="0"/>
              <w:rPr>
                <w:sz w:val="20"/>
                <w:szCs w:val="20"/>
                <w:color w:val="auto"/>
              </w:rPr>
            </w:pPr>
            <w:r>
              <w:rPr>
                <w:rFonts w:ascii="Arial" w:cs="Arial" w:eastAsia="Arial" w:hAnsi="Arial"/>
                <w:sz w:val="10"/>
                <w:szCs w:val="10"/>
                <w:color w:val="auto"/>
              </w:rPr>
              <w:t>DE</w:t>
            </w:r>
          </w:p>
        </w:tc>
        <w:tc>
          <w:tcPr>
            <w:tcW w:w="2160" w:type="dxa"/>
            <w:vAlign w:val="bottom"/>
            <w:gridSpan w:val="2"/>
          </w:tcPr>
          <w:p>
            <w:pPr>
              <w:spacing w:after="0"/>
              <w:rPr>
                <w:sz w:val="20"/>
                <w:szCs w:val="20"/>
                <w:color w:val="auto"/>
              </w:rPr>
            </w:pPr>
            <w:r>
              <w:rPr>
                <w:rFonts w:ascii="Arial" w:cs="Arial" w:eastAsia="Arial" w:hAnsi="Arial"/>
                <w:sz w:val="10"/>
                <w:szCs w:val="10"/>
                <w:color w:val="auto"/>
              </w:rPr>
              <w:t>Destination XL Group, Inc.</w:t>
            </w:r>
          </w:p>
        </w:tc>
        <w:tc>
          <w:tcPr>
            <w:tcW w:w="1200" w:type="dxa"/>
            <w:vAlign w:val="bottom"/>
            <w:gridSpan w:val="4"/>
          </w:tcPr>
          <w:p>
            <w:pPr>
              <w:jc w:val="center"/>
              <w:ind w:left="112"/>
              <w:spacing w:after="0"/>
              <w:rPr>
                <w:sz w:val="20"/>
                <w:szCs w:val="20"/>
                <w:color w:val="auto"/>
              </w:rPr>
            </w:pPr>
            <w:r>
              <w:rPr>
                <w:rFonts w:ascii="Arial" w:cs="Arial" w:eastAsia="Arial" w:hAnsi="Arial"/>
                <w:sz w:val="10"/>
                <w:szCs w:val="10"/>
                <w:color w:val="auto"/>
                <w:w w:val="91"/>
              </w:rPr>
              <w:t>Uncertificated</w:t>
            </w:r>
          </w:p>
        </w:tc>
        <w:tc>
          <w:tcPr>
            <w:tcW w:w="380" w:type="dxa"/>
            <w:vAlign w:val="bottom"/>
            <w:gridSpan w:val="2"/>
          </w:tcPr>
          <w:p>
            <w:pPr>
              <w:ind w:left="220"/>
              <w:spacing w:after="0"/>
              <w:rPr>
                <w:sz w:val="20"/>
                <w:szCs w:val="20"/>
                <w:color w:val="auto"/>
              </w:rPr>
            </w:pPr>
            <w:r>
              <w:rPr>
                <w:rFonts w:ascii="Arial" w:cs="Arial" w:eastAsia="Arial" w:hAnsi="Arial"/>
                <w:sz w:val="10"/>
                <w:szCs w:val="10"/>
                <w:color w:val="auto"/>
                <w:w w:val="83"/>
              </w:rPr>
              <w:t>100</w:t>
            </w:r>
          </w:p>
        </w:tc>
        <w:tc>
          <w:tcPr>
            <w:tcW w:w="1660" w:type="dxa"/>
            <w:vAlign w:val="bottom"/>
            <w:gridSpan w:val="4"/>
          </w:tcPr>
          <w:p>
            <w:pPr>
              <w:ind w:left="20"/>
              <w:spacing w:after="0"/>
              <w:rPr>
                <w:sz w:val="20"/>
                <w:szCs w:val="20"/>
                <w:color w:val="auto"/>
              </w:rPr>
            </w:pPr>
            <w:r>
              <w:rPr>
                <w:rFonts w:ascii="Arial" w:cs="Arial" w:eastAsia="Arial" w:hAnsi="Arial"/>
                <w:sz w:val="10"/>
                <w:szCs w:val="10"/>
                <w:color w:val="auto"/>
              </w:rPr>
              <w:t>Units of Membership Interest</w:t>
            </w:r>
          </w:p>
        </w:tc>
        <w:tc>
          <w:tcPr>
            <w:tcW w:w="460" w:type="dxa"/>
            <w:vAlign w:val="bottom"/>
          </w:tcPr>
          <w:p>
            <w:pPr>
              <w:spacing w:after="0"/>
              <w:rPr>
                <w:sz w:val="20"/>
                <w:szCs w:val="20"/>
                <w:color w:val="auto"/>
              </w:rPr>
            </w:pPr>
            <w:r>
              <w:rPr>
                <w:rFonts w:ascii="Arial" w:cs="Arial" w:eastAsia="Arial" w:hAnsi="Arial"/>
                <w:sz w:val="10"/>
                <w:szCs w:val="10"/>
                <w:color w:val="auto"/>
              </w:rPr>
              <w:t>100.0%</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0"/>
                <w:szCs w:val="10"/>
                <w:color w:val="auto"/>
              </w:rPr>
              <w:t>100.0%</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920" w:type="dxa"/>
            <w:vAlign w:val="bottom"/>
            <w:gridSpan w:val="3"/>
          </w:tcPr>
          <w:p>
            <w:pPr>
              <w:spacing w:after="0"/>
              <w:rPr>
                <w:sz w:val="20"/>
                <w:szCs w:val="20"/>
                <w:color w:val="auto"/>
              </w:rPr>
            </w:pPr>
            <w:r>
              <w:rPr>
                <w:rFonts w:ascii="Arial" w:cs="Arial" w:eastAsia="Arial" w:hAnsi="Arial"/>
                <w:sz w:val="10"/>
                <w:szCs w:val="10"/>
                <w:color w:val="auto"/>
              </w:rPr>
              <w:t>Capture, LLC</w:t>
            </w:r>
          </w:p>
        </w:tc>
        <w:tc>
          <w:tcPr>
            <w:tcW w:w="1220" w:type="dxa"/>
            <w:vAlign w:val="bottom"/>
            <w:gridSpan w:val="3"/>
          </w:tcPr>
          <w:p>
            <w:pPr>
              <w:ind w:left="600"/>
              <w:spacing w:after="0"/>
              <w:rPr>
                <w:sz w:val="20"/>
                <w:szCs w:val="20"/>
                <w:color w:val="auto"/>
              </w:rPr>
            </w:pPr>
            <w:r>
              <w:rPr>
                <w:rFonts w:ascii="Arial" w:cs="Arial" w:eastAsia="Arial" w:hAnsi="Arial"/>
                <w:sz w:val="10"/>
                <w:szCs w:val="10"/>
                <w:color w:val="auto"/>
              </w:rPr>
              <w:t>VA</w:t>
            </w:r>
          </w:p>
        </w:tc>
        <w:tc>
          <w:tcPr>
            <w:tcW w:w="2160" w:type="dxa"/>
            <w:vAlign w:val="bottom"/>
            <w:gridSpan w:val="2"/>
          </w:tcPr>
          <w:p>
            <w:pPr>
              <w:spacing w:after="0"/>
              <w:rPr>
                <w:sz w:val="20"/>
                <w:szCs w:val="20"/>
                <w:color w:val="auto"/>
              </w:rPr>
            </w:pPr>
            <w:r>
              <w:rPr>
                <w:rFonts w:ascii="Arial" w:cs="Arial" w:eastAsia="Arial" w:hAnsi="Arial"/>
                <w:sz w:val="10"/>
                <w:szCs w:val="10"/>
                <w:color w:val="auto"/>
              </w:rPr>
              <w:t>Casual Male Store, LLC</w:t>
            </w:r>
          </w:p>
        </w:tc>
        <w:tc>
          <w:tcPr>
            <w:tcW w:w="1200" w:type="dxa"/>
            <w:vAlign w:val="bottom"/>
            <w:gridSpan w:val="4"/>
          </w:tcPr>
          <w:p>
            <w:pPr>
              <w:jc w:val="center"/>
              <w:ind w:left="112"/>
              <w:spacing w:after="0"/>
              <w:rPr>
                <w:sz w:val="20"/>
                <w:szCs w:val="20"/>
                <w:color w:val="auto"/>
              </w:rPr>
            </w:pPr>
            <w:r>
              <w:rPr>
                <w:rFonts w:ascii="Arial" w:cs="Arial" w:eastAsia="Arial" w:hAnsi="Arial"/>
                <w:sz w:val="10"/>
                <w:szCs w:val="10"/>
                <w:color w:val="auto"/>
                <w:w w:val="91"/>
              </w:rPr>
              <w:t>Uncertificated</w:t>
            </w:r>
          </w:p>
        </w:tc>
        <w:tc>
          <w:tcPr>
            <w:tcW w:w="380" w:type="dxa"/>
            <w:vAlign w:val="bottom"/>
            <w:gridSpan w:val="2"/>
          </w:tcPr>
          <w:p>
            <w:pPr>
              <w:ind w:left="220"/>
              <w:spacing w:after="0"/>
              <w:rPr>
                <w:sz w:val="20"/>
                <w:szCs w:val="20"/>
                <w:color w:val="auto"/>
              </w:rPr>
            </w:pPr>
            <w:r>
              <w:rPr>
                <w:rFonts w:ascii="Arial" w:cs="Arial" w:eastAsia="Arial" w:hAnsi="Arial"/>
                <w:sz w:val="10"/>
                <w:szCs w:val="10"/>
                <w:color w:val="auto"/>
                <w:w w:val="83"/>
              </w:rPr>
              <w:t>100</w:t>
            </w:r>
          </w:p>
        </w:tc>
        <w:tc>
          <w:tcPr>
            <w:tcW w:w="1660" w:type="dxa"/>
            <w:vAlign w:val="bottom"/>
            <w:gridSpan w:val="4"/>
          </w:tcPr>
          <w:p>
            <w:pPr>
              <w:ind w:left="20"/>
              <w:spacing w:after="0"/>
              <w:rPr>
                <w:sz w:val="20"/>
                <w:szCs w:val="20"/>
                <w:color w:val="auto"/>
              </w:rPr>
            </w:pPr>
            <w:r>
              <w:rPr>
                <w:rFonts w:ascii="Arial" w:cs="Arial" w:eastAsia="Arial" w:hAnsi="Arial"/>
                <w:sz w:val="10"/>
                <w:szCs w:val="10"/>
                <w:color w:val="auto"/>
              </w:rPr>
              <w:t>Units of Membership Interest</w:t>
            </w:r>
          </w:p>
        </w:tc>
        <w:tc>
          <w:tcPr>
            <w:tcW w:w="460" w:type="dxa"/>
            <w:vAlign w:val="bottom"/>
          </w:tcPr>
          <w:p>
            <w:pPr>
              <w:spacing w:after="0"/>
              <w:rPr>
                <w:sz w:val="20"/>
                <w:szCs w:val="20"/>
                <w:color w:val="auto"/>
              </w:rPr>
            </w:pPr>
            <w:r>
              <w:rPr>
                <w:rFonts w:ascii="Arial" w:cs="Arial" w:eastAsia="Arial" w:hAnsi="Arial"/>
                <w:sz w:val="10"/>
                <w:szCs w:val="10"/>
                <w:color w:val="auto"/>
              </w:rPr>
              <w:t>100.0%</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0"/>
                <w:szCs w:val="10"/>
                <w:color w:val="auto"/>
              </w:rPr>
              <w:t>100.0%</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920" w:type="dxa"/>
            <w:vAlign w:val="bottom"/>
            <w:gridSpan w:val="3"/>
          </w:tcPr>
          <w:p>
            <w:pPr>
              <w:spacing w:after="0"/>
              <w:rPr>
                <w:sz w:val="20"/>
                <w:szCs w:val="20"/>
                <w:color w:val="auto"/>
              </w:rPr>
            </w:pPr>
            <w:r>
              <w:rPr>
                <w:rFonts w:ascii="Arial" w:cs="Arial" w:eastAsia="Arial" w:hAnsi="Arial"/>
                <w:sz w:val="10"/>
                <w:szCs w:val="10"/>
                <w:color w:val="auto"/>
              </w:rPr>
              <w:t>Casual Male Store, LLC</w:t>
            </w:r>
          </w:p>
        </w:tc>
        <w:tc>
          <w:tcPr>
            <w:tcW w:w="1220" w:type="dxa"/>
            <w:vAlign w:val="bottom"/>
            <w:gridSpan w:val="3"/>
          </w:tcPr>
          <w:p>
            <w:pPr>
              <w:ind w:left="600"/>
              <w:spacing w:after="0"/>
              <w:rPr>
                <w:sz w:val="20"/>
                <w:szCs w:val="20"/>
                <w:color w:val="auto"/>
              </w:rPr>
            </w:pPr>
            <w:r>
              <w:rPr>
                <w:rFonts w:ascii="Arial" w:cs="Arial" w:eastAsia="Arial" w:hAnsi="Arial"/>
                <w:sz w:val="10"/>
                <w:szCs w:val="10"/>
                <w:color w:val="auto"/>
              </w:rPr>
              <w:t>DE</w:t>
            </w:r>
          </w:p>
        </w:tc>
        <w:tc>
          <w:tcPr>
            <w:tcW w:w="2160" w:type="dxa"/>
            <w:vAlign w:val="bottom"/>
            <w:gridSpan w:val="2"/>
          </w:tcPr>
          <w:p>
            <w:pPr>
              <w:spacing w:after="0"/>
              <w:rPr>
                <w:sz w:val="20"/>
                <w:szCs w:val="20"/>
                <w:color w:val="auto"/>
              </w:rPr>
            </w:pPr>
            <w:r>
              <w:rPr>
                <w:rFonts w:ascii="Arial" w:cs="Arial" w:eastAsia="Arial" w:hAnsi="Arial"/>
                <w:sz w:val="10"/>
                <w:szCs w:val="10"/>
                <w:color w:val="auto"/>
              </w:rPr>
              <w:t>Destination XL Group, Inc.</w:t>
            </w:r>
          </w:p>
        </w:tc>
        <w:tc>
          <w:tcPr>
            <w:tcW w:w="1200" w:type="dxa"/>
            <w:vAlign w:val="bottom"/>
            <w:gridSpan w:val="4"/>
          </w:tcPr>
          <w:p>
            <w:pPr>
              <w:jc w:val="center"/>
              <w:ind w:left="112"/>
              <w:spacing w:after="0"/>
              <w:rPr>
                <w:sz w:val="20"/>
                <w:szCs w:val="20"/>
                <w:color w:val="auto"/>
              </w:rPr>
            </w:pPr>
            <w:r>
              <w:rPr>
                <w:rFonts w:ascii="Arial" w:cs="Arial" w:eastAsia="Arial" w:hAnsi="Arial"/>
                <w:sz w:val="10"/>
                <w:szCs w:val="10"/>
                <w:color w:val="auto"/>
                <w:w w:val="91"/>
              </w:rPr>
              <w:t>Uncertificated</w:t>
            </w:r>
          </w:p>
        </w:tc>
        <w:tc>
          <w:tcPr>
            <w:tcW w:w="380" w:type="dxa"/>
            <w:vAlign w:val="bottom"/>
            <w:gridSpan w:val="2"/>
          </w:tcPr>
          <w:p>
            <w:pPr>
              <w:ind w:left="220"/>
              <w:spacing w:after="0"/>
              <w:rPr>
                <w:sz w:val="20"/>
                <w:szCs w:val="20"/>
                <w:color w:val="auto"/>
              </w:rPr>
            </w:pPr>
            <w:r>
              <w:rPr>
                <w:rFonts w:ascii="Arial" w:cs="Arial" w:eastAsia="Arial" w:hAnsi="Arial"/>
                <w:sz w:val="10"/>
                <w:szCs w:val="10"/>
                <w:color w:val="auto"/>
                <w:w w:val="83"/>
              </w:rPr>
              <w:t>100</w:t>
            </w:r>
          </w:p>
        </w:tc>
        <w:tc>
          <w:tcPr>
            <w:tcW w:w="1660" w:type="dxa"/>
            <w:vAlign w:val="bottom"/>
            <w:gridSpan w:val="4"/>
          </w:tcPr>
          <w:p>
            <w:pPr>
              <w:ind w:left="20"/>
              <w:spacing w:after="0"/>
              <w:rPr>
                <w:sz w:val="20"/>
                <w:szCs w:val="20"/>
                <w:color w:val="auto"/>
              </w:rPr>
            </w:pPr>
            <w:r>
              <w:rPr>
                <w:rFonts w:ascii="Arial" w:cs="Arial" w:eastAsia="Arial" w:hAnsi="Arial"/>
                <w:sz w:val="10"/>
                <w:szCs w:val="10"/>
                <w:color w:val="auto"/>
              </w:rPr>
              <w:t>Units of Membership Interest</w:t>
            </w:r>
          </w:p>
        </w:tc>
        <w:tc>
          <w:tcPr>
            <w:tcW w:w="460" w:type="dxa"/>
            <w:vAlign w:val="bottom"/>
          </w:tcPr>
          <w:p>
            <w:pPr>
              <w:spacing w:after="0"/>
              <w:rPr>
                <w:sz w:val="20"/>
                <w:szCs w:val="20"/>
                <w:color w:val="auto"/>
              </w:rPr>
            </w:pPr>
            <w:r>
              <w:rPr>
                <w:rFonts w:ascii="Arial" w:cs="Arial" w:eastAsia="Arial" w:hAnsi="Arial"/>
                <w:sz w:val="10"/>
                <w:szCs w:val="10"/>
                <w:color w:val="auto"/>
              </w:rPr>
              <w:t>100.0%</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0"/>
                <w:szCs w:val="10"/>
                <w:color w:val="auto"/>
              </w:rPr>
              <w:t>100.0%</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920" w:type="dxa"/>
            <w:vAlign w:val="bottom"/>
            <w:gridSpan w:val="3"/>
          </w:tcPr>
          <w:p>
            <w:pPr>
              <w:spacing w:after="0"/>
              <w:rPr>
                <w:sz w:val="20"/>
                <w:szCs w:val="20"/>
                <w:color w:val="auto"/>
              </w:rPr>
            </w:pPr>
            <w:r>
              <w:rPr>
                <w:rFonts w:ascii="Arial" w:cs="Arial" w:eastAsia="Arial" w:hAnsi="Arial"/>
                <w:sz w:val="10"/>
                <w:szCs w:val="10"/>
                <w:color w:val="auto"/>
              </w:rPr>
              <w:t>Casual Male Retail Store, LLC</w:t>
            </w:r>
          </w:p>
        </w:tc>
        <w:tc>
          <w:tcPr>
            <w:tcW w:w="1220" w:type="dxa"/>
            <w:vAlign w:val="bottom"/>
            <w:gridSpan w:val="3"/>
          </w:tcPr>
          <w:p>
            <w:pPr>
              <w:ind w:left="600"/>
              <w:spacing w:after="0"/>
              <w:rPr>
                <w:sz w:val="20"/>
                <w:szCs w:val="20"/>
                <w:color w:val="auto"/>
              </w:rPr>
            </w:pPr>
            <w:r>
              <w:rPr>
                <w:rFonts w:ascii="Arial" w:cs="Arial" w:eastAsia="Arial" w:hAnsi="Arial"/>
                <w:sz w:val="10"/>
                <w:szCs w:val="10"/>
                <w:color w:val="auto"/>
              </w:rPr>
              <w:t>DE</w:t>
            </w:r>
          </w:p>
        </w:tc>
        <w:tc>
          <w:tcPr>
            <w:tcW w:w="2160" w:type="dxa"/>
            <w:vAlign w:val="bottom"/>
            <w:gridSpan w:val="2"/>
          </w:tcPr>
          <w:p>
            <w:pPr>
              <w:spacing w:after="0"/>
              <w:rPr>
                <w:sz w:val="20"/>
                <w:szCs w:val="20"/>
                <w:color w:val="auto"/>
              </w:rPr>
            </w:pPr>
            <w:r>
              <w:rPr>
                <w:rFonts w:ascii="Arial" w:cs="Arial" w:eastAsia="Arial" w:hAnsi="Arial"/>
                <w:sz w:val="10"/>
                <w:szCs w:val="10"/>
                <w:color w:val="auto"/>
              </w:rPr>
              <w:t>Destination XL Group, Inc.</w:t>
            </w:r>
          </w:p>
        </w:tc>
        <w:tc>
          <w:tcPr>
            <w:tcW w:w="1200" w:type="dxa"/>
            <w:vAlign w:val="bottom"/>
            <w:gridSpan w:val="4"/>
          </w:tcPr>
          <w:p>
            <w:pPr>
              <w:jc w:val="center"/>
              <w:ind w:left="112"/>
              <w:spacing w:after="0"/>
              <w:rPr>
                <w:sz w:val="20"/>
                <w:szCs w:val="20"/>
                <w:color w:val="auto"/>
              </w:rPr>
            </w:pPr>
            <w:r>
              <w:rPr>
                <w:rFonts w:ascii="Arial" w:cs="Arial" w:eastAsia="Arial" w:hAnsi="Arial"/>
                <w:sz w:val="10"/>
                <w:szCs w:val="10"/>
                <w:color w:val="auto"/>
                <w:w w:val="91"/>
              </w:rPr>
              <w:t>Uncertificated</w:t>
            </w:r>
          </w:p>
        </w:tc>
        <w:tc>
          <w:tcPr>
            <w:tcW w:w="380" w:type="dxa"/>
            <w:vAlign w:val="bottom"/>
            <w:gridSpan w:val="2"/>
          </w:tcPr>
          <w:p>
            <w:pPr>
              <w:ind w:left="220"/>
              <w:spacing w:after="0"/>
              <w:rPr>
                <w:sz w:val="20"/>
                <w:szCs w:val="20"/>
                <w:color w:val="auto"/>
              </w:rPr>
            </w:pPr>
            <w:r>
              <w:rPr>
                <w:rFonts w:ascii="Arial" w:cs="Arial" w:eastAsia="Arial" w:hAnsi="Arial"/>
                <w:sz w:val="10"/>
                <w:szCs w:val="10"/>
                <w:color w:val="auto"/>
                <w:w w:val="83"/>
              </w:rPr>
              <w:t>100</w:t>
            </w:r>
          </w:p>
        </w:tc>
        <w:tc>
          <w:tcPr>
            <w:tcW w:w="1660" w:type="dxa"/>
            <w:vAlign w:val="bottom"/>
            <w:gridSpan w:val="4"/>
          </w:tcPr>
          <w:p>
            <w:pPr>
              <w:ind w:left="20"/>
              <w:spacing w:after="0"/>
              <w:rPr>
                <w:sz w:val="20"/>
                <w:szCs w:val="20"/>
                <w:color w:val="auto"/>
              </w:rPr>
            </w:pPr>
            <w:r>
              <w:rPr>
                <w:rFonts w:ascii="Arial" w:cs="Arial" w:eastAsia="Arial" w:hAnsi="Arial"/>
                <w:sz w:val="10"/>
                <w:szCs w:val="10"/>
                <w:color w:val="auto"/>
              </w:rPr>
              <w:t>Units of Membership Interest</w:t>
            </w:r>
          </w:p>
        </w:tc>
        <w:tc>
          <w:tcPr>
            <w:tcW w:w="460" w:type="dxa"/>
            <w:vAlign w:val="bottom"/>
          </w:tcPr>
          <w:p>
            <w:pPr>
              <w:spacing w:after="0"/>
              <w:rPr>
                <w:sz w:val="20"/>
                <w:szCs w:val="20"/>
                <w:color w:val="auto"/>
              </w:rPr>
            </w:pPr>
            <w:r>
              <w:rPr>
                <w:rFonts w:ascii="Arial" w:cs="Arial" w:eastAsia="Arial" w:hAnsi="Arial"/>
                <w:sz w:val="10"/>
                <w:szCs w:val="10"/>
                <w:color w:val="auto"/>
              </w:rPr>
              <w:t>100.0%</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0"/>
                <w:szCs w:val="10"/>
                <w:color w:val="auto"/>
              </w:rPr>
              <w:t>100.0%</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920" w:type="dxa"/>
            <w:vAlign w:val="bottom"/>
            <w:gridSpan w:val="3"/>
          </w:tcPr>
          <w:p>
            <w:pPr>
              <w:spacing w:after="0"/>
              <w:rPr>
                <w:sz w:val="20"/>
                <w:szCs w:val="20"/>
                <w:color w:val="auto"/>
              </w:rPr>
            </w:pPr>
            <w:r>
              <w:rPr>
                <w:rFonts w:ascii="Arial" w:cs="Arial" w:eastAsia="Arial" w:hAnsi="Arial"/>
                <w:sz w:val="10"/>
                <w:szCs w:val="10"/>
                <w:color w:val="auto"/>
              </w:rPr>
              <w:t>Casual Male Direct, LLC</w:t>
            </w:r>
          </w:p>
        </w:tc>
        <w:tc>
          <w:tcPr>
            <w:tcW w:w="1220" w:type="dxa"/>
            <w:vAlign w:val="bottom"/>
            <w:gridSpan w:val="3"/>
          </w:tcPr>
          <w:p>
            <w:pPr>
              <w:ind w:left="600"/>
              <w:spacing w:after="0"/>
              <w:rPr>
                <w:sz w:val="20"/>
                <w:szCs w:val="20"/>
                <w:color w:val="auto"/>
              </w:rPr>
            </w:pPr>
            <w:r>
              <w:rPr>
                <w:rFonts w:ascii="Arial" w:cs="Arial" w:eastAsia="Arial" w:hAnsi="Arial"/>
                <w:sz w:val="10"/>
                <w:szCs w:val="10"/>
                <w:color w:val="auto"/>
              </w:rPr>
              <w:t>DE</w:t>
            </w:r>
          </w:p>
        </w:tc>
        <w:tc>
          <w:tcPr>
            <w:tcW w:w="2160" w:type="dxa"/>
            <w:vAlign w:val="bottom"/>
            <w:gridSpan w:val="2"/>
          </w:tcPr>
          <w:p>
            <w:pPr>
              <w:spacing w:after="0"/>
              <w:rPr>
                <w:sz w:val="20"/>
                <w:szCs w:val="20"/>
                <w:color w:val="auto"/>
              </w:rPr>
            </w:pPr>
            <w:r>
              <w:rPr>
                <w:rFonts w:ascii="Arial" w:cs="Arial" w:eastAsia="Arial" w:hAnsi="Arial"/>
                <w:sz w:val="10"/>
                <w:szCs w:val="10"/>
                <w:color w:val="auto"/>
              </w:rPr>
              <w:t>Destination XL Group, Inc.</w:t>
            </w:r>
          </w:p>
        </w:tc>
        <w:tc>
          <w:tcPr>
            <w:tcW w:w="1200" w:type="dxa"/>
            <w:vAlign w:val="bottom"/>
            <w:gridSpan w:val="4"/>
          </w:tcPr>
          <w:p>
            <w:pPr>
              <w:jc w:val="center"/>
              <w:ind w:left="112"/>
              <w:spacing w:after="0"/>
              <w:rPr>
                <w:sz w:val="20"/>
                <w:szCs w:val="20"/>
                <w:color w:val="auto"/>
              </w:rPr>
            </w:pPr>
            <w:r>
              <w:rPr>
                <w:rFonts w:ascii="Arial" w:cs="Arial" w:eastAsia="Arial" w:hAnsi="Arial"/>
                <w:sz w:val="10"/>
                <w:szCs w:val="10"/>
                <w:color w:val="auto"/>
                <w:w w:val="91"/>
              </w:rPr>
              <w:t>Uncertificated</w:t>
            </w:r>
          </w:p>
        </w:tc>
        <w:tc>
          <w:tcPr>
            <w:tcW w:w="380" w:type="dxa"/>
            <w:vAlign w:val="bottom"/>
            <w:gridSpan w:val="2"/>
          </w:tcPr>
          <w:p>
            <w:pPr>
              <w:ind w:left="220"/>
              <w:spacing w:after="0"/>
              <w:rPr>
                <w:sz w:val="20"/>
                <w:szCs w:val="20"/>
                <w:color w:val="auto"/>
              </w:rPr>
            </w:pPr>
            <w:r>
              <w:rPr>
                <w:rFonts w:ascii="Arial" w:cs="Arial" w:eastAsia="Arial" w:hAnsi="Arial"/>
                <w:sz w:val="10"/>
                <w:szCs w:val="10"/>
                <w:color w:val="auto"/>
                <w:w w:val="83"/>
              </w:rPr>
              <w:t>100</w:t>
            </w:r>
          </w:p>
        </w:tc>
        <w:tc>
          <w:tcPr>
            <w:tcW w:w="1660" w:type="dxa"/>
            <w:vAlign w:val="bottom"/>
            <w:gridSpan w:val="4"/>
          </w:tcPr>
          <w:p>
            <w:pPr>
              <w:ind w:left="20"/>
              <w:spacing w:after="0"/>
              <w:rPr>
                <w:sz w:val="20"/>
                <w:szCs w:val="20"/>
                <w:color w:val="auto"/>
              </w:rPr>
            </w:pPr>
            <w:r>
              <w:rPr>
                <w:rFonts w:ascii="Arial" w:cs="Arial" w:eastAsia="Arial" w:hAnsi="Arial"/>
                <w:sz w:val="10"/>
                <w:szCs w:val="10"/>
                <w:color w:val="auto"/>
              </w:rPr>
              <w:t>Units of Membership Interest</w:t>
            </w:r>
          </w:p>
        </w:tc>
        <w:tc>
          <w:tcPr>
            <w:tcW w:w="460" w:type="dxa"/>
            <w:vAlign w:val="bottom"/>
          </w:tcPr>
          <w:p>
            <w:pPr>
              <w:spacing w:after="0"/>
              <w:rPr>
                <w:sz w:val="20"/>
                <w:szCs w:val="20"/>
                <w:color w:val="auto"/>
              </w:rPr>
            </w:pPr>
            <w:r>
              <w:rPr>
                <w:rFonts w:ascii="Arial" w:cs="Arial" w:eastAsia="Arial" w:hAnsi="Arial"/>
                <w:sz w:val="10"/>
                <w:szCs w:val="10"/>
                <w:color w:val="auto"/>
              </w:rPr>
              <w:t>100.0%</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0"/>
                <w:szCs w:val="10"/>
                <w:color w:val="auto"/>
              </w:rPr>
              <w:t>100.0%</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920" w:type="dxa"/>
            <w:vAlign w:val="bottom"/>
            <w:gridSpan w:val="3"/>
          </w:tcPr>
          <w:p>
            <w:pPr>
              <w:spacing w:after="0"/>
              <w:rPr>
                <w:sz w:val="20"/>
                <w:szCs w:val="20"/>
                <w:color w:val="auto"/>
              </w:rPr>
            </w:pPr>
            <w:r>
              <w:rPr>
                <w:rFonts w:ascii="Arial" w:cs="Arial" w:eastAsia="Arial" w:hAnsi="Arial"/>
                <w:sz w:val="10"/>
                <w:szCs w:val="10"/>
                <w:color w:val="auto"/>
              </w:rPr>
              <w:t>Casual Male RBT (U.K.) LLC</w:t>
            </w:r>
          </w:p>
        </w:tc>
        <w:tc>
          <w:tcPr>
            <w:tcW w:w="1220" w:type="dxa"/>
            <w:vAlign w:val="bottom"/>
            <w:gridSpan w:val="3"/>
          </w:tcPr>
          <w:p>
            <w:pPr>
              <w:ind w:left="600"/>
              <w:spacing w:after="0"/>
              <w:rPr>
                <w:sz w:val="20"/>
                <w:szCs w:val="20"/>
                <w:color w:val="auto"/>
              </w:rPr>
            </w:pPr>
            <w:r>
              <w:rPr>
                <w:rFonts w:ascii="Arial" w:cs="Arial" w:eastAsia="Arial" w:hAnsi="Arial"/>
                <w:sz w:val="10"/>
                <w:szCs w:val="10"/>
                <w:color w:val="auto"/>
              </w:rPr>
              <w:t>DE</w:t>
            </w:r>
          </w:p>
        </w:tc>
        <w:tc>
          <w:tcPr>
            <w:tcW w:w="2160" w:type="dxa"/>
            <w:vAlign w:val="bottom"/>
            <w:gridSpan w:val="2"/>
          </w:tcPr>
          <w:p>
            <w:pPr>
              <w:spacing w:after="0"/>
              <w:rPr>
                <w:sz w:val="20"/>
                <w:szCs w:val="20"/>
                <w:color w:val="auto"/>
              </w:rPr>
            </w:pPr>
            <w:r>
              <w:rPr>
                <w:rFonts w:ascii="Arial" w:cs="Arial" w:eastAsia="Arial" w:hAnsi="Arial"/>
                <w:sz w:val="10"/>
                <w:szCs w:val="10"/>
                <w:color w:val="auto"/>
              </w:rPr>
              <w:t>Casual Male RBT, LLC</w:t>
            </w:r>
          </w:p>
        </w:tc>
        <w:tc>
          <w:tcPr>
            <w:tcW w:w="1200" w:type="dxa"/>
            <w:vAlign w:val="bottom"/>
            <w:gridSpan w:val="4"/>
          </w:tcPr>
          <w:p>
            <w:pPr>
              <w:jc w:val="center"/>
              <w:ind w:left="112"/>
              <w:spacing w:after="0"/>
              <w:rPr>
                <w:sz w:val="20"/>
                <w:szCs w:val="20"/>
                <w:color w:val="auto"/>
              </w:rPr>
            </w:pPr>
            <w:r>
              <w:rPr>
                <w:rFonts w:ascii="Arial" w:cs="Arial" w:eastAsia="Arial" w:hAnsi="Arial"/>
                <w:sz w:val="10"/>
                <w:szCs w:val="10"/>
                <w:color w:val="auto"/>
                <w:w w:val="91"/>
              </w:rPr>
              <w:t>Uncertificated</w:t>
            </w:r>
          </w:p>
        </w:tc>
        <w:tc>
          <w:tcPr>
            <w:tcW w:w="380" w:type="dxa"/>
            <w:vAlign w:val="bottom"/>
            <w:gridSpan w:val="2"/>
          </w:tcPr>
          <w:p>
            <w:pPr>
              <w:ind w:left="220"/>
              <w:spacing w:after="0"/>
              <w:rPr>
                <w:sz w:val="20"/>
                <w:szCs w:val="20"/>
                <w:color w:val="auto"/>
              </w:rPr>
            </w:pPr>
            <w:r>
              <w:rPr>
                <w:rFonts w:ascii="Arial" w:cs="Arial" w:eastAsia="Arial" w:hAnsi="Arial"/>
                <w:sz w:val="10"/>
                <w:szCs w:val="10"/>
                <w:color w:val="auto"/>
                <w:w w:val="83"/>
              </w:rPr>
              <w:t>100</w:t>
            </w:r>
          </w:p>
        </w:tc>
        <w:tc>
          <w:tcPr>
            <w:tcW w:w="1660" w:type="dxa"/>
            <w:vAlign w:val="bottom"/>
            <w:gridSpan w:val="4"/>
          </w:tcPr>
          <w:p>
            <w:pPr>
              <w:ind w:left="20"/>
              <w:spacing w:after="0"/>
              <w:rPr>
                <w:sz w:val="20"/>
                <w:szCs w:val="20"/>
                <w:color w:val="auto"/>
              </w:rPr>
            </w:pPr>
            <w:r>
              <w:rPr>
                <w:rFonts w:ascii="Arial" w:cs="Arial" w:eastAsia="Arial" w:hAnsi="Arial"/>
                <w:sz w:val="10"/>
                <w:szCs w:val="10"/>
                <w:color w:val="auto"/>
              </w:rPr>
              <w:t>Units of Membership Interest</w:t>
            </w:r>
          </w:p>
        </w:tc>
        <w:tc>
          <w:tcPr>
            <w:tcW w:w="460" w:type="dxa"/>
            <w:vAlign w:val="bottom"/>
          </w:tcPr>
          <w:p>
            <w:pPr>
              <w:spacing w:after="0"/>
              <w:rPr>
                <w:sz w:val="20"/>
                <w:szCs w:val="20"/>
                <w:color w:val="auto"/>
              </w:rPr>
            </w:pPr>
            <w:r>
              <w:rPr>
                <w:rFonts w:ascii="Arial" w:cs="Arial" w:eastAsia="Arial" w:hAnsi="Arial"/>
                <w:sz w:val="10"/>
                <w:szCs w:val="10"/>
                <w:color w:val="auto"/>
              </w:rPr>
              <w:t>100.0%</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0"/>
                <w:szCs w:val="10"/>
                <w:color w:val="auto"/>
              </w:rPr>
              <w:t>100.0%</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920" w:type="dxa"/>
            <w:vAlign w:val="bottom"/>
            <w:gridSpan w:val="3"/>
          </w:tcPr>
          <w:p>
            <w:pPr>
              <w:spacing w:after="0"/>
              <w:rPr>
                <w:sz w:val="20"/>
                <w:szCs w:val="20"/>
                <w:color w:val="auto"/>
              </w:rPr>
            </w:pPr>
            <w:r>
              <w:rPr>
                <w:rFonts w:ascii="Arial" w:cs="Arial" w:eastAsia="Arial" w:hAnsi="Arial"/>
                <w:sz w:val="10"/>
                <w:szCs w:val="10"/>
                <w:color w:val="auto"/>
              </w:rPr>
              <w:t>Think Big Products LLC</w:t>
            </w:r>
          </w:p>
        </w:tc>
        <w:tc>
          <w:tcPr>
            <w:tcW w:w="1220" w:type="dxa"/>
            <w:vAlign w:val="bottom"/>
            <w:gridSpan w:val="3"/>
          </w:tcPr>
          <w:p>
            <w:pPr>
              <w:ind w:left="600"/>
              <w:spacing w:after="0"/>
              <w:rPr>
                <w:sz w:val="20"/>
                <w:szCs w:val="20"/>
                <w:color w:val="auto"/>
              </w:rPr>
            </w:pPr>
            <w:r>
              <w:rPr>
                <w:rFonts w:ascii="Arial" w:cs="Arial" w:eastAsia="Arial" w:hAnsi="Arial"/>
                <w:sz w:val="10"/>
                <w:szCs w:val="10"/>
                <w:color w:val="auto"/>
              </w:rPr>
              <w:t>DE</w:t>
            </w:r>
          </w:p>
        </w:tc>
        <w:tc>
          <w:tcPr>
            <w:tcW w:w="2160" w:type="dxa"/>
            <w:vAlign w:val="bottom"/>
            <w:gridSpan w:val="2"/>
          </w:tcPr>
          <w:p>
            <w:pPr>
              <w:spacing w:after="0"/>
              <w:rPr>
                <w:sz w:val="20"/>
                <w:szCs w:val="20"/>
                <w:color w:val="auto"/>
              </w:rPr>
            </w:pPr>
            <w:r>
              <w:rPr>
                <w:rFonts w:ascii="Arial" w:cs="Arial" w:eastAsia="Arial" w:hAnsi="Arial"/>
                <w:sz w:val="10"/>
                <w:szCs w:val="10"/>
                <w:color w:val="auto"/>
              </w:rPr>
              <w:t>Destination XL Group, Inc.</w:t>
            </w:r>
          </w:p>
        </w:tc>
        <w:tc>
          <w:tcPr>
            <w:tcW w:w="1200" w:type="dxa"/>
            <w:vAlign w:val="bottom"/>
            <w:gridSpan w:val="4"/>
          </w:tcPr>
          <w:p>
            <w:pPr>
              <w:jc w:val="center"/>
              <w:ind w:left="112"/>
              <w:spacing w:after="0"/>
              <w:rPr>
                <w:sz w:val="20"/>
                <w:szCs w:val="20"/>
                <w:color w:val="auto"/>
              </w:rPr>
            </w:pPr>
            <w:r>
              <w:rPr>
                <w:rFonts w:ascii="Arial" w:cs="Arial" w:eastAsia="Arial" w:hAnsi="Arial"/>
                <w:sz w:val="10"/>
                <w:szCs w:val="10"/>
                <w:color w:val="auto"/>
                <w:w w:val="91"/>
              </w:rPr>
              <w:t>Uncertificated</w:t>
            </w:r>
          </w:p>
        </w:tc>
        <w:tc>
          <w:tcPr>
            <w:tcW w:w="380" w:type="dxa"/>
            <w:vAlign w:val="bottom"/>
            <w:gridSpan w:val="2"/>
          </w:tcPr>
          <w:p>
            <w:pPr>
              <w:ind w:left="220"/>
              <w:spacing w:after="0"/>
              <w:rPr>
                <w:sz w:val="20"/>
                <w:szCs w:val="20"/>
                <w:color w:val="auto"/>
              </w:rPr>
            </w:pPr>
            <w:r>
              <w:rPr>
                <w:rFonts w:ascii="Arial" w:cs="Arial" w:eastAsia="Arial" w:hAnsi="Arial"/>
                <w:sz w:val="10"/>
                <w:szCs w:val="10"/>
                <w:color w:val="auto"/>
                <w:w w:val="83"/>
              </w:rPr>
              <w:t>100</w:t>
            </w:r>
          </w:p>
        </w:tc>
        <w:tc>
          <w:tcPr>
            <w:tcW w:w="1660" w:type="dxa"/>
            <w:vAlign w:val="bottom"/>
            <w:gridSpan w:val="4"/>
          </w:tcPr>
          <w:p>
            <w:pPr>
              <w:ind w:left="20"/>
              <w:spacing w:after="0"/>
              <w:rPr>
                <w:sz w:val="20"/>
                <w:szCs w:val="20"/>
                <w:color w:val="auto"/>
              </w:rPr>
            </w:pPr>
            <w:r>
              <w:rPr>
                <w:rFonts w:ascii="Arial" w:cs="Arial" w:eastAsia="Arial" w:hAnsi="Arial"/>
                <w:sz w:val="10"/>
                <w:szCs w:val="10"/>
                <w:color w:val="auto"/>
              </w:rPr>
              <w:t>Units of Membership Interest</w:t>
            </w:r>
          </w:p>
        </w:tc>
        <w:tc>
          <w:tcPr>
            <w:tcW w:w="460" w:type="dxa"/>
            <w:vAlign w:val="bottom"/>
          </w:tcPr>
          <w:p>
            <w:pPr>
              <w:spacing w:after="0"/>
              <w:rPr>
                <w:sz w:val="20"/>
                <w:szCs w:val="20"/>
                <w:color w:val="auto"/>
              </w:rPr>
            </w:pPr>
            <w:r>
              <w:rPr>
                <w:rFonts w:ascii="Arial" w:cs="Arial" w:eastAsia="Arial" w:hAnsi="Arial"/>
                <w:sz w:val="10"/>
                <w:szCs w:val="10"/>
                <w:color w:val="auto"/>
              </w:rPr>
              <w:t>100.0%</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0"/>
                <w:szCs w:val="10"/>
                <w:color w:val="auto"/>
              </w:rPr>
              <w:t>100.0%</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920" w:type="dxa"/>
            <w:vAlign w:val="bottom"/>
            <w:gridSpan w:val="3"/>
          </w:tcPr>
          <w:p>
            <w:pPr>
              <w:spacing w:after="0"/>
              <w:rPr>
                <w:sz w:val="20"/>
                <w:szCs w:val="20"/>
                <w:color w:val="auto"/>
              </w:rPr>
            </w:pPr>
            <w:r>
              <w:rPr>
                <w:rFonts w:ascii="Arial" w:cs="Arial" w:eastAsia="Arial" w:hAnsi="Arial"/>
                <w:sz w:val="10"/>
                <w:szCs w:val="10"/>
                <w:color w:val="auto"/>
              </w:rPr>
              <w:t>CMRG Holdco, LLC</w:t>
            </w:r>
          </w:p>
        </w:tc>
        <w:tc>
          <w:tcPr>
            <w:tcW w:w="1220" w:type="dxa"/>
            <w:vAlign w:val="bottom"/>
            <w:gridSpan w:val="3"/>
          </w:tcPr>
          <w:p>
            <w:pPr>
              <w:ind w:left="600"/>
              <w:spacing w:after="0"/>
              <w:rPr>
                <w:sz w:val="20"/>
                <w:szCs w:val="20"/>
                <w:color w:val="auto"/>
              </w:rPr>
            </w:pPr>
            <w:r>
              <w:rPr>
                <w:rFonts w:ascii="Arial" w:cs="Arial" w:eastAsia="Arial" w:hAnsi="Arial"/>
                <w:sz w:val="10"/>
                <w:szCs w:val="10"/>
                <w:color w:val="auto"/>
              </w:rPr>
              <w:t>DE</w:t>
            </w:r>
          </w:p>
        </w:tc>
        <w:tc>
          <w:tcPr>
            <w:tcW w:w="2160" w:type="dxa"/>
            <w:vAlign w:val="bottom"/>
            <w:gridSpan w:val="2"/>
          </w:tcPr>
          <w:p>
            <w:pPr>
              <w:spacing w:after="0"/>
              <w:rPr>
                <w:sz w:val="20"/>
                <w:szCs w:val="20"/>
                <w:color w:val="auto"/>
              </w:rPr>
            </w:pPr>
            <w:r>
              <w:rPr>
                <w:rFonts w:ascii="Arial" w:cs="Arial" w:eastAsia="Arial" w:hAnsi="Arial"/>
                <w:sz w:val="10"/>
                <w:szCs w:val="10"/>
                <w:color w:val="auto"/>
              </w:rPr>
              <w:t>Destination XL Group, Inc.</w:t>
            </w:r>
          </w:p>
        </w:tc>
        <w:tc>
          <w:tcPr>
            <w:tcW w:w="1200" w:type="dxa"/>
            <w:vAlign w:val="bottom"/>
            <w:gridSpan w:val="4"/>
          </w:tcPr>
          <w:p>
            <w:pPr>
              <w:jc w:val="center"/>
              <w:ind w:left="72"/>
              <w:spacing w:after="0"/>
              <w:rPr>
                <w:sz w:val="20"/>
                <w:szCs w:val="20"/>
                <w:color w:val="auto"/>
              </w:rPr>
            </w:pPr>
            <w:r>
              <w:rPr>
                <w:rFonts w:ascii="Arial" w:cs="Arial" w:eastAsia="Arial" w:hAnsi="Arial"/>
                <w:sz w:val="10"/>
                <w:szCs w:val="10"/>
                <w:color w:val="auto"/>
                <w:w w:val="71"/>
              </w:rPr>
              <w:t>2</w:t>
            </w:r>
          </w:p>
        </w:tc>
        <w:tc>
          <w:tcPr>
            <w:tcW w:w="380" w:type="dxa"/>
            <w:vAlign w:val="bottom"/>
            <w:gridSpan w:val="2"/>
          </w:tcPr>
          <w:p>
            <w:pPr>
              <w:ind w:left="220"/>
              <w:spacing w:after="0"/>
              <w:rPr>
                <w:sz w:val="20"/>
                <w:szCs w:val="20"/>
                <w:color w:val="auto"/>
              </w:rPr>
            </w:pPr>
            <w:r>
              <w:rPr>
                <w:rFonts w:ascii="Arial" w:cs="Arial" w:eastAsia="Arial" w:hAnsi="Arial"/>
                <w:sz w:val="10"/>
                <w:szCs w:val="10"/>
                <w:color w:val="auto"/>
                <w:w w:val="83"/>
              </w:rPr>
              <w:t>100</w:t>
            </w:r>
          </w:p>
        </w:tc>
        <w:tc>
          <w:tcPr>
            <w:tcW w:w="1660" w:type="dxa"/>
            <w:vAlign w:val="bottom"/>
            <w:gridSpan w:val="4"/>
          </w:tcPr>
          <w:p>
            <w:pPr>
              <w:ind w:left="20"/>
              <w:spacing w:after="0"/>
              <w:rPr>
                <w:sz w:val="20"/>
                <w:szCs w:val="20"/>
                <w:color w:val="auto"/>
              </w:rPr>
            </w:pPr>
            <w:r>
              <w:rPr>
                <w:rFonts w:ascii="Arial" w:cs="Arial" w:eastAsia="Arial" w:hAnsi="Arial"/>
                <w:sz w:val="10"/>
                <w:szCs w:val="10"/>
                <w:color w:val="auto"/>
              </w:rPr>
              <w:t>Units of Membership Interest</w:t>
            </w:r>
          </w:p>
        </w:tc>
        <w:tc>
          <w:tcPr>
            <w:tcW w:w="460" w:type="dxa"/>
            <w:vAlign w:val="bottom"/>
          </w:tcPr>
          <w:p>
            <w:pPr>
              <w:spacing w:after="0"/>
              <w:rPr>
                <w:sz w:val="20"/>
                <w:szCs w:val="20"/>
                <w:color w:val="auto"/>
              </w:rPr>
            </w:pPr>
            <w:r>
              <w:rPr>
                <w:rFonts w:ascii="Arial" w:cs="Arial" w:eastAsia="Arial" w:hAnsi="Arial"/>
                <w:sz w:val="10"/>
                <w:szCs w:val="10"/>
                <w:color w:val="auto"/>
              </w:rPr>
              <w:t>100.0%</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0"/>
                <w:szCs w:val="10"/>
                <w:color w:val="auto"/>
              </w:rPr>
              <w:t>100.0%</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920" w:type="dxa"/>
            <w:vAlign w:val="bottom"/>
            <w:gridSpan w:val="3"/>
          </w:tcPr>
          <w:p>
            <w:pPr>
              <w:spacing w:after="0"/>
              <w:rPr>
                <w:sz w:val="20"/>
                <w:szCs w:val="20"/>
                <w:color w:val="auto"/>
              </w:rPr>
            </w:pPr>
            <w:r>
              <w:rPr>
                <w:rFonts w:ascii="Arial" w:cs="Arial" w:eastAsia="Arial" w:hAnsi="Arial"/>
                <w:sz w:val="10"/>
                <w:szCs w:val="10"/>
                <w:color w:val="auto"/>
              </w:rPr>
              <w:t>DXLG Wholesale, LLC</w:t>
            </w:r>
          </w:p>
        </w:tc>
        <w:tc>
          <w:tcPr>
            <w:tcW w:w="1220" w:type="dxa"/>
            <w:vAlign w:val="bottom"/>
            <w:gridSpan w:val="3"/>
          </w:tcPr>
          <w:p>
            <w:pPr>
              <w:ind w:left="600"/>
              <w:spacing w:after="0"/>
              <w:rPr>
                <w:sz w:val="20"/>
                <w:szCs w:val="20"/>
                <w:color w:val="auto"/>
              </w:rPr>
            </w:pPr>
            <w:r>
              <w:rPr>
                <w:rFonts w:ascii="Arial" w:cs="Arial" w:eastAsia="Arial" w:hAnsi="Arial"/>
                <w:sz w:val="10"/>
                <w:szCs w:val="10"/>
                <w:color w:val="auto"/>
              </w:rPr>
              <w:t>DE</w:t>
            </w:r>
          </w:p>
        </w:tc>
        <w:tc>
          <w:tcPr>
            <w:tcW w:w="2160" w:type="dxa"/>
            <w:vAlign w:val="bottom"/>
            <w:gridSpan w:val="2"/>
          </w:tcPr>
          <w:p>
            <w:pPr>
              <w:spacing w:after="0"/>
              <w:rPr>
                <w:sz w:val="20"/>
                <w:szCs w:val="20"/>
                <w:color w:val="auto"/>
              </w:rPr>
            </w:pPr>
            <w:r>
              <w:rPr>
                <w:rFonts w:ascii="Arial" w:cs="Arial" w:eastAsia="Arial" w:hAnsi="Arial"/>
                <w:sz w:val="10"/>
                <w:szCs w:val="10"/>
                <w:color w:val="auto"/>
              </w:rPr>
              <w:t>Destination XL Group, Inc.</w:t>
            </w:r>
          </w:p>
        </w:tc>
        <w:tc>
          <w:tcPr>
            <w:tcW w:w="1200" w:type="dxa"/>
            <w:vAlign w:val="bottom"/>
            <w:gridSpan w:val="4"/>
          </w:tcPr>
          <w:p>
            <w:pPr>
              <w:jc w:val="center"/>
              <w:ind w:left="92"/>
              <w:spacing w:after="0"/>
              <w:rPr>
                <w:sz w:val="20"/>
                <w:szCs w:val="20"/>
                <w:color w:val="auto"/>
              </w:rPr>
            </w:pPr>
            <w:r>
              <w:rPr>
                <w:rFonts w:ascii="Arial" w:cs="Arial" w:eastAsia="Arial" w:hAnsi="Arial"/>
                <w:sz w:val="10"/>
                <w:szCs w:val="10"/>
                <w:color w:val="auto"/>
                <w:w w:val="88"/>
              </w:rPr>
              <w:t>Uncertificated</w:t>
            </w:r>
          </w:p>
        </w:tc>
        <w:tc>
          <w:tcPr>
            <w:tcW w:w="2040" w:type="dxa"/>
            <w:vAlign w:val="bottom"/>
            <w:gridSpan w:val="6"/>
          </w:tcPr>
          <w:p>
            <w:pPr>
              <w:ind w:left="220"/>
              <w:spacing w:after="0"/>
              <w:rPr>
                <w:sz w:val="20"/>
                <w:szCs w:val="20"/>
                <w:color w:val="auto"/>
              </w:rPr>
            </w:pPr>
            <w:r>
              <w:rPr>
                <w:rFonts w:ascii="Arial" w:cs="Arial" w:eastAsia="Arial" w:hAnsi="Arial"/>
                <w:sz w:val="10"/>
                <w:szCs w:val="10"/>
                <w:color w:val="auto"/>
              </w:rPr>
              <w:t>Units of Membership Interest</w:t>
            </w:r>
          </w:p>
        </w:tc>
        <w:tc>
          <w:tcPr>
            <w:tcW w:w="460" w:type="dxa"/>
            <w:vAlign w:val="bottom"/>
          </w:tcPr>
          <w:p>
            <w:pPr>
              <w:spacing w:after="0"/>
              <w:rPr>
                <w:sz w:val="20"/>
                <w:szCs w:val="20"/>
                <w:color w:val="auto"/>
              </w:rPr>
            </w:pPr>
            <w:r>
              <w:rPr>
                <w:rFonts w:ascii="Arial" w:cs="Arial" w:eastAsia="Arial" w:hAnsi="Arial"/>
                <w:sz w:val="10"/>
                <w:szCs w:val="10"/>
                <w:color w:val="auto"/>
              </w:rPr>
              <w:t>100.0%</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0"/>
                <w:szCs w:val="10"/>
                <w:color w:val="auto"/>
              </w:rPr>
              <w:t>100.0%</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1920" w:type="dxa"/>
            <w:vAlign w:val="bottom"/>
            <w:gridSpan w:val="3"/>
          </w:tcPr>
          <w:p>
            <w:pPr>
              <w:spacing w:after="0"/>
              <w:rPr>
                <w:sz w:val="20"/>
                <w:szCs w:val="20"/>
                <w:color w:val="auto"/>
              </w:rPr>
            </w:pPr>
            <w:r>
              <w:rPr>
                <w:rFonts w:ascii="Arial" w:cs="Arial" w:eastAsia="Arial" w:hAnsi="Arial"/>
                <w:sz w:val="10"/>
                <w:szCs w:val="10"/>
                <w:color w:val="auto"/>
              </w:rPr>
              <w:t>CMXL Apparel, LP</w:t>
            </w:r>
          </w:p>
        </w:tc>
        <w:tc>
          <w:tcPr>
            <w:tcW w:w="1220" w:type="dxa"/>
            <w:vAlign w:val="bottom"/>
            <w:gridSpan w:val="3"/>
          </w:tcPr>
          <w:p>
            <w:pPr>
              <w:ind w:left="600"/>
              <w:spacing w:after="0"/>
              <w:rPr>
                <w:sz w:val="20"/>
                <w:szCs w:val="20"/>
                <w:color w:val="auto"/>
              </w:rPr>
            </w:pPr>
            <w:r>
              <w:rPr>
                <w:rFonts w:ascii="Arial" w:cs="Arial" w:eastAsia="Arial" w:hAnsi="Arial"/>
                <w:sz w:val="10"/>
                <w:szCs w:val="10"/>
                <w:color w:val="auto"/>
              </w:rPr>
              <w:t>DE</w:t>
            </w:r>
          </w:p>
        </w:tc>
        <w:tc>
          <w:tcPr>
            <w:tcW w:w="2160" w:type="dxa"/>
            <w:vAlign w:val="bottom"/>
            <w:gridSpan w:val="2"/>
          </w:tcPr>
          <w:p>
            <w:pPr>
              <w:spacing w:after="0"/>
              <w:rPr>
                <w:sz w:val="20"/>
                <w:szCs w:val="20"/>
                <w:color w:val="auto"/>
              </w:rPr>
            </w:pPr>
            <w:r>
              <w:rPr>
                <w:rFonts w:ascii="Arial" w:cs="Arial" w:eastAsia="Arial" w:hAnsi="Arial"/>
                <w:sz w:val="10"/>
                <w:szCs w:val="10"/>
                <w:color w:val="auto"/>
              </w:rPr>
              <w:t>CMRG Holdco, LLC</w:t>
            </w:r>
          </w:p>
        </w:tc>
        <w:tc>
          <w:tcPr>
            <w:tcW w:w="1200" w:type="dxa"/>
            <w:vAlign w:val="bottom"/>
            <w:gridSpan w:val="4"/>
          </w:tcPr>
          <w:p>
            <w:pPr>
              <w:jc w:val="center"/>
              <w:ind w:left="92"/>
              <w:spacing w:after="0"/>
              <w:rPr>
                <w:sz w:val="20"/>
                <w:szCs w:val="20"/>
                <w:color w:val="auto"/>
              </w:rPr>
            </w:pPr>
            <w:r>
              <w:rPr>
                <w:rFonts w:ascii="Arial" w:cs="Arial" w:eastAsia="Arial" w:hAnsi="Arial"/>
                <w:sz w:val="10"/>
                <w:szCs w:val="10"/>
                <w:color w:val="auto"/>
                <w:w w:val="88"/>
              </w:rPr>
              <w:t>Uncertificated</w:t>
            </w:r>
          </w:p>
        </w:tc>
        <w:tc>
          <w:tcPr>
            <w:tcW w:w="2040" w:type="dxa"/>
            <w:vAlign w:val="bottom"/>
            <w:gridSpan w:val="6"/>
          </w:tcPr>
          <w:p>
            <w:pPr>
              <w:ind w:left="220"/>
              <w:spacing w:after="0"/>
              <w:rPr>
                <w:sz w:val="20"/>
                <w:szCs w:val="20"/>
                <w:color w:val="auto"/>
              </w:rPr>
            </w:pPr>
            <w:r>
              <w:rPr>
                <w:rFonts w:ascii="Arial" w:cs="Arial" w:eastAsia="Arial" w:hAnsi="Arial"/>
                <w:sz w:val="10"/>
                <w:szCs w:val="10"/>
                <w:color w:val="auto"/>
              </w:rPr>
              <w:t>99 Units of Membership Interest</w:t>
            </w:r>
          </w:p>
        </w:tc>
        <w:tc>
          <w:tcPr>
            <w:tcW w:w="460" w:type="dxa"/>
            <w:vAlign w:val="bottom"/>
          </w:tcPr>
          <w:p>
            <w:pPr>
              <w:spacing w:after="0"/>
              <w:rPr>
                <w:sz w:val="20"/>
                <w:szCs w:val="20"/>
                <w:color w:val="auto"/>
              </w:rPr>
            </w:pPr>
            <w:r>
              <w:rPr>
                <w:rFonts w:ascii="Arial" w:cs="Arial" w:eastAsia="Arial" w:hAnsi="Arial"/>
                <w:sz w:val="10"/>
                <w:szCs w:val="10"/>
                <w:color w:val="auto"/>
              </w:rPr>
              <w:t>99.0%</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0"/>
                <w:szCs w:val="10"/>
                <w:color w:val="auto"/>
              </w:rPr>
              <w:t>99.0%</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920" w:type="dxa"/>
            <w:vAlign w:val="bottom"/>
            <w:gridSpan w:val="3"/>
          </w:tcPr>
          <w:p>
            <w:pPr>
              <w:spacing w:after="0"/>
              <w:rPr>
                <w:sz w:val="20"/>
                <w:szCs w:val="20"/>
                <w:color w:val="auto"/>
              </w:rPr>
            </w:pPr>
            <w:r>
              <w:rPr>
                <w:rFonts w:ascii="Arial" w:cs="Arial" w:eastAsia="Arial" w:hAnsi="Arial"/>
                <w:sz w:val="10"/>
                <w:szCs w:val="10"/>
                <w:color w:val="auto"/>
              </w:rPr>
              <w:t>CMXL Apparel, LP</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0"/>
                <w:szCs w:val="10"/>
                <w:color w:val="auto"/>
              </w:rPr>
              <w:t>CMRG Apparel Management, Inc.</w:t>
            </w:r>
          </w:p>
        </w:tc>
        <w:tc>
          <w:tcPr>
            <w:tcW w:w="1200" w:type="dxa"/>
            <w:vAlign w:val="bottom"/>
            <w:gridSpan w:val="4"/>
          </w:tcPr>
          <w:p>
            <w:pPr>
              <w:jc w:val="center"/>
              <w:ind w:left="92"/>
              <w:spacing w:after="0"/>
              <w:rPr>
                <w:sz w:val="20"/>
                <w:szCs w:val="20"/>
                <w:color w:val="auto"/>
              </w:rPr>
            </w:pPr>
            <w:r>
              <w:rPr>
                <w:rFonts w:ascii="Arial" w:cs="Arial" w:eastAsia="Arial" w:hAnsi="Arial"/>
                <w:sz w:val="10"/>
                <w:szCs w:val="10"/>
                <w:color w:val="auto"/>
                <w:w w:val="88"/>
              </w:rPr>
              <w:t>Uncertificated</w:t>
            </w:r>
          </w:p>
        </w:tc>
        <w:tc>
          <w:tcPr>
            <w:tcW w:w="2040" w:type="dxa"/>
            <w:vAlign w:val="bottom"/>
            <w:gridSpan w:val="6"/>
          </w:tcPr>
          <w:p>
            <w:pPr>
              <w:ind w:left="220"/>
              <w:spacing w:after="0"/>
              <w:rPr>
                <w:sz w:val="20"/>
                <w:szCs w:val="20"/>
                <w:color w:val="auto"/>
              </w:rPr>
            </w:pPr>
            <w:r>
              <w:rPr>
                <w:rFonts w:ascii="Arial" w:cs="Arial" w:eastAsia="Arial" w:hAnsi="Arial"/>
                <w:sz w:val="10"/>
                <w:szCs w:val="10"/>
                <w:color w:val="auto"/>
              </w:rPr>
              <w:t>1 Unit of Membership Interest</w:t>
            </w:r>
          </w:p>
        </w:tc>
        <w:tc>
          <w:tcPr>
            <w:tcW w:w="460" w:type="dxa"/>
            <w:vAlign w:val="bottom"/>
          </w:tcPr>
          <w:p>
            <w:pPr>
              <w:spacing w:after="0"/>
              <w:rPr>
                <w:sz w:val="20"/>
                <w:szCs w:val="20"/>
                <w:color w:val="auto"/>
              </w:rPr>
            </w:pPr>
            <w:r>
              <w:rPr>
                <w:rFonts w:ascii="Arial" w:cs="Arial" w:eastAsia="Arial" w:hAnsi="Arial"/>
                <w:sz w:val="10"/>
                <w:szCs w:val="10"/>
                <w:color w:val="auto"/>
              </w:rPr>
              <w:t>1.0%</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0"/>
                <w:szCs w:val="10"/>
                <w:color w:val="auto"/>
              </w:rPr>
              <w:t>1.0%</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1920" w:type="dxa"/>
            <w:vAlign w:val="bottom"/>
            <w:gridSpan w:val="3"/>
          </w:tcPr>
          <w:p>
            <w:pPr>
              <w:spacing w:after="0"/>
              <w:rPr>
                <w:sz w:val="20"/>
                <w:szCs w:val="20"/>
                <w:color w:val="auto"/>
              </w:rPr>
            </w:pPr>
            <w:r>
              <w:rPr>
                <w:rFonts w:ascii="Arial" w:cs="Arial" w:eastAsia="Arial" w:hAnsi="Arial"/>
                <w:sz w:val="10"/>
                <w:szCs w:val="10"/>
                <w:color w:val="auto"/>
              </w:rPr>
              <w:t>Casual Male (EUROPE), LLC</w:t>
            </w:r>
          </w:p>
        </w:tc>
        <w:tc>
          <w:tcPr>
            <w:tcW w:w="1220" w:type="dxa"/>
            <w:vAlign w:val="bottom"/>
            <w:gridSpan w:val="3"/>
          </w:tcPr>
          <w:p>
            <w:pPr>
              <w:ind w:left="600"/>
              <w:spacing w:after="0"/>
              <w:rPr>
                <w:sz w:val="20"/>
                <w:szCs w:val="20"/>
                <w:color w:val="auto"/>
              </w:rPr>
            </w:pPr>
            <w:r>
              <w:rPr>
                <w:rFonts w:ascii="Arial" w:cs="Arial" w:eastAsia="Arial" w:hAnsi="Arial"/>
                <w:sz w:val="10"/>
                <w:szCs w:val="10"/>
                <w:color w:val="auto"/>
              </w:rPr>
              <w:t>DE</w:t>
            </w:r>
          </w:p>
        </w:tc>
        <w:tc>
          <w:tcPr>
            <w:tcW w:w="2160" w:type="dxa"/>
            <w:vAlign w:val="bottom"/>
            <w:gridSpan w:val="2"/>
          </w:tcPr>
          <w:p>
            <w:pPr>
              <w:spacing w:after="0"/>
              <w:rPr>
                <w:sz w:val="20"/>
                <w:szCs w:val="20"/>
                <w:color w:val="auto"/>
              </w:rPr>
            </w:pPr>
            <w:r>
              <w:rPr>
                <w:rFonts w:ascii="Arial" w:cs="Arial" w:eastAsia="Arial" w:hAnsi="Arial"/>
                <w:sz w:val="10"/>
                <w:szCs w:val="10"/>
                <w:color w:val="auto"/>
              </w:rPr>
              <w:t>Destination XL Group, Inc.</w:t>
            </w:r>
          </w:p>
        </w:tc>
        <w:tc>
          <w:tcPr>
            <w:tcW w:w="1200" w:type="dxa"/>
            <w:vAlign w:val="bottom"/>
            <w:gridSpan w:val="4"/>
          </w:tcPr>
          <w:p>
            <w:pPr>
              <w:jc w:val="center"/>
              <w:ind w:left="92"/>
              <w:spacing w:after="0"/>
              <w:rPr>
                <w:sz w:val="20"/>
                <w:szCs w:val="20"/>
                <w:color w:val="auto"/>
              </w:rPr>
            </w:pPr>
            <w:r>
              <w:rPr>
                <w:rFonts w:ascii="Arial" w:cs="Arial" w:eastAsia="Arial" w:hAnsi="Arial"/>
                <w:sz w:val="10"/>
                <w:szCs w:val="10"/>
                <w:color w:val="auto"/>
                <w:w w:val="88"/>
              </w:rPr>
              <w:t>Uncertificated</w:t>
            </w:r>
          </w:p>
        </w:tc>
        <w:tc>
          <w:tcPr>
            <w:tcW w:w="380" w:type="dxa"/>
            <w:vAlign w:val="bottom"/>
            <w:gridSpan w:val="2"/>
          </w:tcPr>
          <w:p>
            <w:pPr>
              <w:ind w:left="220"/>
              <w:spacing w:after="0"/>
              <w:rPr>
                <w:sz w:val="20"/>
                <w:szCs w:val="20"/>
                <w:color w:val="auto"/>
              </w:rPr>
            </w:pPr>
            <w:r>
              <w:rPr>
                <w:rFonts w:ascii="Arial" w:cs="Arial" w:eastAsia="Arial" w:hAnsi="Arial"/>
                <w:sz w:val="10"/>
                <w:szCs w:val="10"/>
                <w:color w:val="auto"/>
                <w:w w:val="83"/>
              </w:rPr>
              <w:t>100</w:t>
            </w:r>
          </w:p>
        </w:tc>
        <w:tc>
          <w:tcPr>
            <w:tcW w:w="1660" w:type="dxa"/>
            <w:vAlign w:val="bottom"/>
            <w:gridSpan w:val="4"/>
          </w:tcPr>
          <w:p>
            <w:pPr>
              <w:ind w:left="20"/>
              <w:spacing w:after="0"/>
              <w:rPr>
                <w:sz w:val="20"/>
                <w:szCs w:val="20"/>
                <w:color w:val="auto"/>
              </w:rPr>
            </w:pPr>
            <w:r>
              <w:rPr>
                <w:rFonts w:ascii="Arial" w:cs="Arial" w:eastAsia="Arial" w:hAnsi="Arial"/>
                <w:sz w:val="10"/>
                <w:szCs w:val="10"/>
                <w:color w:val="auto"/>
              </w:rPr>
              <w:t>Units of Membership Interest</w:t>
            </w:r>
          </w:p>
        </w:tc>
        <w:tc>
          <w:tcPr>
            <w:tcW w:w="460" w:type="dxa"/>
            <w:vAlign w:val="bottom"/>
          </w:tcPr>
          <w:p>
            <w:pPr>
              <w:spacing w:after="0"/>
              <w:rPr>
                <w:sz w:val="20"/>
                <w:szCs w:val="20"/>
                <w:color w:val="auto"/>
              </w:rPr>
            </w:pPr>
            <w:r>
              <w:rPr>
                <w:rFonts w:ascii="Arial" w:cs="Arial" w:eastAsia="Arial" w:hAnsi="Arial"/>
                <w:sz w:val="10"/>
                <w:szCs w:val="10"/>
                <w:color w:val="auto"/>
              </w:rPr>
              <w:t>1.0%</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0"/>
                <w:szCs w:val="10"/>
                <w:color w:val="auto"/>
              </w:rPr>
              <w:t>1</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1920" w:type="dxa"/>
            <w:vAlign w:val="bottom"/>
            <w:gridSpan w:val="3"/>
          </w:tcPr>
          <w:p>
            <w:pPr>
              <w:spacing w:after="0"/>
              <w:rPr>
                <w:sz w:val="20"/>
                <w:szCs w:val="20"/>
                <w:color w:val="auto"/>
              </w:rPr>
            </w:pPr>
            <w:r>
              <w:rPr>
                <w:rFonts w:ascii="Arial" w:cs="Arial" w:eastAsia="Arial" w:hAnsi="Arial"/>
                <w:sz w:val="10"/>
                <w:szCs w:val="10"/>
                <w:color w:val="auto"/>
              </w:rPr>
              <w:t>CMRG Apparel Management, Inc.</w:t>
            </w:r>
          </w:p>
        </w:tc>
        <w:tc>
          <w:tcPr>
            <w:tcW w:w="1220" w:type="dxa"/>
            <w:vAlign w:val="bottom"/>
            <w:gridSpan w:val="3"/>
          </w:tcPr>
          <w:p>
            <w:pPr>
              <w:ind w:left="600"/>
              <w:spacing w:after="0"/>
              <w:rPr>
                <w:sz w:val="20"/>
                <w:szCs w:val="20"/>
                <w:color w:val="auto"/>
              </w:rPr>
            </w:pPr>
            <w:r>
              <w:rPr>
                <w:rFonts w:ascii="Arial" w:cs="Arial" w:eastAsia="Arial" w:hAnsi="Arial"/>
                <w:sz w:val="10"/>
                <w:szCs w:val="10"/>
                <w:color w:val="auto"/>
              </w:rPr>
              <w:t>DE</w:t>
            </w:r>
          </w:p>
        </w:tc>
        <w:tc>
          <w:tcPr>
            <w:tcW w:w="2160" w:type="dxa"/>
            <w:vAlign w:val="bottom"/>
            <w:gridSpan w:val="2"/>
          </w:tcPr>
          <w:p>
            <w:pPr>
              <w:spacing w:after="0"/>
              <w:rPr>
                <w:sz w:val="20"/>
                <w:szCs w:val="20"/>
                <w:color w:val="auto"/>
              </w:rPr>
            </w:pPr>
            <w:r>
              <w:rPr>
                <w:rFonts w:ascii="Arial" w:cs="Arial" w:eastAsia="Arial" w:hAnsi="Arial"/>
                <w:sz w:val="10"/>
                <w:szCs w:val="10"/>
                <w:color w:val="auto"/>
              </w:rPr>
              <w:t>Destination XL Group, Inc.</w:t>
            </w:r>
          </w:p>
        </w:tc>
        <w:tc>
          <w:tcPr>
            <w:tcW w:w="1200" w:type="dxa"/>
            <w:vAlign w:val="bottom"/>
            <w:gridSpan w:val="4"/>
          </w:tcPr>
          <w:p>
            <w:pPr>
              <w:jc w:val="center"/>
              <w:ind w:left="72"/>
              <w:spacing w:after="0"/>
              <w:rPr>
                <w:sz w:val="20"/>
                <w:szCs w:val="20"/>
                <w:color w:val="auto"/>
              </w:rPr>
            </w:pPr>
            <w:r>
              <w:rPr>
                <w:rFonts w:ascii="Arial" w:cs="Arial" w:eastAsia="Arial" w:hAnsi="Arial"/>
                <w:sz w:val="10"/>
                <w:szCs w:val="10"/>
                <w:color w:val="auto"/>
                <w:w w:val="71"/>
              </w:rPr>
              <w:t>2</w:t>
            </w:r>
          </w:p>
        </w:tc>
        <w:tc>
          <w:tcPr>
            <w:tcW w:w="380" w:type="dxa"/>
            <w:vAlign w:val="bottom"/>
            <w:gridSpan w:val="2"/>
          </w:tcPr>
          <w:p>
            <w:pPr>
              <w:ind w:left="220"/>
              <w:spacing w:after="0"/>
              <w:rPr>
                <w:sz w:val="20"/>
                <w:szCs w:val="20"/>
                <w:color w:val="auto"/>
              </w:rPr>
            </w:pPr>
            <w:r>
              <w:rPr>
                <w:rFonts w:ascii="Arial" w:cs="Arial" w:eastAsia="Arial" w:hAnsi="Arial"/>
                <w:sz w:val="10"/>
                <w:szCs w:val="10"/>
                <w:color w:val="auto"/>
                <w:w w:val="83"/>
              </w:rPr>
              <w:t>100</w:t>
            </w:r>
          </w:p>
        </w:tc>
        <w:tc>
          <w:tcPr>
            <w:tcW w:w="1660" w:type="dxa"/>
            <w:vAlign w:val="bottom"/>
            <w:gridSpan w:val="4"/>
          </w:tcPr>
          <w:p>
            <w:pPr>
              <w:ind w:left="20"/>
              <w:spacing w:after="0"/>
              <w:rPr>
                <w:sz w:val="20"/>
                <w:szCs w:val="20"/>
                <w:color w:val="auto"/>
              </w:rPr>
            </w:pPr>
            <w:r>
              <w:rPr>
                <w:rFonts w:ascii="Arial" w:cs="Arial" w:eastAsia="Arial" w:hAnsi="Arial"/>
                <w:sz w:val="10"/>
                <w:szCs w:val="10"/>
                <w:color w:val="auto"/>
              </w:rPr>
              <w:t>Shares of Common Stock, $.01 Par</w:t>
            </w:r>
          </w:p>
        </w:tc>
        <w:tc>
          <w:tcPr>
            <w:tcW w:w="460" w:type="dxa"/>
            <w:vAlign w:val="bottom"/>
          </w:tcPr>
          <w:p>
            <w:pPr>
              <w:spacing w:after="0"/>
              <w:rPr>
                <w:sz w:val="20"/>
                <w:szCs w:val="20"/>
                <w:color w:val="auto"/>
              </w:rPr>
            </w:pPr>
            <w:r>
              <w:rPr>
                <w:rFonts w:ascii="Arial" w:cs="Arial" w:eastAsia="Arial" w:hAnsi="Arial"/>
                <w:sz w:val="10"/>
                <w:szCs w:val="10"/>
                <w:color w:val="auto"/>
              </w:rPr>
              <w:t>100.0%</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0"/>
                <w:szCs w:val="10"/>
                <w:color w:val="auto"/>
              </w:rPr>
              <w:t>100.0%</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40" w:type="dxa"/>
            <w:vAlign w:val="bottom"/>
            <w:gridSpan w:val="6"/>
          </w:tcPr>
          <w:p>
            <w:pPr>
              <w:ind w:left="220"/>
              <w:spacing w:after="0"/>
              <w:rPr>
                <w:sz w:val="20"/>
                <w:szCs w:val="20"/>
                <w:color w:val="auto"/>
              </w:rPr>
            </w:pPr>
            <w:r>
              <w:rPr>
                <w:rFonts w:ascii="Arial" w:cs="Arial" w:eastAsia="Arial" w:hAnsi="Arial"/>
                <w:sz w:val="10"/>
                <w:szCs w:val="10"/>
                <w:color w:val="auto"/>
              </w:rPr>
              <w:t>Value</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2"/>
        </w:trPr>
        <w:tc>
          <w:tcPr>
            <w:tcW w:w="20" w:type="dxa"/>
            <w:vAlign w:val="bottom"/>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273" w:right="179" w:bottom="1440" w:gutter="0" w:footer="0" w:header="0"/>
        </w:sectPr>
      </w:pPr>
    </w:p>
    <w:bookmarkStart w:id="177" w:name="page178"/>
    <w:bookmarkEnd w:id="177"/>
    <w:p>
      <w:pPr>
        <w:ind w:left="139" w:hanging="137"/>
        <w:spacing w:after="0"/>
        <w:tabs>
          <w:tab w:leader="none" w:pos="139" w:val="left"/>
        </w:tabs>
        <w:numPr>
          <w:ilvl w:val="0"/>
          <w:numId w:val="198"/>
        </w:numPr>
        <w:rPr>
          <w:rFonts w:ascii="Arial" w:cs="Arial" w:eastAsia="Arial" w:hAnsi="Arial"/>
          <w:sz w:val="13"/>
          <w:szCs w:val="13"/>
          <w:color w:val="auto"/>
        </w:rPr>
      </w:pPr>
      <w:r>
        <w:rPr>
          <w:rFonts w:ascii="Arial" w:cs="Arial" w:eastAsia="Arial" w:hAnsi="Arial"/>
          <w:sz w:val="13"/>
          <w:szCs w:val="13"/>
          <w:color w:val="auto"/>
        </w:rPr>
        <w:t>None.</w:t>
      </w:r>
    </w:p>
    <w:p>
      <w:pPr>
        <w:spacing w:after="0" w:line="156" w:lineRule="exact"/>
        <w:rPr>
          <w:rFonts w:ascii="Arial" w:cs="Arial" w:eastAsia="Arial" w:hAnsi="Arial"/>
          <w:sz w:val="13"/>
          <w:szCs w:val="13"/>
          <w:color w:val="auto"/>
        </w:rPr>
      </w:pPr>
    </w:p>
    <w:p>
      <w:pPr>
        <w:ind w:left="139" w:hanging="139"/>
        <w:spacing w:after="0"/>
        <w:tabs>
          <w:tab w:leader="none" w:pos="139" w:val="left"/>
        </w:tabs>
        <w:numPr>
          <w:ilvl w:val="0"/>
          <w:numId w:val="198"/>
        </w:numPr>
        <w:rPr>
          <w:rFonts w:ascii="Arial" w:cs="Arial" w:eastAsia="Arial" w:hAnsi="Arial"/>
          <w:sz w:val="11"/>
          <w:szCs w:val="11"/>
          <w:color w:val="auto"/>
        </w:rPr>
      </w:pPr>
      <w:r>
        <w:rPr>
          <w:rFonts w:ascii="Arial" w:cs="Arial" w:eastAsia="Arial" w:hAnsi="Arial"/>
          <w:sz w:val="11"/>
          <w:szCs w:val="11"/>
          <w:color w:val="auto"/>
        </w:rPr>
        <w:t>See response to Schedule 5.13(a)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348615</wp:posOffset>
            </wp:positionV>
            <wp:extent cx="7329170" cy="368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9999"/>
          </w:cols>
          <w:pgMar w:left="461" w:top="318" w:right="1440" w:bottom="1440" w:gutter="0" w:footer="0" w:header="0"/>
        </w:sectPr>
      </w:pPr>
    </w:p>
    <w:bookmarkStart w:id="178" w:name="page179"/>
    <w:bookmarkEnd w:id="178"/>
    <w:p>
      <w:pPr>
        <w:jc w:val="center"/>
        <w:ind w:right="-1020"/>
        <w:spacing w:after="0"/>
        <w:rPr>
          <w:sz w:val="20"/>
          <w:szCs w:val="20"/>
          <w:color w:val="auto"/>
        </w:rPr>
      </w:pPr>
      <w:r>
        <w:rPr>
          <w:rFonts w:ascii="Arial" w:cs="Arial" w:eastAsia="Arial" w:hAnsi="Arial"/>
          <w:sz w:val="13"/>
          <w:szCs w:val="13"/>
          <w:color w:val="auto"/>
        </w:rPr>
        <w:t>Schedule 5.17</w:t>
      </w:r>
    </w:p>
    <w:p>
      <w:pPr>
        <w:spacing w:after="0" w:line="14" w:lineRule="exact"/>
        <w:rPr>
          <w:sz w:val="20"/>
          <w:szCs w:val="20"/>
          <w:color w:val="auto"/>
        </w:rPr>
      </w:pPr>
    </w:p>
    <w:p>
      <w:pPr>
        <w:jc w:val="center"/>
        <w:ind w:right="-1020"/>
        <w:spacing w:after="0"/>
        <w:rPr>
          <w:sz w:val="20"/>
          <w:szCs w:val="20"/>
          <w:color w:val="auto"/>
        </w:rPr>
      </w:pPr>
      <w:r>
        <w:rPr>
          <w:rFonts w:ascii="Arial" w:cs="Arial" w:eastAsia="Arial" w:hAnsi="Arial"/>
          <w:sz w:val="12"/>
          <w:szCs w:val="12"/>
          <w:color w:val="auto"/>
        </w:rPr>
        <w:t>Intellectual Property Matters</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236220</wp:posOffset>
            </wp:positionV>
            <wp:extent cx="7329170" cy="368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019"/>
          </w:cols>
          <w:pgMar w:left="440" w:top="273" w:right="1440" w:bottom="1440" w:gutter="0" w:footer="0" w:header="0"/>
        </w:sectPr>
      </w:pPr>
    </w:p>
    <w:bookmarkStart w:id="179" w:name="page180"/>
    <w:bookmarkEnd w:id="179"/>
    <w:p>
      <w:pPr>
        <w:jc w:val="center"/>
        <w:ind w:right="-1000"/>
        <w:spacing w:after="0"/>
        <w:rPr>
          <w:sz w:val="20"/>
          <w:szCs w:val="20"/>
          <w:color w:val="auto"/>
        </w:rPr>
      </w:pPr>
      <w:r>
        <w:rPr>
          <w:rFonts w:ascii="Arial" w:cs="Arial" w:eastAsia="Arial" w:hAnsi="Arial"/>
          <w:sz w:val="13"/>
          <w:szCs w:val="13"/>
          <w:color w:val="auto"/>
        </w:rPr>
        <w:t>Schedule 5.18</w:t>
      </w:r>
    </w:p>
    <w:p>
      <w:pPr>
        <w:spacing w:after="0" w:line="14" w:lineRule="exact"/>
        <w:rPr>
          <w:sz w:val="20"/>
          <w:szCs w:val="20"/>
          <w:color w:val="auto"/>
        </w:rPr>
      </w:pPr>
    </w:p>
    <w:p>
      <w:pPr>
        <w:jc w:val="center"/>
        <w:ind w:right="-1000"/>
        <w:spacing w:after="0"/>
        <w:rPr>
          <w:sz w:val="20"/>
          <w:szCs w:val="20"/>
          <w:color w:val="auto"/>
        </w:rPr>
      </w:pPr>
      <w:r>
        <w:rPr>
          <w:rFonts w:ascii="Arial" w:cs="Arial" w:eastAsia="Arial" w:hAnsi="Arial"/>
          <w:sz w:val="12"/>
          <w:szCs w:val="12"/>
          <w:color w:val="auto"/>
        </w:rPr>
        <w:t>Collective Bargaining Agreements</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236220</wp:posOffset>
            </wp:positionV>
            <wp:extent cx="7329170" cy="368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019"/>
          </w:cols>
          <w:pgMar w:left="440" w:top="273" w:right="1440" w:bottom="1440" w:gutter="0" w:footer="0" w:header="0"/>
        </w:sectPr>
      </w:pPr>
    </w:p>
    <w:bookmarkStart w:id="180" w:name="page181"/>
    <w:bookmarkEnd w:id="180"/>
    <w:p>
      <w:pPr>
        <w:jc w:val="center"/>
        <w:spacing w:after="0"/>
        <w:rPr>
          <w:sz w:val="20"/>
          <w:szCs w:val="20"/>
          <w:color w:val="auto"/>
        </w:rPr>
      </w:pPr>
      <w:r>
        <w:rPr>
          <w:rFonts w:ascii="Arial" w:cs="Arial" w:eastAsia="Arial" w:hAnsi="Arial"/>
          <w:sz w:val="13"/>
          <w:szCs w:val="13"/>
          <w:color w:val="auto"/>
        </w:rPr>
        <w:t>Schedule 5.21(a)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DDAs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(Please 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348615</wp:posOffset>
            </wp:positionV>
            <wp:extent cx="7329170" cy="368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181" w:name="page182"/>
    <w:bookmarkEnd w:id="181"/>
    <w:p>
      <w:pPr>
        <w:ind w:left="5020"/>
        <w:spacing w:after="0"/>
        <w:rPr>
          <w:sz w:val="20"/>
          <w:szCs w:val="20"/>
          <w:color w:val="auto"/>
        </w:rPr>
      </w:pPr>
      <w:r>
        <w:rPr>
          <w:rFonts w:ascii="Arial" w:cs="Arial" w:eastAsia="Arial" w:hAnsi="Arial"/>
          <w:sz w:val="11"/>
          <w:szCs w:val="11"/>
          <w:b w:val="1"/>
          <w:bCs w:val="1"/>
          <w:color w:val="auto"/>
        </w:rPr>
        <w:t>Destination XL Group, Inc.</w:t>
      </w:r>
    </w:p>
    <w:p>
      <w:pPr>
        <w:spacing w:after="0" w:line="14" w:lineRule="exact"/>
        <w:rPr>
          <w:sz w:val="20"/>
          <w:szCs w:val="20"/>
          <w:color w:val="auto"/>
        </w:rPr>
      </w:pPr>
    </w:p>
    <w:p>
      <w:pPr>
        <w:ind w:left="5040"/>
        <w:spacing w:after="0"/>
        <w:rPr>
          <w:sz w:val="20"/>
          <w:szCs w:val="20"/>
          <w:color w:val="auto"/>
        </w:rPr>
      </w:pPr>
      <w:r>
        <w:rPr>
          <w:rFonts w:ascii="Arial" w:cs="Arial" w:eastAsia="Arial" w:hAnsi="Arial"/>
          <w:sz w:val="11"/>
          <w:szCs w:val="11"/>
          <w:b w:val="1"/>
          <w:bCs w:val="1"/>
          <w:color w:val="auto"/>
        </w:rPr>
        <w:t>Corporate Bank Directory</w:t>
      </w: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126"/>
        </w:trPr>
        <w:tc>
          <w:tcPr>
            <w:tcW w:w="1080" w:type="dxa"/>
            <w:vAlign w:val="bottom"/>
            <w:tcBorders>
              <w:top w:val="single" w:sz="8" w:color="auto"/>
              <w:left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spacing w:after="0"/>
              <w:rPr>
                <w:sz w:val="10"/>
                <w:szCs w:val="10"/>
                <w:color w:val="auto"/>
              </w:rPr>
            </w:pPr>
          </w:p>
        </w:tc>
        <w:tc>
          <w:tcPr>
            <w:tcW w:w="1040" w:type="dxa"/>
            <w:vAlign w:val="bottom"/>
            <w:tcBorders>
              <w:top w:val="single" w:sz="8" w:color="auto"/>
              <w:bottom w:val="single" w:sz="8" w:color="auto"/>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tcBorders>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136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spacing w:after="0"/>
              <w:rPr>
                <w:sz w:val="10"/>
                <w:szCs w:val="10"/>
                <w:color w:val="auto"/>
              </w:rPr>
            </w:pPr>
          </w:p>
        </w:tc>
        <w:tc>
          <w:tcPr>
            <w:tcW w:w="2120" w:type="dxa"/>
            <w:vAlign w:val="bottom"/>
            <w:tcBorders>
              <w:top w:val="single" w:sz="8" w:color="auto"/>
              <w:bottom w:val="single" w:sz="8" w:color="auto"/>
            </w:tcBorders>
          </w:tcPr>
          <w:p>
            <w:pPr>
              <w:spacing w:after="0"/>
              <w:rPr>
                <w:sz w:val="10"/>
                <w:szCs w:val="10"/>
                <w:color w:val="auto"/>
              </w:rPr>
            </w:pPr>
          </w:p>
        </w:tc>
        <w:tc>
          <w:tcPr>
            <w:tcW w:w="1720" w:type="dxa"/>
            <w:vAlign w:val="bottom"/>
            <w:tcBorders>
              <w:top w:val="single" w:sz="8" w:color="auto"/>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500" w:type="dxa"/>
            <w:vAlign w:val="bottom"/>
            <w:tcBorders>
              <w:left w:val="single" w:sz="8" w:color="auto"/>
              <w:right w:val="single" w:sz="8" w:color="auto"/>
            </w:tcBorders>
            <w:gridSpan w:val="3"/>
          </w:tcPr>
          <w:p>
            <w:pPr>
              <w:jc w:val="center"/>
              <w:spacing w:after="0" w:line="88" w:lineRule="exact"/>
              <w:rPr>
                <w:sz w:val="20"/>
                <w:szCs w:val="20"/>
                <w:color w:val="auto"/>
              </w:rPr>
            </w:pPr>
            <w:r>
              <w:rPr>
                <w:rFonts w:ascii="Arial" w:cs="Arial" w:eastAsia="Arial" w:hAnsi="Arial"/>
                <w:sz w:val="10"/>
                <w:szCs w:val="10"/>
                <w:b w:val="1"/>
                <w:bCs w:val="1"/>
                <w:color w:val="auto"/>
                <w:w w:val="94"/>
              </w:rPr>
              <w:t>Account</w:t>
            </w:r>
          </w:p>
        </w:tc>
        <w:tc>
          <w:tcPr>
            <w:tcW w:w="1440" w:type="dxa"/>
            <w:vAlign w:val="bottom"/>
            <w:tcBorders>
              <w:right w:val="single" w:sz="8" w:color="auto"/>
            </w:tcBorders>
            <w:gridSpan w:val="3"/>
          </w:tcPr>
          <w:p>
            <w:pPr>
              <w:ind w:left="40"/>
              <w:spacing w:after="0" w:line="88" w:lineRule="exact"/>
              <w:rPr>
                <w:sz w:val="20"/>
                <w:szCs w:val="20"/>
                <w:color w:val="auto"/>
              </w:rPr>
            </w:pPr>
            <w:r>
              <w:rPr>
                <w:rFonts w:ascii="Arial" w:cs="Arial" w:eastAsia="Arial" w:hAnsi="Arial"/>
                <w:sz w:val="10"/>
                <w:szCs w:val="10"/>
                <w:b w:val="1"/>
                <w:bCs w:val="1"/>
                <w:color w:val="auto"/>
              </w:rPr>
              <w:t>Name of Depository</w:t>
            </w:r>
          </w:p>
        </w:tc>
        <w:tc>
          <w:tcPr>
            <w:tcW w:w="1200" w:type="dxa"/>
            <w:vAlign w:val="bottom"/>
            <w:tcBorders>
              <w:right w:val="single" w:sz="8" w:color="auto"/>
            </w:tcBorders>
            <w:gridSpan w:val="3"/>
          </w:tcPr>
          <w:p>
            <w:pPr>
              <w:jc w:val="center"/>
              <w:ind w:right="20"/>
              <w:spacing w:after="0" w:line="88" w:lineRule="exact"/>
              <w:rPr>
                <w:sz w:val="20"/>
                <w:szCs w:val="20"/>
                <w:color w:val="auto"/>
              </w:rPr>
            </w:pPr>
            <w:r>
              <w:rPr>
                <w:rFonts w:ascii="Arial" w:cs="Arial" w:eastAsia="Arial" w:hAnsi="Arial"/>
                <w:sz w:val="10"/>
                <w:szCs w:val="10"/>
                <w:b w:val="1"/>
                <w:bCs w:val="1"/>
                <w:color w:val="auto"/>
                <w:w w:val="96"/>
              </w:rPr>
              <w:t>Account Number</w:t>
            </w:r>
          </w:p>
        </w:tc>
        <w:tc>
          <w:tcPr>
            <w:tcW w:w="40" w:type="dxa"/>
            <w:vAlign w:val="bottom"/>
          </w:tcPr>
          <w:p>
            <w:pPr>
              <w:spacing w:after="0"/>
              <w:rPr>
                <w:sz w:val="7"/>
                <w:szCs w:val="7"/>
                <w:color w:val="auto"/>
              </w:rPr>
            </w:pPr>
          </w:p>
        </w:tc>
        <w:tc>
          <w:tcPr>
            <w:tcW w:w="2040" w:type="dxa"/>
            <w:vAlign w:val="bottom"/>
            <w:tcBorders>
              <w:right w:val="single" w:sz="8" w:color="auto"/>
            </w:tcBorders>
            <w:gridSpan w:val="2"/>
          </w:tcPr>
          <w:p>
            <w:pPr>
              <w:spacing w:after="0" w:line="88" w:lineRule="exact"/>
              <w:rPr>
                <w:sz w:val="20"/>
                <w:szCs w:val="20"/>
                <w:color w:val="auto"/>
              </w:rPr>
            </w:pPr>
            <w:r>
              <w:rPr>
                <w:rFonts w:ascii="Arial" w:cs="Arial" w:eastAsia="Arial" w:hAnsi="Arial"/>
                <w:sz w:val="10"/>
                <w:szCs w:val="10"/>
                <w:b w:val="1"/>
                <w:bCs w:val="1"/>
                <w:color w:val="auto"/>
              </w:rPr>
              <w:t>Contact Person at Depository</w:t>
            </w:r>
          </w:p>
        </w:tc>
        <w:tc>
          <w:tcPr>
            <w:tcW w:w="420" w:type="dxa"/>
            <w:vAlign w:val="bottom"/>
          </w:tcPr>
          <w:p>
            <w:pPr>
              <w:spacing w:after="0"/>
              <w:rPr>
                <w:sz w:val="7"/>
                <w:szCs w:val="7"/>
                <w:color w:val="auto"/>
              </w:rPr>
            </w:pPr>
          </w:p>
        </w:tc>
        <w:tc>
          <w:tcPr>
            <w:tcW w:w="3840" w:type="dxa"/>
            <w:vAlign w:val="bottom"/>
            <w:tcBorders>
              <w:right w:val="single" w:sz="8" w:color="auto"/>
            </w:tcBorders>
            <w:gridSpan w:val="2"/>
          </w:tcPr>
          <w:p>
            <w:pPr>
              <w:spacing w:after="0" w:line="88" w:lineRule="exact"/>
              <w:rPr>
                <w:sz w:val="20"/>
                <w:szCs w:val="20"/>
                <w:color w:val="auto"/>
              </w:rPr>
            </w:pPr>
            <w:r>
              <w:rPr>
                <w:rFonts w:ascii="Arial" w:cs="Arial" w:eastAsia="Arial" w:hAnsi="Arial"/>
                <w:sz w:val="10"/>
                <w:szCs w:val="10"/>
                <w:b w:val="1"/>
                <w:bCs w:val="1"/>
                <w:color w:val="auto"/>
              </w:rPr>
              <w:t>Identification of each Controlled Account Bank</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tcBorders>
              <w:lef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7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1080" w:type="dxa"/>
            <w:vAlign w:val="bottom"/>
            <w:tcBorders>
              <w:lef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4260" w:type="dxa"/>
            <w:vAlign w:val="bottom"/>
            <w:tcBorders>
              <w:right w:val="single" w:sz="8" w:color="auto"/>
            </w:tcBorders>
            <w:gridSpan w:val="3"/>
          </w:tcPr>
          <w:p>
            <w:pPr>
              <w:ind w:left="20"/>
              <w:spacing w:after="0"/>
              <w:rPr>
                <w:sz w:val="20"/>
                <w:szCs w:val="20"/>
                <w:color w:val="auto"/>
              </w:rPr>
            </w:pPr>
            <w:r>
              <w:rPr>
                <w:rFonts w:ascii="Arial" w:cs="Arial" w:eastAsia="Arial" w:hAnsi="Arial"/>
                <w:sz w:val="9"/>
                <w:szCs w:val="9"/>
                <w:b w:val="1"/>
                <w:bCs w:val="1"/>
                <w:color w:val="auto"/>
              </w:rPr>
              <w:t>BLOCKED ACCTS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5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9"/>
                <w:szCs w:val="9"/>
                <w:b w:val="1"/>
                <w:bCs w:val="1"/>
                <w:color w:val="auto"/>
              </w:rPr>
              <w:t>Destination XL Group, Inc. (Stores ACH)</w:t>
            </w:r>
          </w:p>
        </w:tc>
        <w:tc>
          <w:tcPr>
            <w:tcW w:w="1440" w:type="dxa"/>
            <w:vAlign w:val="bottom"/>
            <w:tcBorders>
              <w:right w:val="single" w:sz="8" w:color="auto"/>
            </w:tcBorders>
            <w:gridSpan w:val="3"/>
          </w:tcPr>
          <w:p>
            <w:pPr>
              <w:ind w:left="20"/>
              <w:spacing w:after="0"/>
              <w:rPr>
                <w:sz w:val="20"/>
                <w:szCs w:val="20"/>
                <w:color w:val="auto"/>
              </w:rPr>
            </w:pPr>
            <w:r>
              <w:rPr>
                <w:rFonts w:ascii="Arial" w:cs="Arial" w:eastAsia="Arial" w:hAnsi="Arial"/>
                <w:sz w:val="9"/>
                <w:szCs w:val="9"/>
                <w:b w:val="1"/>
                <w:bCs w:val="1"/>
                <w:color w:val="auto"/>
              </w:rPr>
              <w:t>Bank of America</w:t>
            </w:r>
          </w:p>
        </w:tc>
        <w:tc>
          <w:tcPr>
            <w:tcW w:w="980" w:type="dxa"/>
            <w:vAlign w:val="bottom"/>
            <w:gridSpan w:val="2"/>
          </w:tcPr>
          <w:p>
            <w:pPr>
              <w:jc w:val="center"/>
              <w:ind w:left="174"/>
              <w:spacing w:after="0"/>
              <w:rPr>
                <w:sz w:val="20"/>
                <w:szCs w:val="20"/>
                <w:color w:val="auto"/>
              </w:rPr>
            </w:pPr>
            <w:r>
              <w:rPr>
                <w:rFonts w:ascii="Arial" w:cs="Arial" w:eastAsia="Arial" w:hAnsi="Arial"/>
                <w:sz w:val="9"/>
                <w:szCs w:val="9"/>
                <w:b w:val="1"/>
                <w:bCs w:val="1"/>
                <w:color w:val="auto"/>
                <w:w w:val="93"/>
              </w:rPr>
              <w:t>[ ]</w:t>
            </w:r>
          </w:p>
        </w:tc>
        <w:tc>
          <w:tcPr>
            <w:tcW w:w="220" w:type="dxa"/>
            <w:vAlign w:val="bottom"/>
            <w:tcBorders>
              <w:right w:val="single" w:sz="8" w:color="auto"/>
            </w:tcBorders>
          </w:tcPr>
          <w:p>
            <w:pPr>
              <w:spacing w:after="0"/>
              <w:rPr>
                <w:sz w:val="10"/>
                <w:szCs w:val="10"/>
                <w:color w:val="auto"/>
              </w:rPr>
            </w:pPr>
          </w:p>
        </w:tc>
        <w:tc>
          <w:tcPr>
            <w:tcW w:w="2080" w:type="dxa"/>
            <w:vAlign w:val="bottom"/>
            <w:tcBorders>
              <w:right w:val="single" w:sz="8" w:color="auto"/>
            </w:tcBorders>
            <w:gridSpan w:val="3"/>
          </w:tcPr>
          <w:p>
            <w:pPr>
              <w:spacing w:after="0"/>
              <w:rPr>
                <w:sz w:val="20"/>
                <w:szCs w:val="20"/>
                <w:color w:val="auto"/>
              </w:rPr>
            </w:pPr>
            <w:r>
              <w:rPr>
                <w:rFonts w:ascii="Arial" w:cs="Arial" w:eastAsia="Arial" w:hAnsi="Arial"/>
                <w:sz w:val="9"/>
                <w:szCs w:val="9"/>
                <w:b w:val="1"/>
                <w:bCs w:val="1"/>
                <w:color w:val="auto"/>
              </w:rPr>
              <w:t>Jerry Colon</w:t>
            </w:r>
          </w:p>
        </w:tc>
        <w:tc>
          <w:tcPr>
            <w:tcW w:w="4260" w:type="dxa"/>
            <w:vAlign w:val="bottom"/>
            <w:tcBorders>
              <w:right w:val="single" w:sz="8" w:color="auto"/>
            </w:tcBorders>
            <w:gridSpan w:val="3"/>
          </w:tcPr>
          <w:p>
            <w:pPr>
              <w:ind w:left="20"/>
              <w:spacing w:after="0"/>
              <w:rPr>
                <w:sz w:val="20"/>
                <w:szCs w:val="20"/>
                <w:color w:val="auto"/>
              </w:rPr>
            </w:pPr>
            <w:r>
              <w:rPr>
                <w:rFonts w:ascii="Arial" w:cs="Arial" w:eastAsia="Arial" w:hAnsi="Arial"/>
                <w:sz w:val="9"/>
                <w:szCs w:val="9"/>
                <w:color w:val="auto"/>
              </w:rPr>
              <w:t>ACH-All NON Bof A stores DDA's and DXL Concentration of BoA DDA's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80" w:type="dxa"/>
            <w:vAlign w:val="bottom"/>
            <w:tcBorders>
              <w:lef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2080" w:type="dxa"/>
            <w:vAlign w:val="bottom"/>
            <w:tcBorders>
              <w:right w:val="single" w:sz="8" w:color="auto"/>
            </w:tcBorders>
            <w:gridSpan w:val="3"/>
          </w:tcPr>
          <w:p>
            <w:pPr>
              <w:spacing w:after="0"/>
              <w:rPr>
                <w:sz w:val="20"/>
                <w:szCs w:val="20"/>
                <w:color w:val="auto"/>
              </w:rPr>
            </w:pPr>
            <w:r>
              <w:rPr>
                <w:rFonts w:ascii="Arial" w:cs="Arial" w:eastAsia="Arial" w:hAnsi="Arial"/>
                <w:sz w:val="9"/>
                <w:szCs w:val="9"/>
                <w:b w:val="1"/>
                <w:bCs w:val="1"/>
                <w:color w:val="auto"/>
              </w:rPr>
              <w:t>1-866-222-1948 x2000</w:t>
            </w:r>
          </w:p>
        </w:tc>
        <w:tc>
          <w:tcPr>
            <w:tcW w:w="4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80" w:type="dxa"/>
            <w:vAlign w:val="bottom"/>
            <w:tcBorders>
              <w:left w:val="single" w:sz="8" w:color="auto"/>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40" w:type="dxa"/>
            <w:vAlign w:val="bottom"/>
            <w:tcBorders>
              <w:bottom w:val="single" w:sz="8" w:color="auto"/>
              <w:right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500" w:type="dxa"/>
            <w:vAlign w:val="bottom"/>
            <w:tcBorders>
              <w:left w:val="single" w:sz="8" w:color="auto"/>
              <w:right w:val="single" w:sz="8" w:color="auto"/>
            </w:tcBorders>
            <w:gridSpan w:val="3"/>
            <w:vMerge w:val="restart"/>
          </w:tcPr>
          <w:p>
            <w:pPr>
              <w:ind w:left="20"/>
              <w:spacing w:after="0"/>
              <w:rPr>
                <w:sz w:val="20"/>
                <w:szCs w:val="20"/>
                <w:color w:val="auto"/>
              </w:rPr>
            </w:pPr>
            <w:r>
              <w:rPr>
                <w:rFonts w:ascii="Arial" w:cs="Arial" w:eastAsia="Arial" w:hAnsi="Arial"/>
                <w:sz w:val="9"/>
                <w:szCs w:val="9"/>
                <w:b w:val="1"/>
                <w:bCs w:val="1"/>
                <w:color w:val="auto"/>
              </w:rPr>
              <w:t>Destination XL Group, Inc.</w:t>
            </w:r>
          </w:p>
        </w:tc>
        <w:tc>
          <w:tcPr>
            <w:tcW w:w="144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9"/>
                <w:szCs w:val="9"/>
                <w:b w:val="1"/>
                <w:bCs w:val="1"/>
                <w:color w:val="auto"/>
              </w:rPr>
              <w:t>Bank of America</w:t>
            </w:r>
          </w:p>
        </w:tc>
        <w:tc>
          <w:tcPr>
            <w:tcW w:w="980" w:type="dxa"/>
            <w:vAlign w:val="bottom"/>
            <w:gridSpan w:val="2"/>
            <w:vMerge w:val="restart"/>
          </w:tcPr>
          <w:p>
            <w:pPr>
              <w:jc w:val="center"/>
              <w:ind w:left="134"/>
              <w:spacing w:after="0"/>
              <w:rPr>
                <w:sz w:val="20"/>
                <w:szCs w:val="20"/>
                <w:color w:val="auto"/>
              </w:rPr>
            </w:pPr>
            <w:r>
              <w:rPr>
                <w:rFonts w:ascii="Arial" w:cs="Arial" w:eastAsia="Arial" w:hAnsi="Arial"/>
                <w:sz w:val="9"/>
                <w:szCs w:val="9"/>
                <w:b w:val="1"/>
                <w:bCs w:val="1"/>
                <w:color w:val="auto"/>
                <w:w w:val="93"/>
              </w:rPr>
              <w:t>[ ]</w:t>
            </w:r>
          </w:p>
        </w:tc>
        <w:tc>
          <w:tcPr>
            <w:tcW w:w="22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9"/>
                <w:szCs w:val="9"/>
                <w:b w:val="1"/>
                <w:bCs w:val="1"/>
                <w:color w:val="auto"/>
              </w:rPr>
              <w:t>Jerry Colon</w:t>
            </w:r>
          </w:p>
        </w:tc>
        <w:tc>
          <w:tcPr>
            <w:tcW w:w="4260" w:type="dxa"/>
            <w:vAlign w:val="bottom"/>
            <w:tcBorders>
              <w:right w:val="single" w:sz="8" w:color="auto"/>
            </w:tcBorders>
            <w:gridSpan w:val="3"/>
          </w:tcPr>
          <w:p>
            <w:pPr>
              <w:ind w:left="20"/>
              <w:spacing w:after="0"/>
              <w:rPr>
                <w:sz w:val="20"/>
                <w:szCs w:val="20"/>
                <w:color w:val="auto"/>
              </w:rPr>
            </w:pPr>
            <w:r>
              <w:rPr>
                <w:rFonts w:ascii="Arial" w:cs="Arial" w:eastAsia="Arial" w:hAnsi="Arial"/>
                <w:sz w:val="9"/>
                <w:szCs w:val="9"/>
                <w:b w:val="1"/>
                <w:bCs w:val="1"/>
                <w:color w:val="auto"/>
              </w:rPr>
              <w:t>BLOCKED ACCT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2500" w:type="dxa"/>
            <w:vAlign w:val="bottom"/>
            <w:tcBorders>
              <w:left w:val="single" w:sz="8" w:color="auto"/>
              <w:right w:val="single" w:sz="8" w:color="auto"/>
            </w:tcBorders>
            <w:gridSpan w:val="3"/>
            <w:vMerge w:val="continue"/>
          </w:tcPr>
          <w:p>
            <w:pPr>
              <w:spacing w:after="0"/>
              <w:rPr>
                <w:sz w:val="7"/>
                <w:szCs w:val="7"/>
                <w:color w:val="auto"/>
              </w:rPr>
            </w:pPr>
          </w:p>
        </w:tc>
        <w:tc>
          <w:tcPr>
            <w:tcW w:w="1440" w:type="dxa"/>
            <w:vAlign w:val="bottom"/>
            <w:tcBorders>
              <w:right w:val="single" w:sz="8" w:color="auto"/>
            </w:tcBorders>
            <w:gridSpan w:val="3"/>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2080" w:type="dxa"/>
            <w:vAlign w:val="bottom"/>
            <w:tcBorders>
              <w:right w:val="single" w:sz="8" w:color="auto"/>
            </w:tcBorders>
            <w:gridSpan w:val="3"/>
            <w:vMerge w:val="continue"/>
          </w:tcPr>
          <w:p>
            <w:pPr>
              <w:spacing w:after="0"/>
              <w:rPr>
                <w:sz w:val="7"/>
                <w:szCs w:val="7"/>
                <w:color w:val="auto"/>
              </w:rPr>
            </w:pPr>
          </w:p>
        </w:tc>
        <w:tc>
          <w:tcPr>
            <w:tcW w:w="4260" w:type="dxa"/>
            <w:vAlign w:val="bottom"/>
            <w:tcBorders>
              <w:right w:val="single" w:sz="8" w:color="auto"/>
            </w:tcBorders>
            <w:gridSpan w:val="3"/>
          </w:tcPr>
          <w:p>
            <w:pPr>
              <w:ind w:left="20"/>
              <w:spacing w:after="0" w:line="90" w:lineRule="exact"/>
              <w:rPr>
                <w:sz w:val="20"/>
                <w:szCs w:val="20"/>
                <w:color w:val="auto"/>
              </w:rPr>
            </w:pPr>
            <w:r>
              <w:rPr>
                <w:rFonts w:ascii="Arial" w:cs="Arial" w:eastAsia="Arial" w:hAnsi="Arial"/>
                <w:sz w:val="9"/>
                <w:szCs w:val="9"/>
                <w:color w:val="auto"/>
              </w:rPr>
              <w:t>Credit Card Payments, Incoming Cash from All Deposit Accts</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1080" w:type="dxa"/>
            <w:vAlign w:val="bottom"/>
            <w:tcBorders>
              <w:lef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2080" w:type="dxa"/>
            <w:vAlign w:val="bottom"/>
            <w:tcBorders>
              <w:right w:val="single" w:sz="8" w:color="auto"/>
            </w:tcBorders>
            <w:gridSpan w:val="3"/>
          </w:tcPr>
          <w:p>
            <w:pPr>
              <w:spacing w:after="0"/>
              <w:rPr>
                <w:sz w:val="20"/>
                <w:szCs w:val="20"/>
                <w:color w:val="auto"/>
              </w:rPr>
            </w:pPr>
            <w:r>
              <w:rPr>
                <w:rFonts w:ascii="Arial" w:cs="Arial" w:eastAsia="Arial" w:hAnsi="Arial"/>
                <w:sz w:val="9"/>
                <w:szCs w:val="9"/>
                <w:b w:val="1"/>
                <w:bCs w:val="1"/>
                <w:color w:val="auto"/>
              </w:rPr>
              <w:t>1-866-222-1948 x2000</w:t>
            </w:r>
          </w:p>
        </w:tc>
        <w:tc>
          <w:tcPr>
            <w:tcW w:w="4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080" w:type="dxa"/>
            <w:vAlign w:val="bottom"/>
            <w:tcBorders>
              <w:left w:val="single" w:sz="8" w:color="auto"/>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4"/>
        </w:trPr>
        <w:tc>
          <w:tcPr>
            <w:tcW w:w="10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266" w:right="179" w:bottom="1440" w:gutter="0" w:footer="0" w:header="0"/>
        </w:sectPr>
      </w:pPr>
    </w:p>
    <w:bookmarkStart w:id="182" w:name="page183"/>
    <w:bookmarkEnd w:id="182"/>
    <w:p>
      <w:pPr>
        <w:jc w:val="center"/>
        <w:ind w:right="20"/>
        <w:spacing w:after="0"/>
        <w:rPr>
          <w:sz w:val="20"/>
          <w:szCs w:val="20"/>
          <w:color w:val="auto"/>
        </w:rPr>
      </w:pPr>
      <w:r>
        <w:rPr>
          <w:rFonts w:ascii="Arial" w:cs="Arial" w:eastAsia="Arial" w:hAnsi="Arial"/>
          <w:sz w:val="13"/>
          <w:szCs w:val="13"/>
          <w:color w:val="auto"/>
        </w:rPr>
        <w:t>Schedule 5.21(b)</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Credit Card Arrangements</w:t>
      </w:r>
    </w:p>
    <w:p>
      <w:pPr>
        <w:spacing w:after="0" w:line="111" w:lineRule="exact"/>
        <w:rPr>
          <w:sz w:val="20"/>
          <w:szCs w:val="20"/>
          <w:color w:val="auto"/>
        </w:rPr>
      </w:pPr>
    </w:p>
    <w:p>
      <w:pPr>
        <w:ind w:left="740"/>
        <w:spacing w:after="0"/>
        <w:rPr>
          <w:sz w:val="20"/>
          <w:szCs w:val="20"/>
          <w:color w:val="auto"/>
        </w:rPr>
      </w:pPr>
      <w:r>
        <w:rPr>
          <w:rFonts w:ascii="Arial" w:cs="Arial" w:eastAsia="Arial" w:hAnsi="Arial"/>
          <w:sz w:val="13"/>
          <w:szCs w:val="13"/>
          <w:color w:val="auto"/>
        </w:rPr>
        <w:t>Merchant Services Bankcard Agreement, by and among Destination XL Group, Inc., and Bank of America Merchant Services, LLC</w:t>
      </w:r>
    </w:p>
    <w:p>
      <w:pPr>
        <w:spacing w:after="0" w:line="130" w:lineRule="exact"/>
        <w:rPr>
          <w:sz w:val="20"/>
          <w:szCs w:val="20"/>
          <w:color w:val="auto"/>
        </w:rPr>
      </w:pPr>
    </w:p>
    <w:p>
      <w:pPr>
        <w:ind w:firstLine="742"/>
        <w:spacing w:after="0" w:line="271" w:lineRule="auto"/>
        <w:rPr>
          <w:sz w:val="20"/>
          <w:szCs w:val="20"/>
          <w:color w:val="auto"/>
        </w:rPr>
      </w:pPr>
      <w:r>
        <w:rPr>
          <w:rFonts w:ascii="Arial" w:cs="Arial" w:eastAsia="Arial" w:hAnsi="Arial"/>
          <w:sz w:val="13"/>
          <w:szCs w:val="13"/>
          <w:color w:val="auto"/>
        </w:rPr>
        <w:t>Amendment of Merchant Services Bankcard Agreement, dated as of July 6, 2012, by and among First Data Services, LLC, Bank of America, N.A. and Casual Male Retail Group, Inc. (now known as Destination XL Group, Inc.)</w:t>
      </w:r>
    </w:p>
    <w:p>
      <w:pPr>
        <w:spacing w:after="0" w:line="86" w:lineRule="exact"/>
        <w:rPr>
          <w:sz w:val="20"/>
          <w:szCs w:val="20"/>
          <w:color w:val="auto"/>
        </w:rPr>
      </w:pPr>
    </w:p>
    <w:p>
      <w:pPr>
        <w:ind w:left="740"/>
        <w:spacing w:after="0"/>
        <w:rPr>
          <w:sz w:val="20"/>
          <w:szCs w:val="20"/>
          <w:color w:val="auto"/>
        </w:rPr>
      </w:pPr>
      <w:r>
        <w:rPr>
          <w:rFonts w:ascii="Arial" w:cs="Arial" w:eastAsia="Arial" w:hAnsi="Arial"/>
          <w:sz w:val="13"/>
          <w:szCs w:val="13"/>
          <w:color w:val="auto"/>
        </w:rPr>
        <w:t>Advanced Smart Routing Services Addendum, dated October, 17, 2016, between First Data Services, LLC and Destination XL Group, Inc.</w:t>
      </w:r>
    </w:p>
    <w:p>
      <w:pPr>
        <w:spacing w:after="0" w:line="121" w:lineRule="exact"/>
        <w:rPr>
          <w:sz w:val="20"/>
          <w:szCs w:val="20"/>
          <w:color w:val="auto"/>
        </w:rPr>
      </w:pPr>
    </w:p>
    <w:p>
      <w:pPr>
        <w:ind w:left="740"/>
        <w:spacing w:after="0"/>
        <w:rPr>
          <w:sz w:val="20"/>
          <w:szCs w:val="20"/>
          <w:color w:val="auto"/>
        </w:rPr>
      </w:pPr>
      <w:r>
        <w:rPr>
          <w:rFonts w:ascii="Arial" w:cs="Arial" w:eastAsia="Arial" w:hAnsi="Arial"/>
          <w:sz w:val="13"/>
          <w:szCs w:val="13"/>
          <w:color w:val="auto"/>
        </w:rPr>
        <w:t>Master Rewards Marketing Agreement, dated as of August 16, 2016, between Discover Products Inc. and Destination XL Group, Inc.</w:t>
      </w:r>
    </w:p>
    <w:p>
      <w:pPr>
        <w:spacing w:after="0" w:line="130" w:lineRule="exact"/>
        <w:rPr>
          <w:sz w:val="20"/>
          <w:szCs w:val="20"/>
          <w:color w:val="auto"/>
        </w:rPr>
      </w:pPr>
    </w:p>
    <w:p>
      <w:pPr>
        <w:ind w:left="740"/>
        <w:spacing w:after="0"/>
        <w:rPr>
          <w:sz w:val="20"/>
          <w:szCs w:val="20"/>
          <w:color w:val="auto"/>
        </w:rPr>
      </w:pPr>
      <w:r>
        <w:rPr>
          <w:rFonts w:ascii="Arial" w:cs="Arial" w:eastAsia="Arial" w:hAnsi="Arial"/>
          <w:sz w:val="13"/>
          <w:szCs w:val="13"/>
          <w:color w:val="auto"/>
        </w:rPr>
        <w:t>PayPal Addendum, dated July 15, 2016, by and between DFS Services LLC and Destination XL Group, Inc.</w:t>
      </w:r>
    </w:p>
    <w:p>
      <w:pPr>
        <w:spacing w:after="0" w:line="121" w:lineRule="exact"/>
        <w:rPr>
          <w:sz w:val="20"/>
          <w:szCs w:val="20"/>
          <w:color w:val="auto"/>
        </w:rPr>
      </w:pPr>
    </w:p>
    <w:p>
      <w:pPr>
        <w:ind w:left="740"/>
        <w:spacing w:after="0"/>
        <w:rPr>
          <w:sz w:val="20"/>
          <w:szCs w:val="20"/>
          <w:color w:val="auto"/>
        </w:rPr>
      </w:pPr>
      <w:r>
        <w:rPr>
          <w:rFonts w:ascii="Arial" w:cs="Arial" w:eastAsia="Arial" w:hAnsi="Arial"/>
          <w:sz w:val="13"/>
          <w:szCs w:val="13"/>
          <w:color w:val="auto"/>
        </w:rPr>
        <w:t>The DXLG entities operate under credit card arrangements with Bank of America Merchant Services, LLC, as follows:</w:t>
      </w:r>
    </w:p>
    <w:p>
      <w:pPr>
        <w:spacing w:after="0" w:line="121" w:lineRule="exact"/>
        <w:rPr>
          <w:sz w:val="20"/>
          <w:szCs w:val="20"/>
          <w:color w:val="auto"/>
        </w:rPr>
      </w:pPr>
    </w:p>
    <w:p>
      <w:pPr>
        <w:ind w:left="1700" w:hanging="388"/>
        <w:spacing w:after="0"/>
        <w:tabs>
          <w:tab w:leader="none" w:pos="1700" w:val="left"/>
        </w:tabs>
        <w:numPr>
          <w:ilvl w:val="0"/>
          <w:numId w:val="199"/>
        </w:numPr>
        <w:rPr>
          <w:rFonts w:ascii="Arial" w:cs="Arial" w:eastAsia="Arial" w:hAnsi="Arial"/>
          <w:sz w:val="13"/>
          <w:szCs w:val="13"/>
          <w:color w:val="auto"/>
        </w:rPr>
      </w:pPr>
      <w:r>
        <w:rPr>
          <w:rFonts w:ascii="Arial" w:cs="Arial" w:eastAsia="Arial" w:hAnsi="Arial"/>
          <w:sz w:val="13"/>
          <w:szCs w:val="13"/>
          <w:color w:val="auto"/>
        </w:rPr>
        <w:t>Visa</w:t>
      </w:r>
    </w:p>
    <w:p>
      <w:pPr>
        <w:spacing w:after="0" w:line="13" w:lineRule="exact"/>
        <w:rPr>
          <w:rFonts w:ascii="Arial" w:cs="Arial" w:eastAsia="Arial" w:hAnsi="Arial"/>
          <w:sz w:val="13"/>
          <w:szCs w:val="13"/>
          <w:color w:val="auto"/>
        </w:rPr>
      </w:pPr>
    </w:p>
    <w:p>
      <w:pPr>
        <w:ind w:left="1700" w:hanging="388"/>
        <w:spacing w:after="0"/>
        <w:tabs>
          <w:tab w:leader="none" w:pos="1700" w:val="left"/>
        </w:tabs>
        <w:numPr>
          <w:ilvl w:val="0"/>
          <w:numId w:val="199"/>
        </w:numPr>
        <w:rPr>
          <w:rFonts w:ascii="Arial" w:cs="Arial" w:eastAsia="Arial" w:hAnsi="Arial"/>
          <w:sz w:val="13"/>
          <w:szCs w:val="13"/>
          <w:color w:val="auto"/>
        </w:rPr>
      </w:pPr>
      <w:r>
        <w:rPr>
          <w:rFonts w:ascii="Arial" w:cs="Arial" w:eastAsia="Arial" w:hAnsi="Arial"/>
          <w:sz w:val="13"/>
          <w:szCs w:val="13"/>
          <w:color w:val="auto"/>
        </w:rPr>
        <w:t>MasterCard</w:t>
      </w:r>
    </w:p>
    <w:p>
      <w:pPr>
        <w:spacing w:after="0" w:line="3" w:lineRule="exact"/>
        <w:rPr>
          <w:rFonts w:ascii="Arial" w:cs="Arial" w:eastAsia="Arial" w:hAnsi="Arial"/>
          <w:sz w:val="13"/>
          <w:szCs w:val="13"/>
          <w:color w:val="auto"/>
        </w:rPr>
      </w:pPr>
    </w:p>
    <w:p>
      <w:pPr>
        <w:ind w:left="1700" w:hanging="388"/>
        <w:spacing w:after="0"/>
        <w:tabs>
          <w:tab w:leader="none" w:pos="1700" w:val="left"/>
        </w:tabs>
        <w:numPr>
          <w:ilvl w:val="0"/>
          <w:numId w:val="199"/>
        </w:numPr>
        <w:rPr>
          <w:rFonts w:ascii="Arial" w:cs="Arial" w:eastAsia="Arial" w:hAnsi="Arial"/>
          <w:sz w:val="13"/>
          <w:szCs w:val="13"/>
          <w:color w:val="auto"/>
        </w:rPr>
      </w:pPr>
      <w:r>
        <w:rPr>
          <w:rFonts w:ascii="Arial" w:cs="Arial" w:eastAsia="Arial" w:hAnsi="Arial"/>
          <w:sz w:val="13"/>
          <w:szCs w:val="13"/>
          <w:color w:val="auto"/>
        </w:rPr>
        <w:t>American Express</w:t>
      </w:r>
    </w:p>
    <w:p>
      <w:pPr>
        <w:spacing w:after="0" w:line="3" w:lineRule="exact"/>
        <w:rPr>
          <w:rFonts w:ascii="Arial" w:cs="Arial" w:eastAsia="Arial" w:hAnsi="Arial"/>
          <w:sz w:val="13"/>
          <w:szCs w:val="13"/>
          <w:color w:val="auto"/>
        </w:rPr>
      </w:pPr>
    </w:p>
    <w:p>
      <w:pPr>
        <w:ind w:left="1700" w:hanging="388"/>
        <w:spacing w:after="0"/>
        <w:tabs>
          <w:tab w:leader="none" w:pos="1700" w:val="left"/>
        </w:tabs>
        <w:numPr>
          <w:ilvl w:val="0"/>
          <w:numId w:val="199"/>
        </w:numPr>
        <w:rPr>
          <w:rFonts w:ascii="Arial" w:cs="Arial" w:eastAsia="Arial" w:hAnsi="Arial"/>
          <w:sz w:val="13"/>
          <w:szCs w:val="13"/>
          <w:color w:val="auto"/>
        </w:rPr>
      </w:pPr>
      <w:r>
        <w:rPr>
          <w:rFonts w:ascii="Arial" w:cs="Arial" w:eastAsia="Arial" w:hAnsi="Arial"/>
          <w:sz w:val="13"/>
          <w:szCs w:val="13"/>
          <w:color w:val="auto"/>
        </w:rPr>
        <w:t>Discover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327660</wp:posOffset>
            </wp:positionV>
            <wp:extent cx="7329170" cy="368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040"/>
          </w:cols>
          <w:pgMar w:left="440" w:top="273" w:right="419" w:bottom="1440" w:gutter="0" w:footer="0" w:header="0"/>
        </w:sectPr>
      </w:pPr>
    </w:p>
    <w:bookmarkStart w:id="183" w:name="page184"/>
    <w:bookmarkEnd w:id="183"/>
    <w:p>
      <w:pPr>
        <w:jc w:val="center"/>
        <w:ind w:right="-1120"/>
        <w:spacing w:after="0"/>
        <w:rPr>
          <w:sz w:val="20"/>
          <w:szCs w:val="20"/>
          <w:color w:val="auto"/>
        </w:rPr>
      </w:pPr>
      <w:r>
        <w:rPr>
          <w:rFonts w:ascii="Arial" w:cs="Arial" w:eastAsia="Arial" w:hAnsi="Arial"/>
          <w:sz w:val="13"/>
          <w:szCs w:val="13"/>
          <w:color w:val="auto"/>
        </w:rPr>
        <w:t>Schedule 5.24</w:t>
      </w:r>
    </w:p>
    <w:p>
      <w:pPr>
        <w:spacing w:after="0" w:line="14" w:lineRule="exact"/>
        <w:rPr>
          <w:sz w:val="20"/>
          <w:szCs w:val="20"/>
          <w:color w:val="auto"/>
        </w:rPr>
      </w:pPr>
    </w:p>
    <w:p>
      <w:pPr>
        <w:jc w:val="center"/>
        <w:ind w:right="-1120"/>
        <w:spacing w:after="0"/>
        <w:rPr>
          <w:sz w:val="20"/>
          <w:szCs w:val="20"/>
          <w:color w:val="auto"/>
        </w:rPr>
      </w:pPr>
      <w:r>
        <w:rPr>
          <w:rFonts w:ascii="Arial" w:cs="Arial" w:eastAsia="Arial" w:hAnsi="Arial"/>
          <w:sz w:val="13"/>
          <w:szCs w:val="13"/>
          <w:color w:val="auto"/>
        </w:rPr>
        <w:t>Material Contracts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color w:val="auto"/>
        </w:rPr>
        <w:t>Company’s 2016 Incentive Compensation Plan, as amended.</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Company’s Third Amended and Restated Non-Employee Director Compensation Plan.</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Master Loan and Security Agreement dated July 20, 2007 between the Company and Banc of America Leasing &amp; Capital, LLC.</w:t>
      </w:r>
    </w:p>
    <w:p>
      <w:pPr>
        <w:spacing w:after="0" w:line="231" w:lineRule="exact"/>
        <w:rPr>
          <w:sz w:val="20"/>
          <w:szCs w:val="20"/>
          <w:color w:val="auto"/>
        </w:rPr>
      </w:pPr>
    </w:p>
    <w:p>
      <w:pPr>
        <w:spacing w:after="0"/>
        <w:rPr>
          <w:sz w:val="20"/>
          <w:szCs w:val="20"/>
          <w:color w:val="auto"/>
        </w:rPr>
      </w:pPr>
      <w:r>
        <w:rPr>
          <w:rFonts w:ascii="Arial" w:cs="Arial" w:eastAsia="Arial" w:hAnsi="Arial"/>
          <w:sz w:val="10"/>
          <w:szCs w:val="10"/>
          <w:color w:val="auto"/>
        </w:rPr>
        <w:t>Amendment Number 1 to Master Loan and Security Agreement dated September 30, 2013 between the Company and Banc of America Leasing &amp; Capital, LLC.</w:t>
      </w:r>
    </w:p>
    <w:p>
      <w:pPr>
        <w:spacing w:after="0" w:line="344" w:lineRule="exact"/>
        <w:rPr>
          <w:sz w:val="20"/>
          <w:szCs w:val="20"/>
          <w:color w:val="auto"/>
        </w:rPr>
      </w:pPr>
    </w:p>
    <w:p>
      <w:pPr>
        <w:spacing w:after="0"/>
        <w:rPr>
          <w:sz w:val="20"/>
          <w:szCs w:val="20"/>
          <w:color w:val="auto"/>
        </w:rPr>
      </w:pPr>
      <w:r>
        <w:rPr>
          <w:rFonts w:ascii="Arial" w:cs="Arial" w:eastAsia="Arial" w:hAnsi="Arial"/>
          <w:sz w:val="12"/>
          <w:szCs w:val="12"/>
          <w:color w:val="auto"/>
        </w:rPr>
        <w:t>Employment and Chairman Compensation Agreement, dated August 7, 2014, between the Company and Seymour Holtzman.</w:t>
      </w:r>
    </w:p>
    <w:p>
      <w:pPr>
        <w:spacing w:after="0" w:line="231" w:lineRule="exact"/>
        <w:rPr>
          <w:sz w:val="20"/>
          <w:szCs w:val="20"/>
          <w:color w:val="auto"/>
        </w:rPr>
      </w:pPr>
    </w:p>
    <w:p>
      <w:pPr>
        <w:spacing w:after="0"/>
        <w:rPr>
          <w:sz w:val="20"/>
          <w:szCs w:val="20"/>
          <w:color w:val="auto"/>
        </w:rPr>
      </w:pPr>
      <w:r>
        <w:rPr>
          <w:rFonts w:ascii="Arial" w:cs="Arial" w:eastAsia="Arial" w:hAnsi="Arial"/>
          <w:sz w:val="12"/>
          <w:szCs w:val="12"/>
          <w:color w:val="auto"/>
        </w:rPr>
        <w:t>First Amendment to Employment and Chairman Compensation Agreement, dated May 25, 2017, between the Company and Mr. Holtzman.</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color w:val="auto"/>
        </w:rPr>
        <w:t>Revised and Restated Employment Agreement dated as of November 5, 2009 between the Company and David A. Levin.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Transition Agreement between the Company and David A. Levin dated March 23, 2018.</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Second Amended and Restated Employment Agreement between the Company and Peter H. Stratton, Jr. dated as of November 27, 2017.</w:t>
      </w:r>
    </w:p>
    <w:p>
      <w:pPr>
        <w:spacing w:after="0" w:line="231" w:lineRule="exact"/>
        <w:rPr>
          <w:sz w:val="20"/>
          <w:szCs w:val="20"/>
          <w:color w:val="auto"/>
        </w:rPr>
      </w:pPr>
    </w:p>
    <w:p>
      <w:pPr>
        <w:spacing w:after="0"/>
        <w:rPr>
          <w:sz w:val="20"/>
          <w:szCs w:val="20"/>
          <w:color w:val="auto"/>
        </w:rPr>
      </w:pPr>
      <w:r>
        <w:rPr>
          <w:rFonts w:ascii="Arial" w:cs="Arial" w:eastAsia="Arial" w:hAnsi="Arial"/>
          <w:sz w:val="12"/>
          <w:szCs w:val="12"/>
          <w:color w:val="auto"/>
        </w:rPr>
        <w:t>Employment Agreement between the Company and Robert S. Molloy dated as of January 7, 2010.</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Employment Agreement between the Company and Francis C. Chane dated as of January 8, 2010.</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Employment Agreement between the Company and Kenneth M. Ederle dated as of September 2, 2015.</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Employment Agreement between the Company and Peter E. Schmitz dated as of January 1, 2013.</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Employment Agreement between the Company and Walter E. Sprague dated as of January 8, 2010.</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Amended and Restated Employment Agreement between the Company and Brian Reaves dated as of November 27, 2017.</w:t>
      </w:r>
    </w:p>
    <w:p>
      <w:pPr>
        <w:spacing w:after="0" w:line="231" w:lineRule="exact"/>
        <w:rPr>
          <w:sz w:val="20"/>
          <w:szCs w:val="20"/>
          <w:color w:val="auto"/>
        </w:rPr>
      </w:pPr>
    </w:p>
    <w:p>
      <w:pPr>
        <w:spacing w:after="0"/>
        <w:rPr>
          <w:sz w:val="20"/>
          <w:szCs w:val="20"/>
          <w:color w:val="auto"/>
        </w:rPr>
      </w:pPr>
      <w:r>
        <w:rPr>
          <w:rFonts w:ascii="Arial" w:cs="Arial" w:eastAsia="Arial" w:hAnsi="Arial"/>
          <w:sz w:val="12"/>
          <w:szCs w:val="12"/>
          <w:color w:val="auto"/>
        </w:rPr>
        <w:t>Employment Agreement between the Company and John F. Cooney dated as of May 17, 2015.</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Employment Agreement between the Company and Mary Luttrell effective as of January 18, 2017.</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Employment Agreement between the Company and Anthony J. Gaeta dated as of November 27, 2017.</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Employment Agreement between the Company and Sahal S. Laher effective as of January 30, 2017.</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Employment Agreement between the Company and James Davey effective as of March 14, 2018.</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Company’s Third Amended and Restated Annual Incentive Plan.</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Company’s First Amended and Restated Long-Term Incentive Plan.</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Registration Rights Agreement dated November 18, 2003 by and between the Company and Thomas Weisel Partners LLC.</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color w:val="auto"/>
        </w:rPr>
        <w:t>Letter Agreement between the Company and Prescott Group Capital Management, L.L.C., et al, dated December 6, 2017.</w:t>
      </w:r>
    </w:p>
    <w:p>
      <w:pPr>
        <w:spacing w:after="0" w:line="231" w:lineRule="exact"/>
        <w:rPr>
          <w:sz w:val="20"/>
          <w:szCs w:val="20"/>
          <w:color w:val="auto"/>
        </w:rPr>
      </w:pPr>
    </w:p>
    <w:p>
      <w:pPr>
        <w:spacing w:after="0"/>
        <w:rPr>
          <w:sz w:val="20"/>
          <w:szCs w:val="20"/>
          <w:color w:val="auto"/>
        </w:rPr>
      </w:pPr>
      <w:r>
        <w:rPr>
          <w:rFonts w:ascii="Arial" w:cs="Arial" w:eastAsia="Arial" w:hAnsi="Arial"/>
          <w:sz w:val="12"/>
          <w:szCs w:val="12"/>
          <w:color w:val="auto"/>
        </w:rPr>
        <w:t>Letter Agreement, dated January 29, 2014, by and between the Company and Red Mountain Capital Partners LLC.</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Contribution Agreement dated January 30, 2006 by and among the Company, Spirit SPE Canton, LLC and Spirit Finance Acquisitions, LLC .</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Membership Interest Purchase Agreement dated January 30, 2006 by and between the Company and Spirit Finance Acquisitions, LLC</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color w:val="auto"/>
        </w:rPr>
        <w:t>Lease Agreement dated February 1, 2006 by and between the Company and Spirit SPE Canton,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288290</wp:posOffset>
            </wp:positionV>
            <wp:extent cx="7329170" cy="368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119"/>
          </w:cols>
          <w:pgMar w:left="340" w:top="273" w:right="1440" w:bottom="1440" w:gutter="0" w:footer="0" w:header="0"/>
        </w:sectPr>
      </w:pPr>
    </w:p>
    <w:bookmarkStart w:id="184" w:name="page185"/>
    <w:bookmarkEnd w:id="184"/>
    <w:p>
      <w:pPr>
        <w:jc w:val="center"/>
        <w:spacing w:after="0"/>
        <w:rPr>
          <w:sz w:val="20"/>
          <w:szCs w:val="20"/>
          <w:color w:val="auto"/>
        </w:rPr>
      </w:pPr>
      <w:r>
        <w:rPr>
          <w:rFonts w:ascii="Arial" w:cs="Arial" w:eastAsia="Arial" w:hAnsi="Arial"/>
          <w:sz w:val="13"/>
          <w:szCs w:val="13"/>
          <w:color w:val="auto"/>
        </w:rPr>
        <w:t>Schedule 6.02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Financial and Collateral Reporting</w:t>
      </w:r>
    </w:p>
    <w:p>
      <w:pPr>
        <w:spacing w:after="0" w:line="329" w:lineRule="exact"/>
        <w:rPr>
          <w:sz w:val="20"/>
          <w:szCs w:val="20"/>
          <w:color w:val="auto"/>
        </w:rPr>
      </w:pPr>
    </w:p>
    <w:p>
      <w:pPr>
        <w:ind w:left="4220"/>
        <w:spacing w:after="0"/>
        <w:rPr>
          <w:sz w:val="20"/>
          <w:szCs w:val="20"/>
          <w:color w:val="auto"/>
        </w:rPr>
      </w:pPr>
      <w:r>
        <w:rPr>
          <w:rFonts w:ascii="Arial" w:cs="Arial" w:eastAsia="Arial" w:hAnsi="Arial"/>
          <w:sz w:val="13"/>
          <w:szCs w:val="13"/>
          <w:color w:val="auto"/>
        </w:rPr>
        <w:t>[Please see</w:t>
      </w:r>
    </w:p>
    <w:p>
      <w:pPr>
        <w:spacing w:after="0" w:line="14" w:lineRule="exact"/>
        <w:rPr>
          <w:sz w:val="20"/>
          <w:szCs w:val="20"/>
          <w:color w:val="auto"/>
        </w:rPr>
      </w:pPr>
    </w:p>
    <w:p>
      <w:pPr>
        <w:ind w:left="4260"/>
        <w:spacing w:after="0"/>
        <w:rPr>
          <w:sz w:val="20"/>
          <w:szCs w:val="20"/>
          <w:color w:val="auto"/>
        </w:rPr>
      </w:pPr>
      <w:r>
        <w:rPr>
          <w:rFonts w:ascii="Arial" w:cs="Arial" w:eastAsia="Arial" w:hAnsi="Arial"/>
          <w:sz w:val="13"/>
          <w:szCs w:val="13"/>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229870</wp:posOffset>
            </wp:positionV>
            <wp:extent cx="7329170" cy="368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185" w:name="page186"/>
    <w:bookmarkEnd w:id="185"/>
    <w:tbl>
      <w:tblPr>
        <w:tblLayout w:type="fixed"/>
        <w:tblInd w:w="8"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Schedule 6.02</w:t>
            </w:r>
          </w:p>
        </w:tc>
        <w:tc>
          <w:tcPr>
            <w:tcW w:w="53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3740" w:type="dxa"/>
            <w:vAlign w:val="bottom"/>
          </w:tcPr>
          <w:p>
            <w:pPr>
              <w:spacing w:after="0"/>
              <w:rPr>
                <w:sz w:val="23"/>
                <w:szCs w:val="23"/>
                <w:color w:val="auto"/>
              </w:rPr>
            </w:pPr>
          </w:p>
        </w:tc>
        <w:tc>
          <w:tcPr>
            <w:tcW w:w="7760" w:type="dxa"/>
            <w:vAlign w:val="bottom"/>
            <w:gridSpan w:val="4"/>
          </w:tcPr>
          <w:p>
            <w:pPr>
              <w:jc w:val="center"/>
              <w:ind w:right="3701"/>
              <w:spacing w:after="0"/>
              <w:rPr>
                <w:sz w:val="20"/>
                <w:szCs w:val="20"/>
                <w:color w:val="auto"/>
              </w:rPr>
            </w:pPr>
            <w:r>
              <w:rPr>
                <w:rFonts w:ascii="Arial" w:cs="Arial" w:eastAsia="Arial" w:hAnsi="Arial"/>
                <w:sz w:val="14"/>
                <w:szCs w:val="14"/>
                <w:color w:val="auto"/>
                <w:w w:val="95"/>
              </w:rPr>
              <w:t>Destination XL Group, Inc. Reporting Requirements</w:t>
            </w:r>
          </w:p>
        </w:tc>
        <w:tc>
          <w:tcPr>
            <w:tcW w:w="0" w:type="dxa"/>
            <w:vAlign w:val="bottom"/>
          </w:tcPr>
          <w:p>
            <w:pPr>
              <w:spacing w:after="0"/>
              <w:rPr>
                <w:sz w:val="1"/>
                <w:szCs w:val="1"/>
                <w:color w:val="auto"/>
              </w:rPr>
            </w:pPr>
          </w:p>
        </w:tc>
      </w:tr>
      <w:tr>
        <w:trPr>
          <w:trHeight w:val="206"/>
        </w:trPr>
        <w:tc>
          <w:tcPr>
            <w:tcW w:w="37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640" w:type="dxa"/>
            <w:vAlign w:val="bottom"/>
          </w:tcPr>
          <w:p>
            <w:pPr>
              <w:ind w:left="600"/>
              <w:spacing w:after="0"/>
              <w:rPr>
                <w:sz w:val="20"/>
                <w:szCs w:val="20"/>
                <w:color w:val="auto"/>
              </w:rPr>
            </w:pPr>
            <w:r>
              <w:rPr>
                <w:rFonts w:ascii="Arial" w:cs="Arial" w:eastAsia="Arial" w:hAnsi="Arial"/>
                <w:sz w:val="11"/>
                <w:szCs w:val="11"/>
                <w:b w:val="1"/>
                <w:bCs w:val="1"/>
                <w:color w:val="auto"/>
              </w:rPr>
              <w:t>Included</w:t>
            </w:r>
          </w:p>
        </w:tc>
        <w:tc>
          <w:tcPr>
            <w:tcW w:w="0" w:type="dxa"/>
            <w:vAlign w:val="bottom"/>
          </w:tcPr>
          <w:p>
            <w:pPr>
              <w:spacing w:after="0"/>
              <w:rPr>
                <w:sz w:val="1"/>
                <w:szCs w:val="1"/>
                <w:color w:val="auto"/>
              </w:rPr>
            </w:pPr>
          </w:p>
        </w:tc>
      </w:tr>
      <w:tr>
        <w:trPr>
          <w:trHeight w:val="146"/>
        </w:trPr>
        <w:tc>
          <w:tcPr>
            <w:tcW w:w="3740" w:type="dxa"/>
            <w:vAlign w:val="bottom"/>
          </w:tcPr>
          <w:p>
            <w:pPr>
              <w:spacing w:after="0"/>
              <w:rPr>
                <w:sz w:val="20"/>
                <w:szCs w:val="20"/>
                <w:color w:val="auto"/>
              </w:rPr>
            </w:pPr>
            <w:r>
              <w:rPr>
                <w:rFonts w:ascii="Arial" w:cs="Arial" w:eastAsia="Arial" w:hAnsi="Arial"/>
                <w:sz w:val="11"/>
                <w:szCs w:val="11"/>
                <w:b w:val="1"/>
                <w:bCs w:val="1"/>
                <w:color w:val="auto"/>
              </w:rPr>
              <w:t>A.  Due on 15</w:t>
            </w:r>
            <w:r>
              <w:rPr>
                <w:rFonts w:ascii="Arial" w:cs="Arial" w:eastAsia="Arial" w:hAnsi="Arial"/>
                <w:sz w:val="7"/>
                <w:szCs w:val="7"/>
                <w:b w:val="1"/>
                <w:bCs w:val="1"/>
                <w:color w:val="auto"/>
              </w:rPr>
              <w:t>th</w:t>
            </w:r>
            <w:r>
              <w:rPr>
                <w:rFonts w:ascii="Arial" w:cs="Arial" w:eastAsia="Arial" w:hAnsi="Arial"/>
                <w:sz w:val="11"/>
                <w:szCs w:val="11"/>
                <w:b w:val="1"/>
                <w:bCs w:val="1"/>
                <w:color w:val="auto"/>
              </w:rPr>
              <w:t xml:space="preserve"> day of each Fiscal Month</w:t>
            </w:r>
            <w:r>
              <w:rPr>
                <w:rFonts w:ascii="Arial" w:cs="Arial" w:eastAsia="Arial" w:hAnsi="Arial"/>
                <w:sz w:val="7"/>
                <w:szCs w:val="7"/>
                <w:b w:val="1"/>
                <w:bCs w:val="1"/>
                <w:color w:val="auto"/>
              </w:rPr>
              <w:t>(1)</w:t>
            </w:r>
          </w:p>
        </w:tc>
        <w:tc>
          <w:tcPr>
            <w:tcW w:w="1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40" w:type="dxa"/>
            <w:vAlign w:val="bottom"/>
          </w:tcPr>
          <w:p>
            <w:pPr>
              <w:ind w:left="200"/>
              <w:spacing w:after="0"/>
              <w:rPr>
                <w:sz w:val="20"/>
                <w:szCs w:val="20"/>
                <w:color w:val="auto"/>
              </w:rPr>
            </w:pPr>
            <w:r>
              <w:rPr>
                <w:rFonts w:ascii="Arial" w:cs="Arial" w:eastAsia="Arial" w:hAnsi="Arial"/>
                <w:sz w:val="11"/>
                <w:szCs w:val="11"/>
                <w:color w:val="auto"/>
              </w:rPr>
              <w:t>1.  Borrowing Base Certificate</w:t>
            </w:r>
          </w:p>
        </w:tc>
        <w:tc>
          <w:tcPr>
            <w:tcW w:w="1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700" w:type="dxa"/>
            <w:vAlign w:val="bottom"/>
            <w:tcBorders>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2"/>
                <w:szCs w:val="12"/>
                <w:color w:val="auto"/>
              </w:rPr>
              <w:t>Y</w:t>
            </w:r>
          </w:p>
        </w:tc>
        <w:tc>
          <w:tcPr>
            <w:tcW w:w="0" w:type="dxa"/>
            <w:vAlign w:val="bottom"/>
          </w:tcPr>
          <w:p>
            <w:pPr>
              <w:spacing w:after="0"/>
              <w:rPr>
                <w:sz w:val="1"/>
                <w:szCs w:val="1"/>
                <w:color w:val="auto"/>
              </w:rPr>
            </w:pPr>
          </w:p>
        </w:tc>
      </w:tr>
      <w:tr>
        <w:trPr>
          <w:trHeight w:val="133"/>
        </w:trPr>
        <w:tc>
          <w:tcPr>
            <w:tcW w:w="3740" w:type="dxa"/>
            <w:vAlign w:val="bottom"/>
            <w:vMerge w:val="restart"/>
          </w:tcPr>
          <w:p>
            <w:pPr>
              <w:ind w:left="420"/>
              <w:spacing w:after="0"/>
              <w:rPr>
                <w:sz w:val="20"/>
                <w:szCs w:val="20"/>
                <w:color w:val="auto"/>
              </w:rPr>
            </w:pPr>
            <w:r>
              <w:rPr>
                <w:rFonts w:ascii="Arial" w:cs="Arial" w:eastAsia="Arial" w:hAnsi="Arial"/>
                <w:sz w:val="11"/>
                <w:szCs w:val="11"/>
                <w:i w:val="1"/>
                <w:iCs w:val="1"/>
                <w:color w:val="auto"/>
              </w:rPr>
              <w:t>Borrowing Base backup to be received with the BBC:</w:t>
            </w:r>
          </w:p>
        </w:tc>
        <w:tc>
          <w:tcPr>
            <w:tcW w:w="1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740" w:type="dxa"/>
            <w:vAlign w:val="bottom"/>
            <w:vMerge w:val="continue"/>
          </w:tcPr>
          <w:p>
            <w:pPr>
              <w:spacing w:after="0"/>
              <w:rPr>
                <w:sz w:val="11"/>
                <w:szCs w:val="11"/>
                <w:color w:val="auto"/>
              </w:rPr>
            </w:pPr>
          </w:p>
        </w:tc>
        <w:tc>
          <w:tcPr>
            <w:tcW w:w="1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700" w:type="dxa"/>
            <w:vAlign w:val="bottom"/>
            <w:tcBorders>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tcPr>
          <w:p>
            <w:pPr>
              <w:ind w:left="120"/>
              <w:spacing w:after="0" w:line="133" w:lineRule="exact"/>
              <w:rPr>
                <w:sz w:val="20"/>
                <w:szCs w:val="20"/>
                <w:color w:val="auto"/>
              </w:rPr>
            </w:pPr>
            <w:r>
              <w:rPr>
                <w:rFonts w:ascii="Arial" w:cs="Arial" w:eastAsia="Arial" w:hAnsi="Arial"/>
                <w:sz w:val="12"/>
                <w:szCs w:val="12"/>
                <w:color w:val="auto"/>
              </w:rPr>
              <w:t>Y</w:t>
            </w:r>
          </w:p>
        </w:tc>
        <w:tc>
          <w:tcPr>
            <w:tcW w:w="0" w:type="dxa"/>
            <w:vAlign w:val="bottom"/>
          </w:tcPr>
          <w:p>
            <w:pPr>
              <w:spacing w:after="0"/>
              <w:rPr>
                <w:sz w:val="1"/>
                <w:szCs w:val="1"/>
                <w:color w:val="auto"/>
              </w:rPr>
            </w:pPr>
          </w:p>
        </w:tc>
      </w:tr>
      <w:tr>
        <w:trPr>
          <w:trHeight w:val="133"/>
        </w:trPr>
        <w:tc>
          <w:tcPr>
            <w:tcW w:w="3740" w:type="dxa"/>
            <w:vAlign w:val="bottom"/>
          </w:tcPr>
          <w:p>
            <w:pPr>
              <w:ind w:left="420"/>
              <w:spacing w:after="0" w:line="120" w:lineRule="exact"/>
              <w:rPr>
                <w:sz w:val="20"/>
                <w:szCs w:val="20"/>
                <w:color w:val="auto"/>
              </w:rPr>
            </w:pPr>
            <w:r>
              <w:rPr>
                <w:rFonts w:ascii="Arial" w:cs="Arial" w:eastAsia="Arial" w:hAnsi="Arial"/>
                <w:sz w:val="11"/>
                <w:szCs w:val="11"/>
                <w:color w:val="auto"/>
              </w:rPr>
              <w:t>-  Summary source document of inventory by category</w:t>
            </w:r>
          </w:p>
        </w:tc>
        <w:tc>
          <w:tcPr>
            <w:tcW w:w="1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700" w:type="dxa"/>
            <w:vAlign w:val="bottom"/>
            <w:tcBorders>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tcPr>
          <w:p>
            <w:pPr>
              <w:ind w:left="120"/>
              <w:spacing w:after="0" w:line="133" w:lineRule="exact"/>
              <w:rPr>
                <w:sz w:val="20"/>
                <w:szCs w:val="20"/>
                <w:color w:val="auto"/>
              </w:rPr>
            </w:pPr>
            <w:r>
              <w:rPr>
                <w:rFonts w:ascii="Arial" w:cs="Arial" w:eastAsia="Arial" w:hAnsi="Arial"/>
                <w:sz w:val="12"/>
                <w:szCs w:val="12"/>
                <w:color w:val="auto"/>
              </w:rPr>
              <w:t>Y</w:t>
            </w:r>
          </w:p>
        </w:tc>
        <w:tc>
          <w:tcPr>
            <w:tcW w:w="0" w:type="dxa"/>
            <w:vAlign w:val="bottom"/>
          </w:tcPr>
          <w:p>
            <w:pPr>
              <w:spacing w:after="0"/>
              <w:rPr>
                <w:sz w:val="1"/>
                <w:szCs w:val="1"/>
                <w:color w:val="auto"/>
              </w:rPr>
            </w:pPr>
          </w:p>
        </w:tc>
      </w:tr>
      <w:tr>
        <w:trPr>
          <w:trHeight w:val="133"/>
        </w:trPr>
        <w:tc>
          <w:tcPr>
            <w:tcW w:w="3740" w:type="dxa"/>
            <w:vAlign w:val="bottom"/>
          </w:tcPr>
          <w:p>
            <w:pPr>
              <w:ind w:left="420"/>
              <w:spacing w:after="0" w:line="120" w:lineRule="exact"/>
              <w:rPr>
                <w:sz w:val="20"/>
                <w:szCs w:val="20"/>
                <w:color w:val="auto"/>
              </w:rPr>
            </w:pPr>
            <w:r>
              <w:rPr>
                <w:rFonts w:ascii="Arial" w:cs="Arial" w:eastAsia="Arial" w:hAnsi="Arial"/>
                <w:sz w:val="11"/>
                <w:szCs w:val="11"/>
                <w:color w:val="auto"/>
              </w:rPr>
              <w:t>-  Summary source document of in-transit inventory</w:t>
            </w:r>
          </w:p>
        </w:tc>
        <w:tc>
          <w:tcPr>
            <w:tcW w:w="1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700" w:type="dxa"/>
            <w:vAlign w:val="bottom"/>
            <w:tcBorders>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tcPr>
          <w:p>
            <w:pPr>
              <w:ind w:left="120"/>
              <w:spacing w:after="0" w:line="133" w:lineRule="exact"/>
              <w:rPr>
                <w:sz w:val="20"/>
                <w:szCs w:val="20"/>
                <w:color w:val="auto"/>
              </w:rPr>
            </w:pPr>
            <w:r>
              <w:rPr>
                <w:rFonts w:ascii="Arial" w:cs="Arial" w:eastAsia="Arial" w:hAnsi="Arial"/>
                <w:sz w:val="12"/>
                <w:szCs w:val="12"/>
                <w:color w:val="auto"/>
              </w:rPr>
              <w:t>Y</w:t>
            </w:r>
          </w:p>
        </w:tc>
        <w:tc>
          <w:tcPr>
            <w:tcW w:w="0" w:type="dxa"/>
            <w:vAlign w:val="bottom"/>
          </w:tcPr>
          <w:p>
            <w:pPr>
              <w:spacing w:after="0"/>
              <w:rPr>
                <w:sz w:val="1"/>
                <w:szCs w:val="1"/>
                <w:color w:val="auto"/>
              </w:rPr>
            </w:pPr>
          </w:p>
        </w:tc>
      </w:tr>
      <w:tr>
        <w:trPr>
          <w:trHeight w:val="133"/>
        </w:trPr>
        <w:tc>
          <w:tcPr>
            <w:tcW w:w="3740" w:type="dxa"/>
            <w:vAlign w:val="bottom"/>
          </w:tcPr>
          <w:p>
            <w:pPr>
              <w:ind w:left="420"/>
              <w:spacing w:after="0" w:line="120" w:lineRule="exact"/>
              <w:rPr>
                <w:sz w:val="20"/>
                <w:szCs w:val="20"/>
                <w:color w:val="auto"/>
              </w:rPr>
            </w:pPr>
            <w:r>
              <w:rPr>
                <w:rFonts w:ascii="Arial" w:cs="Arial" w:eastAsia="Arial" w:hAnsi="Arial"/>
                <w:sz w:val="11"/>
                <w:szCs w:val="11"/>
                <w:color w:val="auto"/>
              </w:rPr>
              <w:t>-  Summary source document of inventory ineligibles</w:t>
            </w:r>
          </w:p>
        </w:tc>
        <w:tc>
          <w:tcPr>
            <w:tcW w:w="1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700" w:type="dxa"/>
            <w:vAlign w:val="bottom"/>
            <w:tcBorders>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tcPr>
          <w:p>
            <w:pPr>
              <w:ind w:left="120"/>
              <w:spacing w:after="0" w:line="133" w:lineRule="exact"/>
              <w:rPr>
                <w:sz w:val="20"/>
                <w:szCs w:val="20"/>
                <w:color w:val="auto"/>
              </w:rPr>
            </w:pPr>
            <w:r>
              <w:rPr>
                <w:rFonts w:ascii="Arial" w:cs="Arial" w:eastAsia="Arial" w:hAnsi="Arial"/>
                <w:sz w:val="12"/>
                <w:szCs w:val="12"/>
                <w:color w:val="auto"/>
              </w:rPr>
              <w:t>Y</w:t>
            </w:r>
          </w:p>
        </w:tc>
        <w:tc>
          <w:tcPr>
            <w:tcW w:w="0" w:type="dxa"/>
            <w:vAlign w:val="bottom"/>
          </w:tcPr>
          <w:p>
            <w:pPr>
              <w:spacing w:after="0"/>
              <w:rPr>
                <w:sz w:val="1"/>
                <w:szCs w:val="1"/>
                <w:color w:val="auto"/>
              </w:rPr>
            </w:pPr>
          </w:p>
        </w:tc>
      </w:tr>
      <w:tr>
        <w:trPr>
          <w:trHeight w:val="133"/>
        </w:trPr>
        <w:tc>
          <w:tcPr>
            <w:tcW w:w="3740" w:type="dxa"/>
            <w:vAlign w:val="bottom"/>
          </w:tcPr>
          <w:p>
            <w:pPr>
              <w:ind w:left="420"/>
              <w:spacing w:after="0" w:line="120" w:lineRule="exact"/>
              <w:rPr>
                <w:sz w:val="20"/>
                <w:szCs w:val="20"/>
                <w:color w:val="auto"/>
              </w:rPr>
            </w:pPr>
            <w:r>
              <w:rPr>
                <w:rFonts w:ascii="Arial" w:cs="Arial" w:eastAsia="Arial" w:hAnsi="Arial"/>
                <w:sz w:val="11"/>
                <w:szCs w:val="11"/>
                <w:color w:val="auto"/>
              </w:rPr>
              <w:t>-  Summary source document of credit card receivables</w:t>
            </w:r>
          </w:p>
        </w:tc>
        <w:tc>
          <w:tcPr>
            <w:tcW w:w="1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700" w:type="dxa"/>
            <w:vAlign w:val="bottom"/>
            <w:tcBorders>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tcPr>
          <w:p>
            <w:pPr>
              <w:ind w:left="120"/>
              <w:spacing w:after="0" w:line="133" w:lineRule="exact"/>
              <w:rPr>
                <w:sz w:val="20"/>
                <w:szCs w:val="20"/>
                <w:color w:val="auto"/>
              </w:rPr>
            </w:pPr>
            <w:r>
              <w:rPr>
                <w:rFonts w:ascii="Arial" w:cs="Arial" w:eastAsia="Arial" w:hAnsi="Arial"/>
                <w:sz w:val="12"/>
                <w:szCs w:val="12"/>
                <w:color w:val="auto"/>
              </w:rPr>
              <w:t>Y</w:t>
            </w:r>
          </w:p>
        </w:tc>
        <w:tc>
          <w:tcPr>
            <w:tcW w:w="0" w:type="dxa"/>
            <w:vAlign w:val="bottom"/>
          </w:tcPr>
          <w:p>
            <w:pPr>
              <w:spacing w:after="0"/>
              <w:rPr>
                <w:sz w:val="1"/>
                <w:szCs w:val="1"/>
                <w:color w:val="auto"/>
              </w:rPr>
            </w:pPr>
          </w:p>
        </w:tc>
      </w:tr>
      <w:tr>
        <w:trPr>
          <w:trHeight w:val="133"/>
        </w:trPr>
        <w:tc>
          <w:tcPr>
            <w:tcW w:w="3740" w:type="dxa"/>
            <w:vAlign w:val="bottom"/>
          </w:tcPr>
          <w:p>
            <w:pPr>
              <w:ind w:left="420"/>
              <w:spacing w:after="0" w:line="120" w:lineRule="exact"/>
              <w:rPr>
                <w:sz w:val="20"/>
                <w:szCs w:val="20"/>
                <w:color w:val="auto"/>
              </w:rPr>
            </w:pPr>
            <w:r>
              <w:rPr>
                <w:rFonts w:ascii="Arial" w:cs="Arial" w:eastAsia="Arial" w:hAnsi="Arial"/>
                <w:sz w:val="11"/>
                <w:szCs w:val="11"/>
                <w:color w:val="auto"/>
              </w:rPr>
              <w:t>-  Summary source document of credit card receivables ineligibles</w:t>
            </w:r>
          </w:p>
        </w:tc>
        <w:tc>
          <w:tcPr>
            <w:tcW w:w="1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700" w:type="dxa"/>
            <w:vAlign w:val="bottom"/>
            <w:tcBorders>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tcPr>
          <w:p>
            <w:pPr>
              <w:ind w:left="120"/>
              <w:spacing w:after="0" w:line="133" w:lineRule="exact"/>
              <w:rPr>
                <w:sz w:val="20"/>
                <w:szCs w:val="20"/>
                <w:color w:val="auto"/>
              </w:rPr>
            </w:pPr>
            <w:r>
              <w:rPr>
                <w:rFonts w:ascii="Arial" w:cs="Arial" w:eastAsia="Arial" w:hAnsi="Arial"/>
                <w:sz w:val="12"/>
                <w:szCs w:val="12"/>
                <w:color w:val="auto"/>
              </w:rPr>
              <w:t>Y</w:t>
            </w:r>
          </w:p>
        </w:tc>
        <w:tc>
          <w:tcPr>
            <w:tcW w:w="0" w:type="dxa"/>
            <w:vAlign w:val="bottom"/>
          </w:tcPr>
          <w:p>
            <w:pPr>
              <w:spacing w:after="0"/>
              <w:rPr>
                <w:sz w:val="1"/>
                <w:szCs w:val="1"/>
                <w:color w:val="auto"/>
              </w:rPr>
            </w:pPr>
          </w:p>
        </w:tc>
      </w:tr>
      <w:tr>
        <w:trPr>
          <w:trHeight w:val="133"/>
        </w:trPr>
        <w:tc>
          <w:tcPr>
            <w:tcW w:w="3740" w:type="dxa"/>
            <w:vAlign w:val="bottom"/>
          </w:tcPr>
          <w:p>
            <w:pPr>
              <w:ind w:left="420"/>
              <w:spacing w:after="0" w:line="120" w:lineRule="exact"/>
              <w:rPr>
                <w:sz w:val="20"/>
                <w:szCs w:val="20"/>
                <w:color w:val="auto"/>
              </w:rPr>
            </w:pPr>
            <w:r>
              <w:rPr>
                <w:rFonts w:ascii="Arial" w:cs="Arial" w:eastAsia="Arial" w:hAnsi="Arial"/>
                <w:sz w:val="11"/>
                <w:szCs w:val="11"/>
                <w:color w:val="auto"/>
              </w:rPr>
              <w:t>-  Summary source document of trade names ineligibles</w:t>
            </w:r>
          </w:p>
        </w:tc>
        <w:tc>
          <w:tcPr>
            <w:tcW w:w="1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700" w:type="dxa"/>
            <w:vAlign w:val="bottom"/>
            <w:tcBorders>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tcPr>
          <w:p>
            <w:pPr>
              <w:ind w:left="120"/>
              <w:spacing w:after="0" w:line="133" w:lineRule="exact"/>
              <w:rPr>
                <w:sz w:val="20"/>
                <w:szCs w:val="20"/>
                <w:color w:val="auto"/>
              </w:rPr>
            </w:pPr>
            <w:r>
              <w:rPr>
                <w:rFonts w:ascii="Arial" w:cs="Arial" w:eastAsia="Arial" w:hAnsi="Arial"/>
                <w:sz w:val="12"/>
                <w:szCs w:val="12"/>
                <w:color w:val="auto"/>
              </w:rPr>
              <w:t>Y</w:t>
            </w:r>
          </w:p>
        </w:tc>
        <w:tc>
          <w:tcPr>
            <w:tcW w:w="0" w:type="dxa"/>
            <w:vAlign w:val="bottom"/>
          </w:tcPr>
          <w:p>
            <w:pPr>
              <w:spacing w:after="0"/>
              <w:rPr>
                <w:sz w:val="1"/>
                <w:szCs w:val="1"/>
                <w:color w:val="auto"/>
              </w:rPr>
            </w:pPr>
          </w:p>
        </w:tc>
      </w:tr>
      <w:tr>
        <w:trPr>
          <w:trHeight w:val="133"/>
        </w:trPr>
        <w:tc>
          <w:tcPr>
            <w:tcW w:w="3740" w:type="dxa"/>
            <w:vAlign w:val="bottom"/>
          </w:tcPr>
          <w:p>
            <w:pPr>
              <w:ind w:left="420"/>
              <w:spacing w:after="0" w:line="120" w:lineRule="exact"/>
              <w:rPr>
                <w:sz w:val="20"/>
                <w:szCs w:val="20"/>
                <w:color w:val="auto"/>
              </w:rPr>
            </w:pPr>
            <w:r>
              <w:rPr>
                <w:rFonts w:ascii="Arial" w:cs="Arial" w:eastAsia="Arial" w:hAnsi="Arial"/>
                <w:sz w:val="11"/>
                <w:szCs w:val="11"/>
                <w:color w:val="auto"/>
              </w:rPr>
              <w:t>-  Summary source document of availability reserves</w:t>
            </w:r>
          </w:p>
        </w:tc>
        <w:tc>
          <w:tcPr>
            <w:tcW w:w="1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700" w:type="dxa"/>
            <w:vAlign w:val="bottom"/>
            <w:tcBorders>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tcPr>
          <w:p>
            <w:pPr>
              <w:ind w:left="120"/>
              <w:spacing w:after="0" w:line="133" w:lineRule="exact"/>
              <w:rPr>
                <w:sz w:val="20"/>
                <w:szCs w:val="20"/>
                <w:color w:val="auto"/>
              </w:rPr>
            </w:pPr>
            <w:r>
              <w:rPr>
                <w:rFonts w:ascii="Arial" w:cs="Arial" w:eastAsia="Arial" w:hAnsi="Arial"/>
                <w:sz w:val="12"/>
                <w:szCs w:val="12"/>
                <w:color w:val="auto"/>
              </w:rPr>
              <w:t>Y</w:t>
            </w:r>
          </w:p>
        </w:tc>
        <w:tc>
          <w:tcPr>
            <w:tcW w:w="0" w:type="dxa"/>
            <w:vAlign w:val="bottom"/>
          </w:tcPr>
          <w:p>
            <w:pPr>
              <w:spacing w:after="0"/>
              <w:rPr>
                <w:sz w:val="1"/>
                <w:szCs w:val="1"/>
                <w:color w:val="auto"/>
              </w:rPr>
            </w:pPr>
          </w:p>
        </w:tc>
      </w:tr>
      <w:tr>
        <w:trPr>
          <w:trHeight w:val="133"/>
        </w:trPr>
        <w:tc>
          <w:tcPr>
            <w:tcW w:w="37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700" w:type="dxa"/>
            <w:vAlign w:val="bottom"/>
            <w:tcBorders>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tcPr>
          <w:p>
            <w:pPr>
              <w:ind w:left="120"/>
              <w:spacing w:after="0" w:line="133" w:lineRule="exact"/>
              <w:rPr>
                <w:sz w:val="20"/>
                <w:szCs w:val="20"/>
                <w:color w:val="auto"/>
              </w:rPr>
            </w:pPr>
            <w:r>
              <w:rPr>
                <w:rFonts w:ascii="Arial" w:cs="Arial" w:eastAsia="Arial" w:hAnsi="Arial"/>
                <w:sz w:val="12"/>
                <w:szCs w:val="12"/>
                <w:color w:val="auto"/>
              </w:rPr>
              <w:t>Y</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208" w:hanging="208"/>
        <w:spacing w:after="0"/>
        <w:tabs>
          <w:tab w:leader="none" w:pos="208" w:val="left"/>
        </w:tabs>
        <w:numPr>
          <w:ilvl w:val="0"/>
          <w:numId w:val="200"/>
        </w:numPr>
        <w:rPr>
          <w:rFonts w:ascii="Arial" w:cs="Arial" w:eastAsia="Arial" w:hAnsi="Arial"/>
          <w:sz w:val="11"/>
          <w:szCs w:val="11"/>
          <w:b w:val="1"/>
          <w:bCs w:val="1"/>
          <w:color w:val="auto"/>
        </w:rPr>
      </w:pPr>
      <w:r>
        <w:rPr>
          <w:rFonts w:ascii="Arial" w:cs="Arial" w:eastAsia="Arial" w:hAnsi="Arial"/>
          <w:sz w:val="11"/>
          <w:szCs w:val="11"/>
          <w:b w:val="1"/>
          <w:bCs w:val="1"/>
          <w:color w:val="auto"/>
        </w:rPr>
        <w:t>Within 30 days after the end of Fiscal Month (or as soon as available)</w:t>
      </w:r>
    </w:p>
    <w:p>
      <w:pPr>
        <w:spacing w:after="0" w:line="21" w:lineRule="exact"/>
        <w:rPr>
          <w:rFonts w:ascii="Arial" w:cs="Arial" w:eastAsia="Arial" w:hAnsi="Arial"/>
          <w:sz w:val="11"/>
          <w:szCs w:val="11"/>
          <w:b w:val="1"/>
          <w:bCs w:val="1"/>
          <w:color w:val="auto"/>
        </w:rPr>
      </w:pPr>
    </w:p>
    <w:p>
      <w:pPr>
        <w:ind w:left="408" w:hanging="192"/>
        <w:spacing w:after="0"/>
        <w:tabs>
          <w:tab w:leader="none" w:pos="408" w:val="left"/>
        </w:tabs>
        <w:numPr>
          <w:ilvl w:val="1"/>
          <w:numId w:val="200"/>
        </w:numPr>
        <w:rPr>
          <w:rFonts w:ascii="Arial" w:cs="Arial" w:eastAsia="Arial" w:hAnsi="Arial"/>
          <w:sz w:val="11"/>
          <w:szCs w:val="11"/>
          <w:color w:val="auto"/>
        </w:rPr>
      </w:pPr>
      <w:r>
        <w:rPr>
          <w:rFonts w:ascii="Arial" w:cs="Arial" w:eastAsia="Arial" w:hAnsi="Arial"/>
          <w:sz w:val="11"/>
          <w:szCs w:val="11"/>
          <w:color w:val="auto"/>
        </w:rPr>
        <w:t>Financial statements including:</w:t>
      </w:r>
    </w:p>
    <w:p>
      <w:pPr>
        <w:spacing w:after="0" w:line="10" w:lineRule="exact"/>
        <w:rPr>
          <w:sz w:val="20"/>
          <w:szCs w:val="20"/>
          <w:color w:val="auto"/>
        </w:rPr>
      </w:pPr>
    </w:p>
    <w:tbl>
      <w:tblPr>
        <w:tblLayout w:type="fixed"/>
        <w:tblInd w:w="208" w:type="dxa"/>
        <w:tblCellMar>
          <w:top w:w="0" w:type="dxa"/>
          <w:left w:w="0" w:type="dxa"/>
          <w:bottom w:w="0" w:type="dxa"/>
          <w:right w:w="0" w:type="dxa"/>
        </w:tblCellMar>
      </w:tblPr>
      <w:tr>
        <w:trPr>
          <w:trHeight w:val="146"/>
        </w:trPr>
        <w:tc>
          <w:tcPr>
            <w:tcW w:w="9660" w:type="dxa"/>
            <w:vAlign w:val="bottom"/>
            <w:tcBorders>
              <w:right w:val="single" w:sz="8" w:color="auto"/>
            </w:tcBorders>
            <w:gridSpan w:val="2"/>
          </w:tcPr>
          <w:p>
            <w:pPr>
              <w:ind w:left="220"/>
              <w:spacing w:after="0"/>
              <w:rPr>
                <w:sz w:val="20"/>
                <w:szCs w:val="20"/>
                <w:color w:val="auto"/>
              </w:rPr>
            </w:pPr>
            <w:r>
              <w:rPr>
                <w:rFonts w:ascii="Arial" w:cs="Arial" w:eastAsia="Arial" w:hAnsi="Arial"/>
                <w:sz w:val="11"/>
                <w:szCs w:val="11"/>
                <w:color w:val="auto"/>
              </w:rPr>
              <w:t>-  Consolidated Balance Sheets of Lead Borrower and its Subsidiaries</w:t>
            </w:r>
          </w:p>
        </w:tc>
        <w:tc>
          <w:tcPr>
            <w:tcW w:w="164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2"/>
                <w:szCs w:val="12"/>
                <w:color w:val="auto"/>
              </w:rPr>
              <w:t>Y</w:t>
            </w:r>
          </w:p>
        </w:tc>
      </w:tr>
      <w:tr>
        <w:trPr>
          <w:trHeight w:val="133"/>
        </w:trPr>
        <w:tc>
          <w:tcPr>
            <w:tcW w:w="320" w:type="dxa"/>
            <w:vAlign w:val="bottom"/>
          </w:tcPr>
          <w:p>
            <w:pPr>
              <w:ind w:left="220"/>
              <w:spacing w:after="0" w:line="120" w:lineRule="exact"/>
              <w:rPr>
                <w:sz w:val="20"/>
                <w:szCs w:val="20"/>
                <w:color w:val="auto"/>
              </w:rPr>
            </w:pPr>
            <w:r>
              <w:rPr>
                <w:rFonts w:ascii="Arial" w:cs="Arial" w:eastAsia="Arial" w:hAnsi="Arial"/>
                <w:sz w:val="11"/>
                <w:szCs w:val="11"/>
                <w:color w:val="auto"/>
              </w:rPr>
              <w:t>-</w:t>
            </w:r>
          </w:p>
        </w:tc>
        <w:tc>
          <w:tcPr>
            <w:tcW w:w="9340" w:type="dxa"/>
            <w:vAlign w:val="bottom"/>
            <w:tcBorders>
              <w:right w:val="single" w:sz="8" w:color="auto"/>
            </w:tcBorders>
          </w:tcPr>
          <w:p>
            <w:pPr>
              <w:ind w:left="40"/>
              <w:spacing w:after="0" w:line="120" w:lineRule="exact"/>
              <w:rPr>
                <w:sz w:val="20"/>
                <w:szCs w:val="20"/>
                <w:color w:val="auto"/>
              </w:rPr>
            </w:pPr>
            <w:r>
              <w:rPr>
                <w:rFonts w:ascii="Arial" w:cs="Arial" w:eastAsia="Arial" w:hAnsi="Arial"/>
                <w:sz w:val="11"/>
                <w:szCs w:val="11"/>
                <w:color w:val="auto"/>
              </w:rPr>
              <w:t>Consolidated Statements of Income or Operations of Lead Borrower and its Subsidiaries</w:t>
            </w:r>
          </w:p>
        </w:tc>
        <w:tc>
          <w:tcPr>
            <w:tcW w:w="1640" w:type="dxa"/>
            <w:vAlign w:val="bottom"/>
            <w:tcBorders>
              <w:bottom w:val="single" w:sz="8" w:color="auto"/>
              <w:right w:val="single" w:sz="8" w:color="auto"/>
            </w:tcBorders>
          </w:tcPr>
          <w:p>
            <w:pPr>
              <w:ind w:left="120"/>
              <w:spacing w:after="0" w:line="133" w:lineRule="exact"/>
              <w:rPr>
                <w:sz w:val="20"/>
                <w:szCs w:val="20"/>
                <w:color w:val="auto"/>
              </w:rPr>
            </w:pPr>
            <w:r>
              <w:rPr>
                <w:rFonts w:ascii="Arial" w:cs="Arial" w:eastAsia="Arial" w:hAnsi="Arial"/>
                <w:sz w:val="12"/>
                <w:szCs w:val="12"/>
                <w:color w:val="auto"/>
              </w:rPr>
              <w:t>Y</w:t>
            </w:r>
          </w:p>
        </w:tc>
      </w:tr>
      <w:tr>
        <w:trPr>
          <w:trHeight w:val="133"/>
        </w:trPr>
        <w:tc>
          <w:tcPr>
            <w:tcW w:w="320" w:type="dxa"/>
            <w:vAlign w:val="bottom"/>
          </w:tcPr>
          <w:p>
            <w:pPr>
              <w:ind w:left="220"/>
              <w:spacing w:after="0" w:line="120" w:lineRule="exact"/>
              <w:rPr>
                <w:sz w:val="20"/>
                <w:szCs w:val="20"/>
                <w:color w:val="auto"/>
              </w:rPr>
            </w:pPr>
            <w:r>
              <w:rPr>
                <w:rFonts w:ascii="Arial" w:cs="Arial" w:eastAsia="Arial" w:hAnsi="Arial"/>
                <w:sz w:val="11"/>
                <w:szCs w:val="11"/>
                <w:color w:val="auto"/>
              </w:rPr>
              <w:t>-</w:t>
            </w:r>
          </w:p>
        </w:tc>
        <w:tc>
          <w:tcPr>
            <w:tcW w:w="9340" w:type="dxa"/>
            <w:vAlign w:val="bottom"/>
            <w:tcBorders>
              <w:right w:val="single" w:sz="8" w:color="auto"/>
            </w:tcBorders>
          </w:tcPr>
          <w:p>
            <w:pPr>
              <w:ind w:left="40"/>
              <w:spacing w:after="0" w:line="120" w:lineRule="exact"/>
              <w:rPr>
                <w:sz w:val="20"/>
                <w:szCs w:val="20"/>
                <w:color w:val="auto"/>
              </w:rPr>
            </w:pPr>
            <w:r>
              <w:rPr>
                <w:rFonts w:ascii="Arial" w:cs="Arial" w:eastAsia="Arial" w:hAnsi="Arial"/>
                <w:sz w:val="11"/>
                <w:szCs w:val="11"/>
                <w:color w:val="auto"/>
              </w:rPr>
              <w:t>Consolidated Cash Flows of Lead Borrower and its Subsidiaries</w:t>
            </w:r>
          </w:p>
        </w:tc>
        <w:tc>
          <w:tcPr>
            <w:tcW w:w="1640" w:type="dxa"/>
            <w:vAlign w:val="bottom"/>
            <w:tcBorders>
              <w:bottom w:val="single" w:sz="8" w:color="auto"/>
              <w:right w:val="single" w:sz="8" w:color="auto"/>
            </w:tcBorders>
          </w:tcPr>
          <w:p>
            <w:pPr>
              <w:ind w:left="120"/>
              <w:spacing w:after="0" w:line="133" w:lineRule="exact"/>
              <w:rPr>
                <w:sz w:val="20"/>
                <w:szCs w:val="20"/>
                <w:color w:val="auto"/>
              </w:rPr>
            </w:pPr>
            <w:r>
              <w:rPr>
                <w:rFonts w:ascii="Arial" w:cs="Arial" w:eastAsia="Arial" w:hAnsi="Arial"/>
                <w:sz w:val="12"/>
                <w:szCs w:val="12"/>
                <w:color w:val="auto"/>
              </w:rPr>
              <w:t>Y</w:t>
            </w:r>
          </w:p>
        </w:tc>
      </w:tr>
      <w:tr>
        <w:trPr>
          <w:trHeight w:val="133"/>
        </w:trPr>
        <w:tc>
          <w:tcPr>
            <w:tcW w:w="9660" w:type="dxa"/>
            <w:vAlign w:val="bottom"/>
            <w:tcBorders>
              <w:right w:val="single" w:sz="8" w:color="auto"/>
            </w:tcBorders>
            <w:gridSpan w:val="2"/>
          </w:tcPr>
          <w:p>
            <w:pPr>
              <w:spacing w:after="0" w:line="120" w:lineRule="exact"/>
              <w:rPr>
                <w:sz w:val="20"/>
                <w:szCs w:val="20"/>
                <w:color w:val="auto"/>
              </w:rPr>
            </w:pPr>
            <w:r>
              <w:rPr>
                <w:rFonts w:ascii="Arial" w:cs="Arial" w:eastAsia="Arial" w:hAnsi="Arial"/>
                <w:sz w:val="11"/>
                <w:szCs w:val="11"/>
                <w:color w:val="auto"/>
              </w:rPr>
              <w:t>2.Compliance Certificate</w:t>
            </w:r>
          </w:p>
        </w:tc>
        <w:tc>
          <w:tcPr>
            <w:tcW w:w="1640" w:type="dxa"/>
            <w:vAlign w:val="bottom"/>
            <w:tcBorders>
              <w:bottom w:val="single" w:sz="8" w:color="auto"/>
              <w:right w:val="single" w:sz="8" w:color="auto"/>
            </w:tcBorders>
          </w:tcPr>
          <w:p>
            <w:pPr>
              <w:ind w:left="120"/>
              <w:spacing w:after="0" w:line="133" w:lineRule="exact"/>
              <w:rPr>
                <w:sz w:val="20"/>
                <w:szCs w:val="20"/>
                <w:color w:val="auto"/>
              </w:rPr>
            </w:pPr>
            <w:r>
              <w:rPr>
                <w:rFonts w:ascii="Arial" w:cs="Arial" w:eastAsia="Arial" w:hAnsi="Arial"/>
                <w:sz w:val="12"/>
                <w:szCs w:val="12"/>
                <w:color w:val="auto"/>
              </w:rPr>
              <w:t>Y</w:t>
            </w:r>
          </w:p>
        </w:tc>
      </w:tr>
    </w:tbl>
    <w:p>
      <w:pPr>
        <w:spacing w:after="0" w:line="135" w:lineRule="exact"/>
        <w:rPr>
          <w:sz w:val="20"/>
          <w:szCs w:val="20"/>
          <w:color w:val="auto"/>
        </w:rPr>
      </w:pPr>
    </w:p>
    <w:p>
      <w:pPr>
        <w:ind w:left="208" w:hanging="208"/>
        <w:spacing w:after="0"/>
        <w:tabs>
          <w:tab w:leader="none" w:pos="208" w:val="left"/>
        </w:tabs>
        <w:numPr>
          <w:ilvl w:val="0"/>
          <w:numId w:val="201"/>
        </w:numPr>
        <w:rPr>
          <w:rFonts w:ascii="Arial" w:cs="Arial" w:eastAsia="Arial" w:hAnsi="Arial"/>
          <w:sz w:val="11"/>
          <w:szCs w:val="11"/>
          <w:b w:val="1"/>
          <w:bCs w:val="1"/>
          <w:color w:val="auto"/>
        </w:rPr>
      </w:pPr>
      <w:r>
        <w:rPr>
          <w:rFonts w:ascii="Arial" w:cs="Arial" w:eastAsia="Arial" w:hAnsi="Arial"/>
          <w:sz w:val="11"/>
          <w:szCs w:val="11"/>
          <w:b w:val="1"/>
          <w:bCs w:val="1"/>
          <w:color w:val="auto"/>
        </w:rPr>
        <w:t>Within 50 days after the end of Fiscal Quarter</w:t>
      </w:r>
    </w:p>
    <w:p>
      <w:pPr>
        <w:spacing w:after="0" w:line="21" w:lineRule="exact"/>
        <w:rPr>
          <w:rFonts w:ascii="Arial" w:cs="Arial" w:eastAsia="Arial" w:hAnsi="Arial"/>
          <w:sz w:val="11"/>
          <w:szCs w:val="11"/>
          <w:b w:val="1"/>
          <w:bCs w:val="1"/>
          <w:color w:val="auto"/>
        </w:rPr>
      </w:pPr>
    </w:p>
    <w:p>
      <w:pPr>
        <w:ind w:left="408" w:hanging="192"/>
        <w:spacing w:after="0"/>
        <w:tabs>
          <w:tab w:leader="none" w:pos="408" w:val="left"/>
        </w:tabs>
        <w:numPr>
          <w:ilvl w:val="1"/>
          <w:numId w:val="201"/>
        </w:numPr>
        <w:rPr>
          <w:rFonts w:ascii="Arial" w:cs="Arial" w:eastAsia="Arial" w:hAnsi="Arial"/>
          <w:sz w:val="11"/>
          <w:szCs w:val="11"/>
          <w:color w:val="auto"/>
        </w:rPr>
      </w:pPr>
      <w:r>
        <w:rPr>
          <w:rFonts w:ascii="Arial" w:cs="Arial" w:eastAsia="Arial" w:hAnsi="Arial"/>
          <w:sz w:val="11"/>
          <w:szCs w:val="11"/>
          <w:color w:val="auto"/>
        </w:rPr>
        <w:t>Financial statements including:</w:t>
      </w:r>
    </w:p>
    <w:p>
      <w:pPr>
        <w:spacing w:after="0" w:line="10" w:lineRule="exact"/>
        <w:rPr>
          <w:sz w:val="20"/>
          <w:szCs w:val="20"/>
          <w:color w:val="auto"/>
        </w:rPr>
      </w:pPr>
    </w:p>
    <w:tbl>
      <w:tblPr>
        <w:tblLayout w:type="fixed"/>
        <w:tblInd w:w="208" w:type="dxa"/>
        <w:tblCellMar>
          <w:top w:w="0" w:type="dxa"/>
          <w:left w:w="0" w:type="dxa"/>
          <w:bottom w:w="0" w:type="dxa"/>
          <w:right w:w="0" w:type="dxa"/>
        </w:tblCellMar>
      </w:tblPr>
      <w:tr>
        <w:trPr>
          <w:trHeight w:val="146"/>
        </w:trPr>
        <w:tc>
          <w:tcPr>
            <w:tcW w:w="9660" w:type="dxa"/>
            <w:vAlign w:val="bottom"/>
            <w:tcBorders>
              <w:right w:val="single" w:sz="8" w:color="auto"/>
            </w:tcBorders>
            <w:gridSpan w:val="2"/>
          </w:tcPr>
          <w:p>
            <w:pPr>
              <w:ind w:left="220"/>
              <w:spacing w:after="0"/>
              <w:rPr>
                <w:sz w:val="20"/>
                <w:szCs w:val="20"/>
                <w:color w:val="auto"/>
              </w:rPr>
            </w:pPr>
            <w:r>
              <w:rPr>
                <w:rFonts w:ascii="Arial" w:cs="Arial" w:eastAsia="Arial" w:hAnsi="Arial"/>
                <w:sz w:val="11"/>
                <w:szCs w:val="11"/>
                <w:color w:val="auto"/>
              </w:rPr>
              <w:t>-  Consolidated Balance Sheets of Lead Borrower and its Subsidiaries</w:t>
            </w:r>
          </w:p>
        </w:tc>
        <w:tc>
          <w:tcPr>
            <w:tcW w:w="164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2"/>
                <w:szCs w:val="12"/>
                <w:color w:val="auto"/>
              </w:rPr>
              <w:t>Y</w:t>
            </w:r>
          </w:p>
        </w:tc>
      </w:tr>
      <w:tr>
        <w:trPr>
          <w:trHeight w:val="133"/>
        </w:trPr>
        <w:tc>
          <w:tcPr>
            <w:tcW w:w="320" w:type="dxa"/>
            <w:vAlign w:val="bottom"/>
          </w:tcPr>
          <w:p>
            <w:pPr>
              <w:ind w:left="220"/>
              <w:spacing w:after="0" w:line="120" w:lineRule="exact"/>
              <w:rPr>
                <w:sz w:val="20"/>
                <w:szCs w:val="20"/>
                <w:color w:val="auto"/>
              </w:rPr>
            </w:pPr>
            <w:r>
              <w:rPr>
                <w:rFonts w:ascii="Arial" w:cs="Arial" w:eastAsia="Arial" w:hAnsi="Arial"/>
                <w:sz w:val="11"/>
                <w:szCs w:val="11"/>
                <w:color w:val="auto"/>
              </w:rPr>
              <w:t>-</w:t>
            </w:r>
          </w:p>
        </w:tc>
        <w:tc>
          <w:tcPr>
            <w:tcW w:w="9340" w:type="dxa"/>
            <w:vAlign w:val="bottom"/>
            <w:tcBorders>
              <w:right w:val="single" w:sz="8" w:color="auto"/>
            </w:tcBorders>
          </w:tcPr>
          <w:p>
            <w:pPr>
              <w:ind w:left="40"/>
              <w:spacing w:after="0" w:line="120" w:lineRule="exact"/>
              <w:rPr>
                <w:sz w:val="20"/>
                <w:szCs w:val="20"/>
                <w:color w:val="auto"/>
              </w:rPr>
            </w:pPr>
            <w:r>
              <w:rPr>
                <w:rFonts w:ascii="Arial" w:cs="Arial" w:eastAsia="Arial" w:hAnsi="Arial"/>
                <w:sz w:val="11"/>
                <w:szCs w:val="11"/>
                <w:color w:val="auto"/>
              </w:rPr>
              <w:t>Consolidated Statements of Income or Operations of Lead Borrower and its Subsidiaries</w:t>
            </w:r>
          </w:p>
        </w:tc>
        <w:tc>
          <w:tcPr>
            <w:tcW w:w="1640" w:type="dxa"/>
            <w:vAlign w:val="bottom"/>
            <w:tcBorders>
              <w:bottom w:val="single" w:sz="8" w:color="auto"/>
              <w:right w:val="single" w:sz="8" w:color="auto"/>
            </w:tcBorders>
          </w:tcPr>
          <w:p>
            <w:pPr>
              <w:ind w:left="120"/>
              <w:spacing w:after="0" w:line="133" w:lineRule="exact"/>
              <w:rPr>
                <w:sz w:val="20"/>
                <w:szCs w:val="20"/>
                <w:color w:val="auto"/>
              </w:rPr>
            </w:pPr>
            <w:r>
              <w:rPr>
                <w:rFonts w:ascii="Arial" w:cs="Arial" w:eastAsia="Arial" w:hAnsi="Arial"/>
                <w:sz w:val="12"/>
                <w:szCs w:val="12"/>
                <w:color w:val="auto"/>
              </w:rPr>
              <w:t>Y</w:t>
            </w:r>
          </w:p>
        </w:tc>
      </w:tr>
      <w:tr>
        <w:trPr>
          <w:trHeight w:val="133"/>
        </w:trPr>
        <w:tc>
          <w:tcPr>
            <w:tcW w:w="320" w:type="dxa"/>
            <w:vAlign w:val="bottom"/>
          </w:tcPr>
          <w:p>
            <w:pPr>
              <w:ind w:left="220"/>
              <w:spacing w:after="0" w:line="120" w:lineRule="exact"/>
              <w:rPr>
                <w:sz w:val="20"/>
                <w:szCs w:val="20"/>
                <w:color w:val="auto"/>
              </w:rPr>
            </w:pPr>
            <w:r>
              <w:rPr>
                <w:rFonts w:ascii="Arial" w:cs="Arial" w:eastAsia="Arial" w:hAnsi="Arial"/>
                <w:sz w:val="11"/>
                <w:szCs w:val="11"/>
                <w:color w:val="auto"/>
              </w:rPr>
              <w:t>-</w:t>
            </w:r>
          </w:p>
        </w:tc>
        <w:tc>
          <w:tcPr>
            <w:tcW w:w="9340" w:type="dxa"/>
            <w:vAlign w:val="bottom"/>
            <w:tcBorders>
              <w:right w:val="single" w:sz="8" w:color="auto"/>
            </w:tcBorders>
          </w:tcPr>
          <w:p>
            <w:pPr>
              <w:ind w:left="40"/>
              <w:spacing w:after="0" w:line="120" w:lineRule="exact"/>
              <w:rPr>
                <w:sz w:val="20"/>
                <w:szCs w:val="20"/>
                <w:color w:val="auto"/>
              </w:rPr>
            </w:pPr>
            <w:r>
              <w:rPr>
                <w:rFonts w:ascii="Arial" w:cs="Arial" w:eastAsia="Arial" w:hAnsi="Arial"/>
                <w:sz w:val="11"/>
                <w:szCs w:val="11"/>
                <w:color w:val="auto"/>
              </w:rPr>
              <w:t>Consolidated Cash Flows of Lead Borrower and its Subsidiaries</w:t>
            </w:r>
          </w:p>
        </w:tc>
        <w:tc>
          <w:tcPr>
            <w:tcW w:w="1640" w:type="dxa"/>
            <w:vAlign w:val="bottom"/>
            <w:tcBorders>
              <w:bottom w:val="single" w:sz="8" w:color="auto"/>
              <w:right w:val="single" w:sz="8" w:color="auto"/>
            </w:tcBorders>
          </w:tcPr>
          <w:p>
            <w:pPr>
              <w:ind w:left="120"/>
              <w:spacing w:after="0" w:line="133" w:lineRule="exact"/>
              <w:rPr>
                <w:sz w:val="20"/>
                <w:szCs w:val="20"/>
                <w:color w:val="auto"/>
              </w:rPr>
            </w:pPr>
            <w:r>
              <w:rPr>
                <w:rFonts w:ascii="Arial" w:cs="Arial" w:eastAsia="Arial" w:hAnsi="Arial"/>
                <w:sz w:val="12"/>
                <w:szCs w:val="12"/>
                <w:color w:val="auto"/>
              </w:rPr>
              <w:t>Y</w:t>
            </w:r>
          </w:p>
        </w:tc>
      </w:tr>
      <w:tr>
        <w:trPr>
          <w:trHeight w:val="133"/>
        </w:trPr>
        <w:tc>
          <w:tcPr>
            <w:tcW w:w="9660" w:type="dxa"/>
            <w:vAlign w:val="bottom"/>
            <w:tcBorders>
              <w:right w:val="single" w:sz="8" w:color="auto"/>
            </w:tcBorders>
            <w:gridSpan w:val="2"/>
          </w:tcPr>
          <w:p>
            <w:pPr>
              <w:spacing w:after="0" w:line="120" w:lineRule="exact"/>
              <w:rPr>
                <w:sz w:val="20"/>
                <w:szCs w:val="20"/>
                <w:color w:val="auto"/>
              </w:rPr>
            </w:pPr>
            <w:r>
              <w:rPr>
                <w:rFonts w:ascii="Arial" w:cs="Arial" w:eastAsia="Arial" w:hAnsi="Arial"/>
                <w:sz w:val="11"/>
                <w:szCs w:val="11"/>
                <w:color w:val="auto"/>
              </w:rPr>
              <w:t>2.  Compliance Certificate</w:t>
            </w:r>
          </w:p>
        </w:tc>
        <w:tc>
          <w:tcPr>
            <w:tcW w:w="1640" w:type="dxa"/>
            <w:vAlign w:val="bottom"/>
            <w:tcBorders>
              <w:bottom w:val="single" w:sz="8" w:color="auto"/>
              <w:right w:val="single" w:sz="8" w:color="auto"/>
            </w:tcBorders>
          </w:tcPr>
          <w:p>
            <w:pPr>
              <w:ind w:left="120"/>
              <w:spacing w:after="0" w:line="133" w:lineRule="exact"/>
              <w:rPr>
                <w:sz w:val="20"/>
                <w:szCs w:val="20"/>
                <w:color w:val="auto"/>
              </w:rPr>
            </w:pPr>
            <w:r>
              <w:rPr>
                <w:rFonts w:ascii="Arial" w:cs="Arial" w:eastAsia="Arial" w:hAnsi="Arial"/>
                <w:sz w:val="12"/>
                <w:szCs w:val="12"/>
                <w:color w:val="auto"/>
              </w:rPr>
              <w:t>Y</w:t>
            </w:r>
          </w:p>
        </w:tc>
      </w:tr>
    </w:tbl>
    <w:p>
      <w:pPr>
        <w:spacing w:after="0" w:line="135" w:lineRule="exact"/>
        <w:rPr>
          <w:sz w:val="20"/>
          <w:szCs w:val="20"/>
          <w:color w:val="auto"/>
        </w:rPr>
      </w:pPr>
    </w:p>
    <w:p>
      <w:pPr>
        <w:ind w:left="208" w:hanging="208"/>
        <w:spacing w:after="0"/>
        <w:tabs>
          <w:tab w:leader="none" w:pos="208" w:val="left"/>
        </w:tabs>
        <w:numPr>
          <w:ilvl w:val="0"/>
          <w:numId w:val="202"/>
        </w:numPr>
        <w:rPr>
          <w:rFonts w:ascii="Arial" w:cs="Arial" w:eastAsia="Arial" w:hAnsi="Arial"/>
          <w:sz w:val="11"/>
          <w:szCs w:val="11"/>
          <w:b w:val="1"/>
          <w:bCs w:val="1"/>
          <w:color w:val="auto"/>
        </w:rPr>
      </w:pPr>
      <w:r>
        <w:rPr>
          <w:rFonts w:ascii="Arial" w:cs="Arial" w:eastAsia="Arial" w:hAnsi="Arial"/>
          <w:sz w:val="11"/>
          <w:szCs w:val="11"/>
          <w:b w:val="1"/>
          <w:bCs w:val="1"/>
          <w:color w:val="auto"/>
        </w:rPr>
        <w:t>Within 30 days of Fiscal Year End</w:t>
      </w:r>
    </w:p>
    <w:p>
      <w:pPr>
        <w:spacing w:after="0" w:line="21" w:lineRule="exact"/>
        <w:rPr>
          <w:rFonts w:ascii="Arial" w:cs="Arial" w:eastAsia="Arial" w:hAnsi="Arial"/>
          <w:sz w:val="11"/>
          <w:szCs w:val="11"/>
          <w:b w:val="1"/>
          <w:bCs w:val="1"/>
          <w:color w:val="auto"/>
        </w:rPr>
      </w:pPr>
    </w:p>
    <w:p>
      <w:pPr>
        <w:ind w:left="408" w:hanging="192"/>
        <w:spacing w:after="0"/>
        <w:tabs>
          <w:tab w:leader="none" w:pos="408" w:val="left"/>
        </w:tabs>
        <w:numPr>
          <w:ilvl w:val="1"/>
          <w:numId w:val="202"/>
        </w:numPr>
        <w:rPr>
          <w:rFonts w:ascii="Arial" w:cs="Arial" w:eastAsia="Arial" w:hAnsi="Arial"/>
          <w:sz w:val="11"/>
          <w:szCs w:val="11"/>
          <w:color w:val="auto"/>
        </w:rPr>
      </w:pPr>
      <w:r>
        <w:rPr>
          <w:rFonts w:ascii="Arial" w:cs="Arial" w:eastAsia="Arial" w:hAnsi="Arial"/>
          <w:sz w:val="11"/>
          <w:szCs w:val="11"/>
          <w:color w:val="auto"/>
        </w:rPr>
        <w:t>Forecasts of:</w:t>
      </w:r>
    </w:p>
    <w:p>
      <w:pPr>
        <w:spacing w:after="0" w:line="10" w:lineRule="exact"/>
        <w:rPr>
          <w:sz w:val="20"/>
          <w:szCs w:val="20"/>
          <w:color w:val="auto"/>
        </w:rPr>
      </w:pPr>
    </w:p>
    <w:tbl>
      <w:tblPr>
        <w:tblLayout w:type="fixed"/>
        <w:tblInd w:w="8" w:type="dxa"/>
        <w:tblCellMar>
          <w:top w:w="0" w:type="dxa"/>
          <w:left w:w="0" w:type="dxa"/>
          <w:bottom w:w="0" w:type="dxa"/>
          <w:right w:w="0" w:type="dxa"/>
        </w:tblCellMar>
      </w:tblPr>
      <w:tr>
        <w:trPr>
          <w:trHeight w:val="146"/>
        </w:trPr>
        <w:tc>
          <w:tcPr>
            <w:tcW w:w="340" w:type="dxa"/>
            <w:vAlign w:val="bottom"/>
          </w:tcPr>
          <w:p>
            <w:pPr>
              <w:spacing w:after="0"/>
              <w:rPr>
                <w:sz w:val="12"/>
                <w:szCs w:val="12"/>
                <w:color w:val="auto"/>
              </w:rPr>
            </w:pPr>
          </w:p>
        </w:tc>
        <w:tc>
          <w:tcPr>
            <w:tcW w:w="9520" w:type="dxa"/>
            <w:vAlign w:val="bottom"/>
            <w:tcBorders>
              <w:right w:val="single" w:sz="8" w:color="auto"/>
            </w:tcBorders>
          </w:tcPr>
          <w:p>
            <w:pPr>
              <w:ind w:left="80"/>
              <w:spacing w:after="0"/>
              <w:rPr>
                <w:sz w:val="20"/>
                <w:szCs w:val="20"/>
                <w:color w:val="auto"/>
              </w:rPr>
            </w:pPr>
            <w:r>
              <w:rPr>
                <w:rFonts w:ascii="Arial" w:cs="Arial" w:eastAsia="Arial" w:hAnsi="Arial"/>
                <w:sz w:val="11"/>
                <w:szCs w:val="11"/>
                <w:color w:val="auto"/>
              </w:rPr>
              <w:t>-  Availability</w:t>
            </w:r>
          </w:p>
        </w:tc>
        <w:tc>
          <w:tcPr>
            <w:tcW w:w="164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2"/>
                <w:szCs w:val="12"/>
                <w:color w:val="auto"/>
              </w:rPr>
              <w:t>Y</w:t>
            </w:r>
          </w:p>
        </w:tc>
      </w:tr>
      <w:tr>
        <w:trPr>
          <w:trHeight w:val="133"/>
        </w:trPr>
        <w:tc>
          <w:tcPr>
            <w:tcW w:w="340" w:type="dxa"/>
            <w:vAlign w:val="bottom"/>
          </w:tcPr>
          <w:p>
            <w:pPr>
              <w:spacing w:after="0"/>
              <w:rPr>
                <w:sz w:val="11"/>
                <w:szCs w:val="11"/>
                <w:color w:val="auto"/>
              </w:rPr>
            </w:pPr>
          </w:p>
        </w:tc>
        <w:tc>
          <w:tcPr>
            <w:tcW w:w="9520" w:type="dxa"/>
            <w:vAlign w:val="bottom"/>
            <w:tcBorders>
              <w:right w:val="single" w:sz="8" w:color="auto"/>
            </w:tcBorders>
          </w:tcPr>
          <w:p>
            <w:pPr>
              <w:ind w:left="80"/>
              <w:spacing w:after="0" w:line="120" w:lineRule="exact"/>
              <w:rPr>
                <w:sz w:val="20"/>
                <w:szCs w:val="20"/>
                <w:color w:val="auto"/>
              </w:rPr>
            </w:pPr>
            <w:r>
              <w:rPr>
                <w:rFonts w:ascii="Arial" w:cs="Arial" w:eastAsia="Arial" w:hAnsi="Arial"/>
                <w:sz w:val="11"/>
                <w:szCs w:val="11"/>
                <w:color w:val="auto"/>
              </w:rPr>
              <w:t>-  Consolidated Balance Sheets of Lead Borrower and its Subsidiaries</w:t>
            </w:r>
          </w:p>
        </w:tc>
        <w:tc>
          <w:tcPr>
            <w:tcW w:w="1640" w:type="dxa"/>
            <w:vAlign w:val="bottom"/>
            <w:tcBorders>
              <w:bottom w:val="single" w:sz="8" w:color="auto"/>
              <w:right w:val="single" w:sz="8" w:color="auto"/>
            </w:tcBorders>
          </w:tcPr>
          <w:p>
            <w:pPr>
              <w:ind w:left="120"/>
              <w:spacing w:after="0" w:line="133" w:lineRule="exact"/>
              <w:rPr>
                <w:sz w:val="20"/>
                <w:szCs w:val="20"/>
                <w:color w:val="auto"/>
              </w:rPr>
            </w:pPr>
            <w:r>
              <w:rPr>
                <w:rFonts w:ascii="Arial" w:cs="Arial" w:eastAsia="Arial" w:hAnsi="Arial"/>
                <w:sz w:val="12"/>
                <w:szCs w:val="12"/>
                <w:color w:val="auto"/>
              </w:rPr>
              <w:t>Y</w:t>
            </w:r>
          </w:p>
        </w:tc>
      </w:tr>
      <w:tr>
        <w:trPr>
          <w:trHeight w:val="133"/>
        </w:trPr>
        <w:tc>
          <w:tcPr>
            <w:tcW w:w="340" w:type="dxa"/>
            <w:vAlign w:val="bottom"/>
          </w:tcPr>
          <w:p>
            <w:pPr>
              <w:spacing w:after="0"/>
              <w:rPr>
                <w:sz w:val="11"/>
                <w:szCs w:val="11"/>
                <w:color w:val="auto"/>
              </w:rPr>
            </w:pPr>
          </w:p>
        </w:tc>
        <w:tc>
          <w:tcPr>
            <w:tcW w:w="9520" w:type="dxa"/>
            <w:vAlign w:val="bottom"/>
            <w:tcBorders>
              <w:right w:val="single" w:sz="8" w:color="auto"/>
            </w:tcBorders>
          </w:tcPr>
          <w:p>
            <w:pPr>
              <w:ind w:left="80"/>
              <w:spacing w:after="0" w:line="120" w:lineRule="exact"/>
              <w:rPr>
                <w:sz w:val="20"/>
                <w:szCs w:val="20"/>
                <w:color w:val="auto"/>
              </w:rPr>
            </w:pPr>
            <w:r>
              <w:rPr>
                <w:rFonts w:ascii="Arial" w:cs="Arial" w:eastAsia="Arial" w:hAnsi="Arial"/>
                <w:sz w:val="11"/>
                <w:szCs w:val="11"/>
                <w:color w:val="auto"/>
              </w:rPr>
              <w:t>-  Consolidated Statements of Income or Operations of Lead Borrower and its Subsidiaries</w:t>
            </w:r>
          </w:p>
        </w:tc>
        <w:tc>
          <w:tcPr>
            <w:tcW w:w="1640" w:type="dxa"/>
            <w:vAlign w:val="bottom"/>
            <w:tcBorders>
              <w:bottom w:val="single" w:sz="8" w:color="auto"/>
              <w:right w:val="single" w:sz="8" w:color="auto"/>
            </w:tcBorders>
          </w:tcPr>
          <w:p>
            <w:pPr>
              <w:ind w:left="120"/>
              <w:spacing w:after="0" w:line="133" w:lineRule="exact"/>
              <w:rPr>
                <w:sz w:val="20"/>
                <w:szCs w:val="20"/>
                <w:color w:val="auto"/>
              </w:rPr>
            </w:pPr>
            <w:r>
              <w:rPr>
                <w:rFonts w:ascii="Arial" w:cs="Arial" w:eastAsia="Arial" w:hAnsi="Arial"/>
                <w:sz w:val="12"/>
                <w:szCs w:val="12"/>
                <w:color w:val="auto"/>
              </w:rPr>
              <w:t>Y</w:t>
            </w:r>
          </w:p>
        </w:tc>
      </w:tr>
      <w:tr>
        <w:trPr>
          <w:trHeight w:val="133"/>
        </w:trPr>
        <w:tc>
          <w:tcPr>
            <w:tcW w:w="340" w:type="dxa"/>
            <w:vAlign w:val="bottom"/>
          </w:tcPr>
          <w:p>
            <w:pPr>
              <w:spacing w:after="0"/>
              <w:rPr>
                <w:sz w:val="11"/>
                <w:szCs w:val="11"/>
                <w:color w:val="auto"/>
              </w:rPr>
            </w:pPr>
          </w:p>
        </w:tc>
        <w:tc>
          <w:tcPr>
            <w:tcW w:w="9520" w:type="dxa"/>
            <w:vAlign w:val="bottom"/>
            <w:tcBorders>
              <w:right w:val="single" w:sz="8" w:color="auto"/>
            </w:tcBorders>
          </w:tcPr>
          <w:p>
            <w:pPr>
              <w:ind w:left="80"/>
              <w:spacing w:after="0" w:line="120" w:lineRule="exact"/>
              <w:rPr>
                <w:sz w:val="20"/>
                <w:szCs w:val="20"/>
                <w:color w:val="auto"/>
              </w:rPr>
            </w:pPr>
            <w:r>
              <w:rPr>
                <w:rFonts w:ascii="Arial" w:cs="Arial" w:eastAsia="Arial" w:hAnsi="Arial"/>
                <w:sz w:val="11"/>
                <w:szCs w:val="11"/>
                <w:color w:val="auto"/>
              </w:rPr>
              <w:t>-  Consolidated Cash Flows of Lead Borrower and its Subsidiaries</w:t>
            </w:r>
          </w:p>
        </w:tc>
        <w:tc>
          <w:tcPr>
            <w:tcW w:w="1640" w:type="dxa"/>
            <w:vAlign w:val="bottom"/>
            <w:tcBorders>
              <w:bottom w:val="single" w:sz="8" w:color="auto"/>
              <w:right w:val="single" w:sz="8" w:color="auto"/>
            </w:tcBorders>
          </w:tcPr>
          <w:p>
            <w:pPr>
              <w:ind w:left="120"/>
              <w:spacing w:after="0" w:line="133" w:lineRule="exact"/>
              <w:rPr>
                <w:sz w:val="20"/>
                <w:szCs w:val="20"/>
                <w:color w:val="auto"/>
              </w:rPr>
            </w:pPr>
            <w:r>
              <w:rPr>
                <w:rFonts w:ascii="Arial" w:cs="Arial" w:eastAsia="Arial" w:hAnsi="Arial"/>
                <w:sz w:val="12"/>
                <w:szCs w:val="12"/>
                <w:color w:val="auto"/>
              </w:rPr>
              <w:t>Y</w:t>
            </w:r>
          </w:p>
        </w:tc>
      </w:tr>
      <w:tr>
        <w:trPr>
          <w:trHeight w:val="266"/>
        </w:trPr>
        <w:tc>
          <w:tcPr>
            <w:tcW w:w="9860" w:type="dxa"/>
            <w:vAlign w:val="bottom"/>
            <w:gridSpan w:val="2"/>
          </w:tcPr>
          <w:p>
            <w:pPr>
              <w:spacing w:after="0"/>
              <w:rPr>
                <w:sz w:val="20"/>
                <w:szCs w:val="20"/>
                <w:color w:val="auto"/>
              </w:rPr>
            </w:pPr>
            <w:r>
              <w:rPr>
                <w:rFonts w:ascii="Arial" w:cs="Arial" w:eastAsia="Arial" w:hAnsi="Arial"/>
                <w:sz w:val="11"/>
                <w:szCs w:val="11"/>
                <w:b w:val="1"/>
                <w:bCs w:val="1"/>
                <w:color w:val="auto"/>
              </w:rPr>
              <w:t>E.  Within 95 days after the end of Fiscal Year End</w:t>
            </w:r>
          </w:p>
        </w:tc>
        <w:tc>
          <w:tcPr>
            <w:tcW w:w="1640" w:type="dxa"/>
            <w:vAlign w:val="bottom"/>
            <w:tcBorders>
              <w:bottom w:val="single" w:sz="8" w:color="auto"/>
            </w:tcBorders>
          </w:tcPr>
          <w:p>
            <w:pPr>
              <w:spacing w:after="0"/>
              <w:rPr>
                <w:sz w:val="23"/>
                <w:szCs w:val="23"/>
                <w:color w:val="auto"/>
              </w:rPr>
            </w:pPr>
          </w:p>
        </w:tc>
      </w:tr>
      <w:tr>
        <w:trPr>
          <w:trHeight w:val="144"/>
        </w:trPr>
        <w:tc>
          <w:tcPr>
            <w:tcW w:w="34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9520" w:type="dxa"/>
            <w:vAlign w:val="bottom"/>
            <w:tcBorders>
              <w:right w:val="single" w:sz="8" w:color="auto"/>
            </w:tcBorders>
          </w:tcPr>
          <w:p>
            <w:pPr>
              <w:ind w:left="40"/>
              <w:spacing w:after="0"/>
              <w:rPr>
                <w:sz w:val="20"/>
                <w:szCs w:val="20"/>
                <w:color w:val="auto"/>
              </w:rPr>
            </w:pPr>
            <w:r>
              <w:rPr>
                <w:rFonts w:ascii="Arial" w:cs="Arial" w:eastAsia="Arial" w:hAnsi="Arial"/>
                <w:sz w:val="11"/>
                <w:szCs w:val="11"/>
                <w:color w:val="auto"/>
              </w:rPr>
              <w:t>Audited financial statements including:</w:t>
            </w:r>
          </w:p>
        </w:tc>
        <w:tc>
          <w:tcPr>
            <w:tcW w:w="16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2"/>
                <w:szCs w:val="12"/>
                <w:color w:val="auto"/>
              </w:rPr>
              <w:t>Y</w:t>
            </w:r>
          </w:p>
        </w:tc>
      </w:tr>
      <w:tr>
        <w:trPr>
          <w:trHeight w:val="133"/>
        </w:trPr>
        <w:tc>
          <w:tcPr>
            <w:tcW w:w="340" w:type="dxa"/>
            <w:vAlign w:val="bottom"/>
          </w:tcPr>
          <w:p>
            <w:pPr>
              <w:spacing w:after="0"/>
              <w:rPr>
                <w:sz w:val="11"/>
                <w:szCs w:val="11"/>
                <w:color w:val="auto"/>
              </w:rPr>
            </w:pPr>
          </w:p>
        </w:tc>
        <w:tc>
          <w:tcPr>
            <w:tcW w:w="9520" w:type="dxa"/>
            <w:vAlign w:val="bottom"/>
            <w:tcBorders>
              <w:right w:val="single" w:sz="8" w:color="auto"/>
            </w:tcBorders>
          </w:tcPr>
          <w:p>
            <w:pPr>
              <w:ind w:left="80"/>
              <w:spacing w:after="0" w:line="120" w:lineRule="exact"/>
              <w:rPr>
                <w:sz w:val="20"/>
                <w:szCs w:val="20"/>
                <w:color w:val="auto"/>
              </w:rPr>
            </w:pPr>
            <w:r>
              <w:rPr>
                <w:rFonts w:ascii="Arial" w:cs="Arial" w:eastAsia="Arial" w:hAnsi="Arial"/>
                <w:sz w:val="11"/>
                <w:szCs w:val="11"/>
                <w:color w:val="auto"/>
              </w:rPr>
              <w:t>-  Consolidated Balance Sheet of Lead Borrower and its Subsidiaries</w:t>
            </w:r>
          </w:p>
        </w:tc>
        <w:tc>
          <w:tcPr>
            <w:tcW w:w="1640" w:type="dxa"/>
            <w:vAlign w:val="bottom"/>
            <w:tcBorders>
              <w:bottom w:val="single" w:sz="8" w:color="auto"/>
              <w:right w:val="single" w:sz="8" w:color="auto"/>
            </w:tcBorders>
          </w:tcPr>
          <w:p>
            <w:pPr>
              <w:ind w:left="120"/>
              <w:spacing w:after="0" w:line="133" w:lineRule="exact"/>
              <w:rPr>
                <w:sz w:val="20"/>
                <w:szCs w:val="20"/>
                <w:color w:val="auto"/>
              </w:rPr>
            </w:pPr>
            <w:r>
              <w:rPr>
                <w:rFonts w:ascii="Arial" w:cs="Arial" w:eastAsia="Arial" w:hAnsi="Arial"/>
                <w:sz w:val="12"/>
                <w:szCs w:val="12"/>
                <w:color w:val="auto"/>
              </w:rPr>
              <w:t>Y</w:t>
            </w:r>
          </w:p>
        </w:tc>
      </w:tr>
      <w:tr>
        <w:trPr>
          <w:trHeight w:val="133"/>
        </w:trPr>
        <w:tc>
          <w:tcPr>
            <w:tcW w:w="340" w:type="dxa"/>
            <w:vAlign w:val="bottom"/>
          </w:tcPr>
          <w:p>
            <w:pPr>
              <w:spacing w:after="0"/>
              <w:rPr>
                <w:sz w:val="11"/>
                <w:szCs w:val="11"/>
                <w:color w:val="auto"/>
              </w:rPr>
            </w:pPr>
          </w:p>
        </w:tc>
        <w:tc>
          <w:tcPr>
            <w:tcW w:w="9520" w:type="dxa"/>
            <w:vAlign w:val="bottom"/>
            <w:tcBorders>
              <w:right w:val="single" w:sz="8" w:color="auto"/>
            </w:tcBorders>
          </w:tcPr>
          <w:p>
            <w:pPr>
              <w:ind w:left="80"/>
              <w:spacing w:after="0" w:line="120" w:lineRule="exact"/>
              <w:rPr>
                <w:sz w:val="20"/>
                <w:szCs w:val="20"/>
                <w:color w:val="auto"/>
              </w:rPr>
            </w:pPr>
            <w:r>
              <w:rPr>
                <w:rFonts w:ascii="Arial" w:cs="Arial" w:eastAsia="Arial" w:hAnsi="Arial"/>
                <w:sz w:val="11"/>
                <w:szCs w:val="11"/>
                <w:color w:val="auto"/>
              </w:rPr>
              <w:t>-  Consolidated Statements of Income or Operations of Lead Borrower and its Subsidiaries</w:t>
            </w:r>
          </w:p>
        </w:tc>
        <w:tc>
          <w:tcPr>
            <w:tcW w:w="1640" w:type="dxa"/>
            <w:vAlign w:val="bottom"/>
            <w:tcBorders>
              <w:bottom w:val="single" w:sz="8" w:color="auto"/>
              <w:right w:val="single" w:sz="8" w:color="auto"/>
            </w:tcBorders>
          </w:tcPr>
          <w:p>
            <w:pPr>
              <w:ind w:left="120"/>
              <w:spacing w:after="0" w:line="133" w:lineRule="exact"/>
              <w:rPr>
                <w:sz w:val="20"/>
                <w:szCs w:val="20"/>
                <w:color w:val="auto"/>
              </w:rPr>
            </w:pPr>
            <w:r>
              <w:rPr>
                <w:rFonts w:ascii="Arial" w:cs="Arial" w:eastAsia="Arial" w:hAnsi="Arial"/>
                <w:sz w:val="12"/>
                <w:szCs w:val="12"/>
                <w:color w:val="auto"/>
              </w:rPr>
              <w:t>Y</w:t>
            </w:r>
          </w:p>
        </w:tc>
      </w:tr>
      <w:tr>
        <w:trPr>
          <w:trHeight w:val="133"/>
        </w:trPr>
        <w:tc>
          <w:tcPr>
            <w:tcW w:w="340" w:type="dxa"/>
            <w:vAlign w:val="bottom"/>
          </w:tcPr>
          <w:p>
            <w:pPr>
              <w:spacing w:after="0"/>
              <w:rPr>
                <w:sz w:val="11"/>
                <w:szCs w:val="11"/>
                <w:color w:val="auto"/>
              </w:rPr>
            </w:pPr>
          </w:p>
        </w:tc>
        <w:tc>
          <w:tcPr>
            <w:tcW w:w="9520" w:type="dxa"/>
            <w:vAlign w:val="bottom"/>
            <w:tcBorders>
              <w:right w:val="single" w:sz="8" w:color="auto"/>
            </w:tcBorders>
          </w:tcPr>
          <w:p>
            <w:pPr>
              <w:ind w:left="80"/>
              <w:spacing w:after="0" w:line="120" w:lineRule="exact"/>
              <w:rPr>
                <w:sz w:val="20"/>
                <w:szCs w:val="20"/>
                <w:color w:val="auto"/>
              </w:rPr>
            </w:pPr>
            <w:r>
              <w:rPr>
                <w:rFonts w:ascii="Arial" w:cs="Arial" w:eastAsia="Arial" w:hAnsi="Arial"/>
                <w:sz w:val="11"/>
                <w:szCs w:val="11"/>
                <w:color w:val="auto"/>
              </w:rPr>
              <w:t>-  Consolidated Shareholders’ Equity of Lead Borrower and its Subsidiaries</w:t>
            </w:r>
          </w:p>
        </w:tc>
        <w:tc>
          <w:tcPr>
            <w:tcW w:w="1640" w:type="dxa"/>
            <w:vAlign w:val="bottom"/>
            <w:tcBorders>
              <w:bottom w:val="single" w:sz="8" w:color="auto"/>
              <w:right w:val="single" w:sz="8" w:color="auto"/>
            </w:tcBorders>
          </w:tcPr>
          <w:p>
            <w:pPr>
              <w:ind w:left="120"/>
              <w:spacing w:after="0" w:line="133" w:lineRule="exact"/>
              <w:rPr>
                <w:sz w:val="20"/>
                <w:szCs w:val="20"/>
                <w:color w:val="auto"/>
              </w:rPr>
            </w:pPr>
            <w:r>
              <w:rPr>
                <w:rFonts w:ascii="Arial" w:cs="Arial" w:eastAsia="Arial" w:hAnsi="Arial"/>
                <w:sz w:val="12"/>
                <w:szCs w:val="12"/>
                <w:color w:val="auto"/>
              </w:rPr>
              <w:t>Y</w:t>
            </w:r>
          </w:p>
        </w:tc>
      </w:tr>
      <w:tr>
        <w:trPr>
          <w:trHeight w:val="133"/>
        </w:trPr>
        <w:tc>
          <w:tcPr>
            <w:tcW w:w="340" w:type="dxa"/>
            <w:vAlign w:val="bottom"/>
          </w:tcPr>
          <w:p>
            <w:pPr>
              <w:spacing w:after="0"/>
              <w:rPr>
                <w:sz w:val="11"/>
                <w:szCs w:val="11"/>
                <w:color w:val="auto"/>
              </w:rPr>
            </w:pPr>
          </w:p>
        </w:tc>
        <w:tc>
          <w:tcPr>
            <w:tcW w:w="9520" w:type="dxa"/>
            <w:vAlign w:val="bottom"/>
            <w:tcBorders>
              <w:right w:val="single" w:sz="8" w:color="auto"/>
            </w:tcBorders>
          </w:tcPr>
          <w:p>
            <w:pPr>
              <w:ind w:left="80"/>
              <w:spacing w:after="0" w:line="120" w:lineRule="exact"/>
              <w:rPr>
                <w:sz w:val="20"/>
                <w:szCs w:val="20"/>
                <w:color w:val="auto"/>
              </w:rPr>
            </w:pPr>
            <w:r>
              <w:rPr>
                <w:rFonts w:ascii="Arial" w:cs="Arial" w:eastAsia="Arial" w:hAnsi="Arial"/>
                <w:sz w:val="11"/>
                <w:szCs w:val="11"/>
                <w:color w:val="auto"/>
              </w:rPr>
              <w:t>-  Consolidated Cash Flows of Lead Borrower and its Subsidiaries</w:t>
            </w:r>
          </w:p>
        </w:tc>
        <w:tc>
          <w:tcPr>
            <w:tcW w:w="1640" w:type="dxa"/>
            <w:vAlign w:val="bottom"/>
            <w:tcBorders>
              <w:bottom w:val="single" w:sz="8" w:color="auto"/>
              <w:right w:val="single" w:sz="8" w:color="auto"/>
            </w:tcBorders>
          </w:tcPr>
          <w:p>
            <w:pPr>
              <w:ind w:left="120"/>
              <w:spacing w:after="0" w:line="133" w:lineRule="exact"/>
              <w:rPr>
                <w:sz w:val="20"/>
                <w:szCs w:val="20"/>
                <w:color w:val="auto"/>
              </w:rPr>
            </w:pPr>
            <w:r>
              <w:rPr>
                <w:rFonts w:ascii="Arial" w:cs="Arial" w:eastAsia="Arial" w:hAnsi="Arial"/>
                <w:sz w:val="12"/>
                <w:szCs w:val="12"/>
                <w:color w:val="auto"/>
              </w:rPr>
              <w:t>Y</w:t>
            </w:r>
          </w:p>
        </w:tc>
      </w:tr>
      <w:tr>
        <w:trPr>
          <w:trHeight w:val="133"/>
        </w:trPr>
        <w:tc>
          <w:tcPr>
            <w:tcW w:w="340" w:type="dxa"/>
            <w:vAlign w:val="bottom"/>
          </w:tcPr>
          <w:p>
            <w:pPr>
              <w:jc w:val="right"/>
              <w:ind w:right="6"/>
              <w:spacing w:after="0" w:line="120" w:lineRule="exact"/>
              <w:rPr>
                <w:sz w:val="20"/>
                <w:szCs w:val="20"/>
                <w:color w:val="auto"/>
              </w:rPr>
            </w:pPr>
            <w:r>
              <w:rPr>
                <w:rFonts w:ascii="Arial" w:cs="Arial" w:eastAsia="Arial" w:hAnsi="Arial"/>
                <w:sz w:val="11"/>
                <w:szCs w:val="11"/>
                <w:color w:val="auto"/>
              </w:rPr>
              <w:t>2.</w:t>
            </w:r>
          </w:p>
        </w:tc>
        <w:tc>
          <w:tcPr>
            <w:tcW w:w="9520" w:type="dxa"/>
            <w:vAlign w:val="bottom"/>
            <w:tcBorders>
              <w:right w:val="single" w:sz="8" w:color="auto"/>
            </w:tcBorders>
          </w:tcPr>
          <w:p>
            <w:pPr>
              <w:ind w:left="60"/>
              <w:spacing w:after="0" w:line="120" w:lineRule="exact"/>
              <w:rPr>
                <w:sz w:val="20"/>
                <w:szCs w:val="20"/>
                <w:color w:val="auto"/>
              </w:rPr>
            </w:pPr>
            <w:r>
              <w:rPr>
                <w:rFonts w:ascii="Arial" w:cs="Arial" w:eastAsia="Arial" w:hAnsi="Arial"/>
                <w:sz w:val="11"/>
                <w:szCs w:val="11"/>
                <w:color w:val="auto"/>
              </w:rPr>
              <w:t>Compliance Certificate</w:t>
            </w:r>
          </w:p>
        </w:tc>
        <w:tc>
          <w:tcPr>
            <w:tcW w:w="1640" w:type="dxa"/>
            <w:vAlign w:val="bottom"/>
            <w:tcBorders>
              <w:bottom w:val="single" w:sz="8" w:color="auto"/>
              <w:right w:val="single" w:sz="8" w:color="auto"/>
            </w:tcBorders>
          </w:tcPr>
          <w:p>
            <w:pPr>
              <w:ind w:left="120"/>
              <w:spacing w:after="0" w:line="133" w:lineRule="exact"/>
              <w:rPr>
                <w:sz w:val="20"/>
                <w:szCs w:val="20"/>
                <w:color w:val="auto"/>
              </w:rPr>
            </w:pPr>
            <w:r>
              <w:rPr>
                <w:rFonts w:ascii="Arial" w:cs="Arial" w:eastAsia="Arial" w:hAnsi="Arial"/>
                <w:sz w:val="12"/>
                <w:szCs w:val="12"/>
                <w:color w:val="auto"/>
              </w:rPr>
              <w:t>Y</w:t>
            </w:r>
          </w:p>
        </w:tc>
      </w:tr>
      <w:tr>
        <w:trPr>
          <w:trHeight w:val="133"/>
        </w:trPr>
        <w:tc>
          <w:tcPr>
            <w:tcW w:w="340" w:type="dxa"/>
            <w:vAlign w:val="bottom"/>
          </w:tcPr>
          <w:p>
            <w:pPr>
              <w:jc w:val="right"/>
              <w:ind w:right="6"/>
              <w:spacing w:after="0" w:line="120" w:lineRule="exact"/>
              <w:rPr>
                <w:sz w:val="20"/>
                <w:szCs w:val="20"/>
                <w:color w:val="auto"/>
              </w:rPr>
            </w:pPr>
            <w:r>
              <w:rPr>
                <w:rFonts w:ascii="Arial" w:cs="Arial" w:eastAsia="Arial" w:hAnsi="Arial"/>
                <w:sz w:val="11"/>
                <w:szCs w:val="11"/>
                <w:color w:val="auto"/>
              </w:rPr>
              <w:t>3.</w:t>
            </w:r>
          </w:p>
        </w:tc>
        <w:tc>
          <w:tcPr>
            <w:tcW w:w="9520" w:type="dxa"/>
            <w:vAlign w:val="bottom"/>
            <w:tcBorders>
              <w:right w:val="single" w:sz="8" w:color="auto"/>
            </w:tcBorders>
          </w:tcPr>
          <w:p>
            <w:pPr>
              <w:ind w:left="60"/>
              <w:spacing w:after="0" w:line="120" w:lineRule="exact"/>
              <w:rPr>
                <w:sz w:val="20"/>
                <w:szCs w:val="20"/>
                <w:color w:val="auto"/>
              </w:rPr>
            </w:pPr>
            <w:r>
              <w:rPr>
                <w:rFonts w:ascii="Arial" w:cs="Arial" w:eastAsia="Arial" w:hAnsi="Arial"/>
                <w:sz w:val="11"/>
                <w:szCs w:val="11"/>
                <w:color w:val="auto"/>
              </w:rPr>
              <w:t>Certificate of Registered Public Accounting Firm</w:t>
            </w:r>
          </w:p>
        </w:tc>
        <w:tc>
          <w:tcPr>
            <w:tcW w:w="1640" w:type="dxa"/>
            <w:vAlign w:val="bottom"/>
            <w:tcBorders>
              <w:bottom w:val="single" w:sz="8" w:color="auto"/>
              <w:right w:val="single" w:sz="8" w:color="auto"/>
            </w:tcBorders>
          </w:tcPr>
          <w:p>
            <w:pPr>
              <w:ind w:left="120"/>
              <w:spacing w:after="0" w:line="133" w:lineRule="exact"/>
              <w:rPr>
                <w:sz w:val="20"/>
                <w:szCs w:val="20"/>
                <w:color w:val="auto"/>
              </w:rPr>
            </w:pPr>
            <w:r>
              <w:rPr>
                <w:rFonts w:ascii="Arial" w:cs="Arial" w:eastAsia="Arial" w:hAnsi="Arial"/>
                <w:sz w:val="12"/>
                <w:szCs w:val="12"/>
                <w:color w:val="auto"/>
              </w:rPr>
              <w:t>Y</w:t>
            </w:r>
          </w:p>
        </w:tc>
      </w:tr>
    </w:tbl>
    <w:p>
      <w:pPr>
        <w:spacing w:after="0" w:line="274" w:lineRule="exact"/>
        <w:rPr>
          <w:sz w:val="20"/>
          <w:szCs w:val="20"/>
          <w:color w:val="auto"/>
        </w:rPr>
      </w:pPr>
    </w:p>
    <w:p>
      <w:pPr>
        <w:ind w:left="388" w:hanging="388"/>
        <w:spacing w:after="0"/>
        <w:tabs>
          <w:tab w:leader="none" w:pos="388" w:val="left"/>
        </w:tabs>
        <w:numPr>
          <w:ilvl w:val="0"/>
          <w:numId w:val="203"/>
        </w:numPr>
        <w:rPr>
          <w:rFonts w:ascii="Arial" w:cs="Arial" w:eastAsia="Arial" w:hAnsi="Arial"/>
          <w:sz w:val="11"/>
          <w:szCs w:val="11"/>
          <w:i w:val="1"/>
          <w:iCs w:val="1"/>
          <w:color w:val="auto"/>
        </w:rPr>
      </w:pPr>
      <w:r>
        <w:rPr>
          <w:rFonts w:ascii="Arial" w:cs="Arial" w:eastAsia="Arial" w:hAnsi="Arial"/>
          <w:sz w:val="11"/>
          <w:szCs w:val="11"/>
          <w:i w:val="1"/>
          <w:iCs w:val="1"/>
          <w:color w:val="auto"/>
        </w:rPr>
        <w:t>Provided that if Accelerated Borrowing Base Delivery Event has occurred and is continuing, due on Thursday of each week, as of the close of business on the immediately preceding Saturday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
        <w:spacing w:after="0"/>
        <w:rPr>
          <w:sz w:val="20"/>
          <w:szCs w:val="20"/>
          <w:color w:val="auto"/>
        </w:rPr>
      </w:pPr>
      <w:r>
        <w:rPr>
          <w:rFonts w:ascii="Arial" w:cs="Arial" w:eastAsia="Arial" w:hAnsi="Arial"/>
          <w:sz w:val="10"/>
          <w:szCs w:val="10"/>
          <w:color w:val="auto"/>
        </w:rPr>
        <w:t>DB1/ 97619862.1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191135</wp:posOffset>
            </wp:positionV>
            <wp:extent cx="7329170" cy="368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258" w:right="199" w:bottom="1440" w:gutter="0" w:footer="0" w:header="0"/>
        </w:sectPr>
      </w:pPr>
    </w:p>
    <w:bookmarkStart w:id="186" w:name="page187"/>
    <w:bookmarkEnd w:id="186"/>
    <w:p>
      <w:pPr>
        <w:jc w:val="center"/>
        <w:ind w:right="-540"/>
        <w:spacing w:after="0"/>
        <w:rPr>
          <w:sz w:val="20"/>
          <w:szCs w:val="20"/>
          <w:color w:val="auto"/>
        </w:rPr>
      </w:pPr>
      <w:r>
        <w:rPr>
          <w:rFonts w:ascii="Arial" w:cs="Arial" w:eastAsia="Arial" w:hAnsi="Arial"/>
          <w:sz w:val="11"/>
          <w:szCs w:val="11"/>
          <w:color w:val="auto"/>
        </w:rPr>
        <w:t>Schedule 7.01 Existing</w:t>
      </w:r>
    </w:p>
    <w:p>
      <w:pPr>
        <w:spacing w:after="0" w:line="37" w:lineRule="exact"/>
        <w:rPr>
          <w:sz w:val="20"/>
          <w:szCs w:val="20"/>
          <w:color w:val="auto"/>
        </w:rPr>
      </w:pPr>
    </w:p>
    <w:p>
      <w:pPr>
        <w:jc w:val="center"/>
        <w:ind w:right="-540"/>
        <w:spacing w:after="0"/>
        <w:rPr>
          <w:sz w:val="20"/>
          <w:szCs w:val="20"/>
          <w:color w:val="auto"/>
        </w:rPr>
      </w:pPr>
      <w:r>
        <w:rPr>
          <w:rFonts w:ascii="Arial" w:cs="Arial" w:eastAsia="Arial" w:hAnsi="Arial"/>
          <w:sz w:val="13"/>
          <w:szCs w:val="13"/>
          <w:color w:val="auto"/>
        </w:rPr>
        <w:t>Liens</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236220</wp:posOffset>
            </wp:positionV>
            <wp:extent cx="7329170" cy="368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9519"/>
          </w:cols>
          <w:pgMar w:left="940" w:top="309" w:right="1440" w:bottom="1440" w:gutter="0" w:footer="0" w:header="0"/>
        </w:sectPr>
      </w:pPr>
    </w:p>
    <w:bookmarkStart w:id="187" w:name="page188"/>
    <w:bookmarkEnd w:id="187"/>
    <w:p>
      <w:pPr>
        <w:jc w:val="right"/>
        <w:ind w:right="3559"/>
        <w:spacing w:after="0"/>
        <w:rPr>
          <w:sz w:val="20"/>
          <w:szCs w:val="20"/>
          <w:color w:val="auto"/>
        </w:rPr>
      </w:pPr>
      <w:r>
        <w:rPr>
          <w:rFonts w:ascii="Arial" w:cs="Arial" w:eastAsia="Arial" w:hAnsi="Arial"/>
          <w:sz w:val="13"/>
          <w:szCs w:val="13"/>
          <w:color w:val="auto"/>
        </w:rPr>
        <w:t>Schedule 7.02 Existing Investments</w:t>
      </w:r>
    </w:p>
    <w:p>
      <w:pPr>
        <w:spacing w:after="0" w:line="301"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236220</wp:posOffset>
            </wp:positionV>
            <wp:extent cx="7329170" cy="368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9519"/>
          </w:cols>
          <w:pgMar w:left="940" w:top="309" w:right="1440" w:bottom="1440" w:gutter="0" w:footer="0" w:header="0"/>
        </w:sectPr>
      </w:pPr>
    </w:p>
    <w:bookmarkStart w:id="188" w:name="page189"/>
    <w:bookmarkEnd w:id="188"/>
    <w:p>
      <w:pPr>
        <w:jc w:val="right"/>
        <w:ind w:right="3519"/>
        <w:spacing w:after="0"/>
        <w:rPr>
          <w:sz w:val="20"/>
          <w:szCs w:val="20"/>
          <w:color w:val="auto"/>
        </w:rPr>
      </w:pPr>
      <w:r>
        <w:rPr>
          <w:rFonts w:ascii="Arial" w:cs="Arial" w:eastAsia="Arial" w:hAnsi="Arial"/>
          <w:sz w:val="13"/>
          <w:szCs w:val="13"/>
          <w:color w:val="auto"/>
        </w:rPr>
        <w:t>Schedule 7.03 Existing Indebtedness</w:t>
      </w:r>
    </w:p>
    <w:p>
      <w:pPr>
        <w:spacing w:after="0" w:line="301"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236220</wp:posOffset>
            </wp:positionV>
            <wp:extent cx="7329170" cy="368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9519"/>
          </w:cols>
          <w:pgMar w:left="940" w:top="309" w:right="1440" w:bottom="1440" w:gutter="0" w:footer="0" w:header="0"/>
        </w:sectPr>
      </w:pPr>
    </w:p>
    <w:bookmarkStart w:id="189" w:name="page190"/>
    <w:bookmarkEnd w:id="189"/>
    <w:p>
      <w:pPr>
        <w:jc w:val="right"/>
        <w:ind w:right="3539"/>
        <w:spacing w:after="0"/>
        <w:rPr>
          <w:sz w:val="20"/>
          <w:szCs w:val="20"/>
          <w:color w:val="auto"/>
        </w:rPr>
      </w:pPr>
      <w:r>
        <w:rPr>
          <w:rFonts w:ascii="Arial" w:cs="Arial" w:eastAsia="Arial" w:hAnsi="Arial"/>
          <w:sz w:val="13"/>
          <w:szCs w:val="13"/>
          <w:color w:val="auto"/>
        </w:rPr>
        <w:t>Schedule 7.09 Affiliate Transactions</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236220</wp:posOffset>
            </wp:positionV>
            <wp:extent cx="7329170" cy="368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9519"/>
          </w:cols>
          <w:pgMar w:left="940" w:top="309" w:right="1440" w:bottom="1440" w:gutter="0" w:footer="0" w:header="0"/>
        </w:sectPr>
      </w:pPr>
    </w:p>
    <w:bookmarkStart w:id="190" w:name="page191"/>
    <w:bookmarkEnd w:id="190"/>
    <w:p>
      <w:pPr>
        <w:jc w:val="center"/>
        <w:ind w:right="-1220"/>
        <w:spacing w:after="0"/>
        <w:rPr>
          <w:sz w:val="20"/>
          <w:szCs w:val="20"/>
          <w:color w:val="auto"/>
        </w:rPr>
      </w:pPr>
      <w:r>
        <w:rPr>
          <w:rFonts w:ascii="Arial" w:cs="Arial" w:eastAsia="Arial" w:hAnsi="Arial"/>
          <w:sz w:val="14"/>
          <w:szCs w:val="14"/>
          <w:b w:val="1"/>
          <w:bCs w:val="1"/>
          <w:color w:val="auto"/>
        </w:rPr>
        <w:t>Schedule 10.02</w:t>
      </w:r>
    </w:p>
    <w:p>
      <w:pPr>
        <w:spacing w:after="0" w:line="163" w:lineRule="exact"/>
        <w:rPr>
          <w:sz w:val="20"/>
          <w:szCs w:val="20"/>
          <w:color w:val="auto"/>
        </w:rPr>
      </w:pPr>
    </w:p>
    <w:p>
      <w:pPr>
        <w:jc w:val="right"/>
        <w:ind w:right="3179"/>
        <w:spacing w:after="0"/>
        <w:rPr>
          <w:sz w:val="20"/>
          <w:szCs w:val="20"/>
          <w:color w:val="auto"/>
        </w:rPr>
      </w:pPr>
      <w:r>
        <w:rPr>
          <w:rFonts w:ascii="Arial" w:cs="Arial" w:eastAsia="Arial" w:hAnsi="Arial"/>
          <w:sz w:val="14"/>
          <w:szCs w:val="14"/>
          <w:b w:val="1"/>
          <w:bCs w:val="1"/>
          <w:u w:val="single" w:color="auto"/>
          <w:color w:val="auto"/>
        </w:rPr>
        <w:t>Agent’s Office Certain Addresses for Notices</w:t>
      </w:r>
    </w:p>
    <w:p>
      <w:pPr>
        <w:spacing w:after="0" w:line="153" w:lineRule="exact"/>
        <w:rPr>
          <w:sz w:val="20"/>
          <w:szCs w:val="20"/>
          <w:color w:val="auto"/>
        </w:rPr>
      </w:pPr>
    </w:p>
    <w:p>
      <w:pPr>
        <w:ind w:left="700"/>
        <w:spacing w:after="0"/>
        <w:rPr>
          <w:sz w:val="20"/>
          <w:szCs w:val="20"/>
          <w:color w:val="auto"/>
        </w:rPr>
      </w:pPr>
      <w:r>
        <w:rPr>
          <w:rFonts w:ascii="Arial" w:cs="Arial" w:eastAsia="Arial" w:hAnsi="Arial"/>
          <w:sz w:val="13"/>
          <w:szCs w:val="13"/>
          <w:b w:val="1"/>
          <w:bCs w:val="1"/>
          <w:color w:val="auto"/>
        </w:rPr>
        <w:t>Agent, L/C Issuer and Swing Line Lender</w:t>
      </w:r>
    </w:p>
    <w:p>
      <w:pPr>
        <w:spacing w:after="0" w:line="18" w:lineRule="exact"/>
        <w:rPr>
          <w:sz w:val="20"/>
          <w:szCs w:val="20"/>
          <w:color w:val="auto"/>
        </w:rPr>
      </w:pPr>
    </w:p>
    <w:p>
      <w:pPr>
        <w:ind w:left="700"/>
        <w:spacing w:after="0"/>
        <w:rPr>
          <w:sz w:val="20"/>
          <w:szCs w:val="20"/>
          <w:color w:val="auto"/>
        </w:rPr>
      </w:pPr>
      <w:r>
        <w:rPr>
          <w:rFonts w:ascii="Arial" w:cs="Arial" w:eastAsia="Arial" w:hAnsi="Arial"/>
          <w:sz w:val="13"/>
          <w:szCs w:val="13"/>
          <w:color w:val="auto"/>
        </w:rPr>
        <w:t>Bank of America, N.A.</w:t>
      </w:r>
    </w:p>
    <w:p>
      <w:pPr>
        <w:spacing w:after="0" w:line="3" w:lineRule="exact"/>
        <w:rPr>
          <w:sz w:val="20"/>
          <w:szCs w:val="20"/>
          <w:color w:val="auto"/>
        </w:rPr>
      </w:pPr>
    </w:p>
    <w:p>
      <w:pPr>
        <w:ind w:left="700"/>
        <w:spacing w:after="0"/>
        <w:rPr>
          <w:sz w:val="20"/>
          <w:szCs w:val="20"/>
          <w:color w:val="auto"/>
        </w:rPr>
      </w:pPr>
      <w:r>
        <w:rPr>
          <w:rFonts w:ascii="Arial" w:cs="Arial" w:eastAsia="Arial" w:hAnsi="Arial"/>
          <w:sz w:val="13"/>
          <w:szCs w:val="13"/>
          <w:color w:val="auto"/>
        </w:rPr>
        <w:t>100 Federal Street, 9</w:t>
      </w:r>
      <w:r>
        <w:rPr>
          <w:rFonts w:ascii="Arial" w:cs="Arial" w:eastAsia="Arial" w:hAnsi="Arial"/>
          <w:sz w:val="11"/>
          <w:szCs w:val="11"/>
          <w:color w:val="auto"/>
        </w:rPr>
        <w:t>th</w:t>
      </w:r>
      <w:r>
        <w:rPr>
          <w:rFonts w:ascii="Arial" w:cs="Arial" w:eastAsia="Arial" w:hAnsi="Arial"/>
          <w:sz w:val="13"/>
          <w:szCs w:val="13"/>
          <w:color w:val="auto"/>
        </w:rPr>
        <w:t xml:space="preserve"> Floor Boston, Massachusetts</w:t>
      </w:r>
    </w:p>
    <w:p>
      <w:pPr>
        <w:spacing w:after="0" w:line="4" w:lineRule="exact"/>
        <w:rPr>
          <w:sz w:val="20"/>
          <w:szCs w:val="20"/>
          <w:color w:val="auto"/>
        </w:rPr>
      </w:pPr>
    </w:p>
    <w:p>
      <w:pPr>
        <w:ind w:left="700"/>
        <w:spacing w:after="0"/>
        <w:rPr>
          <w:sz w:val="20"/>
          <w:szCs w:val="20"/>
          <w:color w:val="auto"/>
        </w:rPr>
      </w:pPr>
      <w:r>
        <w:rPr>
          <w:rFonts w:ascii="Arial" w:cs="Arial" w:eastAsia="Arial" w:hAnsi="Arial"/>
          <w:sz w:val="13"/>
          <w:szCs w:val="13"/>
          <w:color w:val="auto"/>
        </w:rPr>
        <w:t>02110</w:t>
      </w:r>
    </w:p>
    <w:p>
      <w:pPr>
        <w:spacing w:after="0" w:line="4" w:lineRule="exact"/>
        <w:rPr>
          <w:sz w:val="20"/>
          <w:szCs w:val="20"/>
          <w:color w:val="auto"/>
        </w:rPr>
      </w:pPr>
    </w:p>
    <w:p>
      <w:pPr>
        <w:ind w:left="700"/>
        <w:spacing w:after="0"/>
        <w:rPr>
          <w:sz w:val="20"/>
          <w:szCs w:val="20"/>
          <w:color w:val="auto"/>
        </w:rPr>
      </w:pPr>
      <w:r>
        <w:rPr>
          <w:rFonts w:ascii="Arial" w:cs="Arial" w:eastAsia="Arial" w:hAnsi="Arial"/>
          <w:sz w:val="13"/>
          <w:szCs w:val="13"/>
          <w:color w:val="auto"/>
        </w:rPr>
        <w:t>Attention: Ms. Christine Hutchinson Telephone: (617) 434-2385</w:t>
      </w:r>
    </w:p>
    <w:p>
      <w:pPr>
        <w:ind w:left="700"/>
        <w:spacing w:after="0" w:line="237" w:lineRule="auto"/>
        <w:rPr>
          <w:sz w:val="20"/>
          <w:szCs w:val="20"/>
          <w:color w:val="auto"/>
        </w:rPr>
      </w:pPr>
      <w:r>
        <w:rPr>
          <w:rFonts w:ascii="Arial" w:cs="Arial" w:eastAsia="Arial" w:hAnsi="Arial"/>
          <w:sz w:val="13"/>
          <w:szCs w:val="13"/>
          <w:color w:val="auto"/>
        </w:rPr>
        <w:t>Facsimile: (617) 434-4131</w:t>
      </w:r>
    </w:p>
    <w:p>
      <w:pPr>
        <w:ind w:left="1260"/>
        <w:spacing w:after="0"/>
        <w:rPr>
          <w:sz w:val="20"/>
          <w:szCs w:val="20"/>
          <w:color w:val="auto"/>
        </w:rPr>
      </w:pPr>
      <w:r>
        <w:rPr>
          <w:rFonts w:ascii="Arial" w:cs="Arial" w:eastAsia="Arial" w:hAnsi="Arial"/>
          <w:sz w:val="13"/>
          <w:szCs w:val="13"/>
          <w:color w:val="auto"/>
        </w:rPr>
        <w:t>E-mail: christine.hutchinson@baml.com with a copy to:</w:t>
      </w:r>
    </w:p>
    <w:p>
      <w:pPr>
        <w:spacing w:after="0" w:line="4"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Morgan, Lewis &amp; Bockius LLP One Federal Street</w:t>
      </w:r>
    </w:p>
    <w:p>
      <w:pPr>
        <w:spacing w:after="0" w:line="4"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Boston, Massachusetts 02110-1726 Attention: Marjorie S. Crider,</w:t>
      </w:r>
    </w:p>
    <w:p>
      <w:pPr>
        <w:spacing w:after="0" w:line="4"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Esquire Telephone: (617) 341-7789</w:t>
      </w:r>
    </w:p>
    <w:p>
      <w:pPr>
        <w:ind w:left="1480"/>
        <w:spacing w:after="0" w:line="237" w:lineRule="auto"/>
        <w:rPr>
          <w:sz w:val="20"/>
          <w:szCs w:val="20"/>
          <w:color w:val="auto"/>
        </w:rPr>
      </w:pPr>
      <w:r>
        <w:rPr>
          <w:rFonts w:ascii="Arial" w:cs="Arial" w:eastAsia="Arial" w:hAnsi="Arial"/>
          <w:sz w:val="13"/>
          <w:szCs w:val="13"/>
          <w:color w:val="auto"/>
        </w:rPr>
        <w:t>Facsimile: (617) 341-7701</w:t>
      </w:r>
    </w:p>
    <w:p>
      <w:pPr>
        <w:ind w:left="1480"/>
        <w:spacing w:after="0"/>
        <w:rPr>
          <w:sz w:val="20"/>
          <w:szCs w:val="20"/>
          <w:color w:val="auto"/>
        </w:rPr>
      </w:pPr>
      <w:r>
        <w:rPr>
          <w:rFonts w:ascii="Arial" w:cs="Arial" w:eastAsia="Arial" w:hAnsi="Arial"/>
          <w:sz w:val="13"/>
          <w:szCs w:val="13"/>
          <w:color w:val="auto"/>
        </w:rPr>
        <w:t>E-mail: marjorie.crider@morganlewis.com</w:t>
      </w:r>
    </w:p>
    <w:p>
      <w:pPr>
        <w:spacing w:after="0" w:line="143" w:lineRule="exact"/>
        <w:rPr>
          <w:sz w:val="20"/>
          <w:szCs w:val="20"/>
          <w:color w:val="auto"/>
        </w:rPr>
      </w:pPr>
    </w:p>
    <w:p>
      <w:pPr>
        <w:ind w:left="700"/>
        <w:spacing w:after="0"/>
        <w:tabs>
          <w:tab w:leader="none" w:pos="1360" w:val="left"/>
          <w:tab w:leader="none" w:pos="2280" w:val="left"/>
          <w:tab w:leader="none" w:pos="2780" w:val="left"/>
        </w:tabs>
        <w:rPr>
          <w:sz w:val="20"/>
          <w:szCs w:val="20"/>
          <w:color w:val="auto"/>
        </w:rPr>
      </w:pPr>
      <w:r>
        <w:rPr>
          <w:rFonts w:ascii="Arial" w:cs="Arial" w:eastAsia="Arial" w:hAnsi="Arial"/>
          <w:sz w:val="13"/>
          <w:szCs w:val="13"/>
          <w:b w:val="1"/>
          <w:bCs w:val="1"/>
          <w:color w:val="auto"/>
        </w:rPr>
        <w:t>Account</w:t>
      </w:r>
      <w:r>
        <w:rPr>
          <w:sz w:val="20"/>
          <w:szCs w:val="20"/>
          <w:color w:val="auto"/>
        </w:rPr>
        <w:tab/>
      </w:r>
      <w:r>
        <w:rPr>
          <w:rFonts w:ascii="Arial" w:cs="Arial" w:eastAsia="Arial" w:hAnsi="Arial"/>
          <w:sz w:val="13"/>
          <w:szCs w:val="13"/>
          <w:b w:val="1"/>
          <w:bCs w:val="1"/>
          <w:color w:val="auto"/>
        </w:rPr>
        <w:t>Information;</w:t>
      </w:r>
      <w:r>
        <w:rPr>
          <w:sz w:val="20"/>
          <w:szCs w:val="20"/>
          <w:color w:val="auto"/>
        </w:rPr>
        <w:tab/>
      </w:r>
      <w:r>
        <w:rPr>
          <w:rFonts w:ascii="Arial" w:cs="Arial" w:eastAsia="Arial" w:hAnsi="Arial"/>
          <w:sz w:val="13"/>
          <w:szCs w:val="13"/>
          <w:color w:val="auto"/>
        </w:rPr>
        <w:t>Bank</w:t>
      </w:r>
      <w:r>
        <w:rPr>
          <w:sz w:val="20"/>
          <w:szCs w:val="20"/>
          <w:color w:val="auto"/>
        </w:rPr>
        <w:tab/>
      </w:r>
      <w:r>
        <w:rPr>
          <w:rFonts w:ascii="Arial" w:cs="Arial" w:eastAsia="Arial" w:hAnsi="Arial"/>
          <w:sz w:val="11"/>
          <w:szCs w:val="11"/>
          <w:color w:val="auto"/>
        </w:rPr>
        <w:t>of</w:t>
      </w:r>
    </w:p>
    <w:p>
      <w:pPr>
        <w:spacing w:after="0" w:line="18" w:lineRule="exact"/>
        <w:rPr>
          <w:sz w:val="20"/>
          <w:szCs w:val="20"/>
          <w:color w:val="auto"/>
        </w:rPr>
      </w:pPr>
    </w:p>
    <w:p>
      <w:pPr>
        <w:ind w:left="700"/>
        <w:spacing w:after="0"/>
        <w:rPr>
          <w:sz w:val="20"/>
          <w:szCs w:val="20"/>
          <w:color w:val="auto"/>
        </w:rPr>
      </w:pPr>
      <w:r>
        <w:rPr>
          <w:rFonts w:ascii="Arial" w:cs="Arial" w:eastAsia="Arial" w:hAnsi="Arial"/>
          <w:sz w:val="13"/>
          <w:szCs w:val="13"/>
          <w:color w:val="auto"/>
        </w:rPr>
        <w:t>America, N.A. ABA: [ ]</w:t>
      </w:r>
    </w:p>
    <w:p>
      <w:pPr>
        <w:spacing w:after="0" w:line="4" w:lineRule="exact"/>
        <w:rPr>
          <w:sz w:val="20"/>
          <w:szCs w:val="20"/>
          <w:color w:val="auto"/>
        </w:rPr>
      </w:pPr>
    </w:p>
    <w:p>
      <w:pPr>
        <w:ind w:left="700"/>
        <w:spacing w:after="0"/>
        <w:rPr>
          <w:sz w:val="20"/>
          <w:szCs w:val="20"/>
          <w:color w:val="auto"/>
        </w:rPr>
      </w:pPr>
      <w:r>
        <w:rPr>
          <w:rFonts w:ascii="Arial" w:cs="Arial" w:eastAsia="Arial" w:hAnsi="Arial"/>
          <w:sz w:val="13"/>
          <w:szCs w:val="13"/>
          <w:color w:val="auto"/>
        </w:rPr>
        <w:t>Account Name: Bank of America Retail Group Collection Account Number: [ ]</w:t>
      </w:r>
    </w:p>
    <w:p>
      <w:pPr>
        <w:spacing w:after="0" w:line="4" w:lineRule="exact"/>
        <w:rPr>
          <w:sz w:val="20"/>
          <w:szCs w:val="20"/>
          <w:color w:val="auto"/>
        </w:rPr>
      </w:pPr>
    </w:p>
    <w:p>
      <w:pPr>
        <w:ind w:left="700"/>
        <w:spacing w:after="0"/>
        <w:rPr>
          <w:sz w:val="20"/>
          <w:szCs w:val="20"/>
          <w:color w:val="auto"/>
        </w:rPr>
      </w:pPr>
      <w:r>
        <w:rPr>
          <w:rFonts w:ascii="Arial" w:cs="Arial" w:eastAsia="Arial" w:hAnsi="Arial"/>
          <w:sz w:val="13"/>
          <w:szCs w:val="13"/>
          <w:color w:val="auto"/>
        </w:rPr>
        <w:t>Ref: Destination XL Group, Inc.</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3"/>
          <w:szCs w:val="13"/>
          <w:b w:val="1"/>
          <w:bCs w:val="1"/>
          <w:color w:val="auto"/>
        </w:rPr>
        <w:t>Loan Parties</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3"/>
          <w:szCs w:val="13"/>
          <w:color w:val="auto"/>
        </w:rPr>
        <w:t>c/o Destination XL Group, Inc. 555 Turnpike Street</w:t>
      </w:r>
    </w:p>
    <w:p>
      <w:pPr>
        <w:spacing w:after="0" w:line="4" w:lineRule="exact"/>
        <w:rPr>
          <w:sz w:val="20"/>
          <w:szCs w:val="20"/>
          <w:color w:val="auto"/>
        </w:rPr>
      </w:pPr>
    </w:p>
    <w:p>
      <w:pPr>
        <w:ind w:left="700"/>
        <w:spacing w:after="0"/>
        <w:rPr>
          <w:sz w:val="20"/>
          <w:szCs w:val="20"/>
          <w:color w:val="auto"/>
        </w:rPr>
      </w:pPr>
      <w:r>
        <w:rPr>
          <w:rFonts w:ascii="Arial" w:cs="Arial" w:eastAsia="Arial" w:hAnsi="Arial"/>
          <w:sz w:val="13"/>
          <w:szCs w:val="13"/>
          <w:color w:val="auto"/>
        </w:rPr>
        <w:t>Canton, Massachusetts 02021 Attention: Mr. Peter H. Stratton, Jr.</w:t>
      </w:r>
    </w:p>
    <w:p>
      <w:pPr>
        <w:spacing w:after="0" w:line="4" w:lineRule="exact"/>
        <w:rPr>
          <w:sz w:val="20"/>
          <w:szCs w:val="20"/>
          <w:color w:val="auto"/>
        </w:rPr>
      </w:pPr>
    </w:p>
    <w:p>
      <w:pPr>
        <w:ind w:left="700"/>
        <w:spacing w:after="0"/>
        <w:rPr>
          <w:sz w:val="20"/>
          <w:szCs w:val="20"/>
          <w:color w:val="auto"/>
        </w:rPr>
      </w:pPr>
      <w:r>
        <w:rPr>
          <w:rFonts w:ascii="Arial" w:cs="Arial" w:eastAsia="Arial" w:hAnsi="Arial"/>
          <w:sz w:val="13"/>
          <w:szCs w:val="13"/>
          <w:color w:val="auto"/>
        </w:rPr>
        <w:t>Telephone: (781) 828-9300 ext. 2002</w:t>
      </w:r>
    </w:p>
    <w:p>
      <w:pPr>
        <w:ind w:left="700"/>
        <w:spacing w:after="0" w:line="237" w:lineRule="auto"/>
        <w:rPr>
          <w:sz w:val="20"/>
          <w:szCs w:val="20"/>
          <w:color w:val="auto"/>
        </w:rPr>
      </w:pPr>
      <w:r>
        <w:rPr>
          <w:rFonts w:ascii="Arial" w:cs="Arial" w:eastAsia="Arial" w:hAnsi="Arial"/>
          <w:sz w:val="13"/>
          <w:szCs w:val="13"/>
          <w:color w:val="auto"/>
        </w:rPr>
        <w:t>Facsimile: (781) 828-3221</w:t>
      </w:r>
    </w:p>
    <w:p>
      <w:pPr>
        <w:ind w:left="700"/>
        <w:spacing w:after="0"/>
        <w:rPr>
          <w:sz w:val="20"/>
          <w:szCs w:val="20"/>
          <w:color w:val="auto"/>
        </w:rPr>
      </w:pPr>
      <w:r>
        <w:rPr>
          <w:rFonts w:ascii="Arial" w:cs="Arial" w:eastAsia="Arial" w:hAnsi="Arial"/>
          <w:sz w:val="13"/>
          <w:szCs w:val="13"/>
          <w:color w:val="auto"/>
        </w:rPr>
        <w:t>E-Mail: pstratton@dxlg.com Website:</w:t>
      </w:r>
    </w:p>
    <w:p>
      <w:pPr>
        <w:spacing w:after="0" w:line="4" w:lineRule="exact"/>
        <w:rPr>
          <w:sz w:val="20"/>
          <w:szCs w:val="20"/>
          <w:color w:val="auto"/>
        </w:rPr>
      </w:pPr>
    </w:p>
    <w:p>
      <w:pPr>
        <w:ind w:left="700"/>
        <w:spacing w:after="0"/>
        <w:rPr>
          <w:sz w:val="20"/>
          <w:szCs w:val="20"/>
          <w:color w:val="auto"/>
        </w:rPr>
      </w:pPr>
      <w:r>
        <w:rPr>
          <w:rFonts w:ascii="Arial" w:cs="Arial" w:eastAsia="Arial" w:hAnsi="Arial"/>
          <w:sz w:val="13"/>
          <w:szCs w:val="13"/>
          <w:color w:val="auto"/>
        </w:rPr>
        <w:t>www.destinationxl.com</w:t>
      </w:r>
    </w:p>
    <w:p>
      <w:pPr>
        <w:spacing w:after="0" w:line="4"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with a copy to: Greenberg Traurig, LLP</w:t>
      </w:r>
    </w:p>
    <w:p>
      <w:pPr>
        <w:spacing w:after="0" w:line="4"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One International Place, Suite 2000 Boston, Massachusetts</w:t>
      </w:r>
    </w:p>
    <w:p>
      <w:pPr>
        <w:spacing w:after="0" w:line="4"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02110 Attention: Jonathan Bell, Esquire Telephone: (617) 310-</w:t>
      </w:r>
    </w:p>
    <w:p>
      <w:pPr>
        <w:spacing w:after="0" w:line="4"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6038</w:t>
      </w:r>
    </w:p>
    <w:p>
      <w:pPr>
        <w:spacing w:after="0" w:line="4"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Facsimile: (617) 279-8438 E-mail:</w:t>
      </w:r>
    </w:p>
    <w:p>
      <w:pPr>
        <w:spacing w:after="0" w:line="4"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bellj@gtlaw.com</w:t>
      </w:r>
    </w:p>
    <w:p>
      <w:pPr>
        <w:spacing w:after="0" w:line="289" w:lineRule="exact"/>
        <w:rPr>
          <w:sz w:val="20"/>
          <w:szCs w:val="20"/>
          <w:color w:val="auto"/>
        </w:rPr>
      </w:pPr>
    </w:p>
    <w:p>
      <w:pPr>
        <w:spacing w:after="0"/>
        <w:rPr>
          <w:sz w:val="20"/>
          <w:szCs w:val="20"/>
          <w:color w:val="auto"/>
        </w:rPr>
      </w:pPr>
      <w:r>
        <w:rPr>
          <w:rFonts w:ascii="Arial" w:cs="Arial" w:eastAsia="Arial" w:hAnsi="Arial"/>
          <w:sz w:val="10"/>
          <w:szCs w:val="10"/>
          <w:color w:val="auto"/>
        </w:rPr>
        <w:t>DB1/ 97585455.1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242570</wp:posOffset>
            </wp:positionV>
            <wp:extent cx="7329170" cy="368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19"/>
          </w:cols>
          <w:pgMar w:left="240" w:top="316" w:right="1440" w:bottom="1440" w:gutter="0" w:footer="0" w:header="0"/>
        </w:sectPr>
      </w:pPr>
    </w:p>
    <w:bookmarkStart w:id="191" w:name="page192"/>
    <w:bookmarkEnd w:id="191"/>
    <w:p>
      <w:pPr>
        <w:jc w:val="center"/>
        <w:ind w:right="-719"/>
        <w:spacing w:after="0"/>
        <w:rPr>
          <w:sz w:val="20"/>
          <w:szCs w:val="20"/>
          <w:color w:val="auto"/>
        </w:rPr>
      </w:pPr>
      <w:r>
        <w:rPr>
          <w:rFonts w:ascii="Arial" w:cs="Arial" w:eastAsia="Arial" w:hAnsi="Arial"/>
          <w:sz w:val="14"/>
          <w:szCs w:val="14"/>
          <w:b w:val="1"/>
          <w:bCs w:val="1"/>
          <w:color w:val="auto"/>
        </w:rPr>
        <w:t>EXHIBIT A</w:t>
      </w:r>
    </w:p>
    <w:p>
      <w:pPr>
        <w:spacing w:after="0" w:line="149" w:lineRule="exact"/>
        <w:rPr>
          <w:sz w:val="20"/>
          <w:szCs w:val="20"/>
          <w:color w:val="auto"/>
        </w:rPr>
      </w:pPr>
    </w:p>
    <w:p>
      <w:pPr>
        <w:jc w:val="center"/>
        <w:ind w:right="-719"/>
        <w:spacing w:after="0"/>
        <w:rPr>
          <w:sz w:val="20"/>
          <w:szCs w:val="20"/>
          <w:color w:val="auto"/>
        </w:rPr>
      </w:pPr>
      <w:r>
        <w:rPr>
          <w:rFonts w:ascii="Arial" w:cs="Arial" w:eastAsia="Arial" w:hAnsi="Arial"/>
          <w:sz w:val="14"/>
          <w:szCs w:val="14"/>
          <w:u w:val="single" w:color="auto"/>
          <w:color w:val="auto"/>
        </w:rPr>
        <w:t>FORM OF COMMITTED LOAN NOTICE</w:t>
      </w:r>
    </w:p>
    <w:p>
      <w:pPr>
        <w:spacing w:after="0" w:line="298" w:lineRule="exact"/>
        <w:rPr>
          <w:sz w:val="20"/>
          <w:szCs w:val="20"/>
          <w:color w:val="auto"/>
        </w:rPr>
      </w:pPr>
    </w:p>
    <w:p>
      <w:pPr>
        <w:ind w:left="8000"/>
        <w:spacing w:after="0"/>
        <w:tabs>
          <w:tab w:leader="none" w:pos="9500" w:val="left"/>
        </w:tabs>
        <w:rPr>
          <w:sz w:val="20"/>
          <w:szCs w:val="20"/>
          <w:color w:val="auto"/>
        </w:rPr>
      </w:pPr>
      <w:r>
        <w:rPr>
          <w:rFonts w:ascii="Arial" w:cs="Arial" w:eastAsia="Arial" w:hAnsi="Arial"/>
          <w:sz w:val="7"/>
          <w:szCs w:val="7"/>
          <w:color w:val="auto"/>
        </w:rPr>
        <w:t>Date:</w:t>
      </w:r>
      <w:r>
        <w:rPr>
          <w:sz w:val="20"/>
          <w:szCs w:val="20"/>
          <w:color w:val="auto"/>
        </w:rPr>
        <w:tab/>
      </w:r>
      <w:r>
        <w:rPr>
          <w:rFonts w:ascii="Arial" w:cs="Arial" w:eastAsia="Arial" w:hAnsi="Arial"/>
          <w:sz w:val="7"/>
          <w:szCs w:val="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5277485</wp:posOffset>
            </wp:positionH>
            <wp:positionV relativeFrom="paragraph">
              <wp:posOffset>43815</wp:posOffset>
            </wp:positionV>
            <wp:extent cx="22860"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2860" cy="5715"/>
                    </a:xfrm>
                    <a:prstGeom prst="rect">
                      <a:avLst/>
                    </a:prstGeom>
                    <a:noFill/>
                  </pic:spPr>
                </pic:pic>
              </a:graphicData>
            </a:graphic>
          </wp:anchor>
        </w:drawing>
      </w:r>
    </w:p>
    <w:p>
      <w:pPr>
        <w:sectPr>
          <w:pgSz w:w="11900" w:h="16838" w:orient="portrait"/>
          <w:cols w:equalWidth="0" w:num="1">
            <w:col w:w="10740"/>
          </w:cols>
          <w:pgMar w:left="240" w:top="302" w:right="919" w:bottom="1440" w:gutter="0" w:footer="0" w:header="0"/>
        </w:sectPr>
      </w:pPr>
    </w:p>
    <w:p>
      <w:pPr>
        <w:spacing w:after="0" w:line="226"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To:</w:t>
      </w:r>
    </w:p>
    <w:p>
      <w:pPr>
        <w:spacing w:after="0" w:line="13" w:lineRule="exact"/>
        <w:rPr>
          <w:sz w:val="20"/>
          <w:szCs w:val="20"/>
          <w:color w:val="auto"/>
        </w:rPr>
      </w:pPr>
    </w:p>
    <w:p>
      <w:pPr>
        <w:ind w:left="700"/>
        <w:spacing w:after="0"/>
        <w:rPr>
          <w:sz w:val="20"/>
          <w:szCs w:val="20"/>
          <w:color w:val="auto"/>
        </w:rPr>
      </w:pPr>
      <w:r>
        <w:rPr>
          <w:rFonts w:ascii="Arial" w:cs="Arial" w:eastAsia="Arial" w:hAnsi="Arial"/>
          <w:sz w:val="13"/>
          <w:szCs w:val="13"/>
          <w:color w:val="auto"/>
        </w:rPr>
        <w:t>Gentlemen:</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Bank of America, N.A., as Agent Ladies and</w:t>
      </w:r>
    </w:p>
    <w:p>
      <w:pPr>
        <w:spacing w:after="0" w:line="247" w:lineRule="exact"/>
        <w:rPr>
          <w:sz w:val="20"/>
          <w:szCs w:val="20"/>
          <w:color w:val="auto"/>
        </w:rPr>
      </w:pPr>
    </w:p>
    <w:p>
      <w:pPr>
        <w:sectPr>
          <w:pgSz w:w="11900" w:h="16838" w:orient="portrait"/>
          <w:cols w:equalWidth="0" w:num="2">
            <w:col w:w="1380" w:space="340"/>
            <w:col w:w="9020"/>
          </w:cols>
          <w:pgMar w:left="240" w:top="302" w:right="919" w:bottom="1440" w:gutter="0" w:footer="0" w:header="0"/>
          <w:type w:val="continuous"/>
        </w:sectPr>
      </w:pPr>
    </w:p>
    <w:p>
      <w:pPr>
        <w:jc w:val="both"/>
        <w:ind w:left="700" w:firstLine="675"/>
        <w:spacing w:after="0" w:line="270" w:lineRule="auto"/>
        <w:rPr>
          <w:sz w:val="20"/>
          <w:szCs w:val="20"/>
          <w:color w:val="auto"/>
        </w:rPr>
      </w:pPr>
      <w:r>
        <w:rPr>
          <w:rFonts w:ascii="Arial" w:cs="Arial" w:eastAsia="Arial" w:hAnsi="Arial"/>
          <w:sz w:val="13"/>
          <w:szCs w:val="13"/>
          <w:color w:val="auto"/>
        </w:rPr>
        <w:t>Reference is made to the Seventh Amended and Restated Credit Agreement dated as of May 24, 2018 (as amended, restated, supplemented or otherwise modified and in effect from time to time, the “</w:t>
      </w:r>
      <w:r>
        <w:rPr>
          <w:rFonts w:ascii="Arial" w:cs="Arial" w:eastAsia="Arial" w:hAnsi="Arial"/>
          <w:sz w:val="13"/>
          <w:szCs w:val="13"/>
          <w:u w:val="single" w:color="auto"/>
          <w:color w:val="auto"/>
        </w:rPr>
        <w:t>Credit Agreement</w:t>
      </w:r>
      <w:r>
        <w:rPr>
          <w:rFonts w:ascii="Arial" w:cs="Arial" w:eastAsia="Arial" w:hAnsi="Arial"/>
          <w:sz w:val="13"/>
          <w:szCs w:val="13"/>
          <w:color w:val="auto"/>
        </w:rPr>
        <w:t>”) by, among others, (i) DESTINATION XL GROUP, INC., a Delaware corporation, for itself and as Lead Borrower (in such capacity, the “</w:t>
      </w:r>
      <w:r>
        <w:rPr>
          <w:rFonts w:ascii="Arial" w:cs="Arial" w:eastAsia="Arial" w:hAnsi="Arial"/>
          <w:sz w:val="13"/>
          <w:szCs w:val="13"/>
          <w:u w:val="single" w:color="auto"/>
          <w:color w:val="auto"/>
        </w:rPr>
        <w:t>Lead Borrower</w:t>
      </w:r>
      <w:r>
        <w:rPr>
          <w:rFonts w:ascii="Arial" w:cs="Arial" w:eastAsia="Arial" w:hAnsi="Arial"/>
          <w:sz w:val="13"/>
          <w:szCs w:val="13"/>
          <w:color w:val="auto"/>
        </w:rPr>
        <w:t>”) for the other Borrowers party thereto from time to time (individually, a “</w:t>
      </w:r>
      <w:r>
        <w:rPr>
          <w:rFonts w:ascii="Arial" w:cs="Arial" w:eastAsia="Arial" w:hAnsi="Arial"/>
          <w:sz w:val="13"/>
          <w:szCs w:val="13"/>
          <w:u w:val="single" w:color="auto"/>
          <w:color w:val="auto"/>
        </w:rPr>
        <w:t>Borrower</w:t>
      </w:r>
      <w:r>
        <w:rPr>
          <w:rFonts w:ascii="Arial" w:cs="Arial" w:eastAsia="Arial" w:hAnsi="Arial"/>
          <w:sz w:val="13"/>
          <w:szCs w:val="13"/>
          <w:color w:val="auto"/>
        </w:rPr>
        <w:t>” and, collectively, the “</w:t>
      </w:r>
      <w:r>
        <w:rPr>
          <w:rFonts w:ascii="Arial" w:cs="Arial" w:eastAsia="Arial" w:hAnsi="Arial"/>
          <w:sz w:val="13"/>
          <w:szCs w:val="13"/>
          <w:u w:val="single" w:color="auto"/>
          <w:color w:val="auto"/>
        </w:rPr>
        <w:t>Borrowers</w:t>
      </w:r>
      <w:r>
        <w:rPr>
          <w:rFonts w:ascii="Arial" w:cs="Arial" w:eastAsia="Arial" w:hAnsi="Arial"/>
          <w:sz w:val="13"/>
          <w:szCs w:val="13"/>
          <w:color w:val="auto"/>
        </w:rPr>
        <w:t>”), (ii) the Borrowers party thereto from time to time, (iii) the Guarantors party thereto from time to time, (iv) Bank of America, N.A., as administrative agent and collateral agent (in such capacities, the “</w:t>
      </w:r>
      <w:r>
        <w:rPr>
          <w:rFonts w:ascii="Arial" w:cs="Arial" w:eastAsia="Arial" w:hAnsi="Arial"/>
          <w:sz w:val="13"/>
          <w:szCs w:val="13"/>
          <w:u w:val="single" w:color="auto"/>
          <w:color w:val="auto"/>
        </w:rPr>
        <w:t>Agent</w:t>
      </w:r>
      <w:r>
        <w:rPr>
          <w:rFonts w:ascii="Arial" w:cs="Arial" w:eastAsia="Arial" w:hAnsi="Arial"/>
          <w:sz w:val="13"/>
          <w:szCs w:val="13"/>
          <w:color w:val="auto"/>
        </w:rPr>
        <w:t>”) for its own benefit and the benefit of the other Credit Parties referred to therein, and (v) the lenders from time to time party thereto (individually, a “</w:t>
      </w:r>
      <w:r>
        <w:rPr>
          <w:rFonts w:ascii="Arial" w:cs="Arial" w:eastAsia="Arial" w:hAnsi="Arial"/>
          <w:sz w:val="13"/>
          <w:szCs w:val="13"/>
          <w:u w:val="single" w:color="auto"/>
          <w:color w:val="auto"/>
        </w:rPr>
        <w:t>Lender</w:t>
      </w:r>
      <w:r>
        <w:rPr>
          <w:rFonts w:ascii="Arial" w:cs="Arial" w:eastAsia="Arial" w:hAnsi="Arial"/>
          <w:sz w:val="13"/>
          <w:szCs w:val="13"/>
          <w:color w:val="auto"/>
        </w:rPr>
        <w:t>” and, collectively, the “</w:t>
      </w:r>
      <w:r>
        <w:rPr>
          <w:rFonts w:ascii="Arial" w:cs="Arial" w:eastAsia="Arial" w:hAnsi="Arial"/>
          <w:sz w:val="13"/>
          <w:szCs w:val="13"/>
          <w:u w:val="single" w:color="auto"/>
          <w:color w:val="auto"/>
        </w:rPr>
        <w:t>Lenders</w:t>
      </w:r>
      <w:r>
        <w:rPr>
          <w:rFonts w:ascii="Arial" w:cs="Arial" w:eastAsia="Arial" w:hAnsi="Arial"/>
          <w:sz w:val="13"/>
          <w:szCs w:val="13"/>
          <w:color w:val="auto"/>
        </w:rPr>
        <w:t>”). All capitalized terms used herein and not otherwise defined shall have the same meaning herein as in the Credit Agreement.</w:t>
      </w:r>
    </w:p>
    <w:p>
      <w:pPr>
        <w:spacing w:after="0" w:line="99" w:lineRule="exact"/>
        <w:rPr>
          <w:sz w:val="20"/>
          <w:szCs w:val="20"/>
          <w:color w:val="auto"/>
        </w:rPr>
      </w:pPr>
    </w:p>
    <w:p>
      <w:pPr>
        <w:ind w:left="1460" w:hanging="767"/>
        <w:spacing w:after="0"/>
        <w:tabs>
          <w:tab w:leader="none" w:pos="1460" w:val="left"/>
        </w:tabs>
        <w:numPr>
          <w:ilvl w:val="0"/>
          <w:numId w:val="204"/>
        </w:numPr>
        <w:rPr>
          <w:rFonts w:ascii="Arial" w:cs="Arial" w:eastAsia="Arial" w:hAnsi="Arial"/>
          <w:sz w:val="13"/>
          <w:szCs w:val="13"/>
          <w:color w:val="auto"/>
        </w:rPr>
      </w:pPr>
      <w:r>
        <w:rPr>
          <w:rFonts w:ascii="Arial" w:cs="Arial" w:eastAsia="Arial" w:hAnsi="Arial"/>
          <w:sz w:val="14"/>
          <w:szCs w:val="14"/>
          <w:color w:val="auto"/>
        </w:rPr>
        <w:t>The Lead Borrower hereby requests (select one)</w:t>
      </w:r>
      <w:r>
        <w:rPr>
          <w:rFonts w:ascii="Arial" w:cs="Arial" w:eastAsia="Arial" w:hAnsi="Arial"/>
          <w:sz w:val="9"/>
          <w:szCs w:val="9"/>
          <w:color w:val="auto"/>
        </w:rPr>
        <w:t>1</w:t>
      </w:r>
      <w:r>
        <w:rPr>
          <w:rFonts w:ascii="Arial" w:cs="Arial" w:eastAsia="Arial" w:hAnsi="Arial"/>
          <w:sz w:val="14"/>
          <w:szCs w:val="14"/>
          <w:color w:val="auto"/>
        </w:rPr>
        <w:t>:</w:t>
      </w:r>
    </w:p>
    <w:p>
      <w:pPr>
        <w:sectPr>
          <w:pgSz w:w="11900" w:h="16838" w:orient="portrait"/>
          <w:cols w:equalWidth="0" w:num="1">
            <w:col w:w="10740"/>
          </w:cols>
          <w:pgMar w:left="240" w:top="302" w:right="919" w:bottom="1440" w:gutter="0" w:footer="0" w:header="0"/>
          <w:type w:val="continuous"/>
        </w:sectPr>
      </w:pPr>
    </w:p>
    <w:p>
      <w:pPr>
        <w:spacing w:after="0" w:line="73" w:lineRule="exact"/>
        <w:rPr>
          <w:sz w:val="20"/>
          <w:szCs w:val="20"/>
          <w:color w:val="auto"/>
        </w:rPr>
      </w:pPr>
    </w:p>
    <w:p>
      <w:pPr>
        <w:ind w:left="224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a Borrowing of:</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 Committed Loans</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 FILO Loan</w:t>
      </w:r>
    </w:p>
    <w:p>
      <w:pPr>
        <w:spacing w:after="0" w:line="156" w:lineRule="exact"/>
        <w:rPr>
          <w:sz w:val="20"/>
          <w:szCs w:val="20"/>
          <w:color w:val="auto"/>
        </w:rPr>
      </w:pPr>
    </w:p>
    <w:p>
      <w:pPr>
        <w:sectPr>
          <w:pgSz w:w="11900" w:h="16838" w:orient="portrait"/>
          <w:cols w:equalWidth="0" w:num="4">
            <w:col w:w="3000" w:space="720"/>
            <w:col w:w="900" w:space="100"/>
            <w:col w:w="1820" w:space="720"/>
            <w:col w:w="3480"/>
          </w:cols>
          <w:pgMar w:left="240" w:top="302" w:right="919" w:bottom="1440" w:gutter="0" w:footer="0" w:header="0"/>
          <w:type w:val="continuous"/>
        </w:sectPr>
      </w:pPr>
    </w:p>
    <w:p>
      <w:pPr>
        <w:ind w:left="224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a conversion of □ Committed Loans □ outstanding portion of the FILO Loan from one Type to the other</w:t>
      </w:r>
    </w:p>
    <w:p>
      <w:pPr>
        <w:spacing w:after="0" w:line="168" w:lineRule="exact"/>
        <w:rPr>
          <w:sz w:val="20"/>
          <w:szCs w:val="20"/>
          <w:color w:val="auto"/>
        </w:rPr>
      </w:pPr>
    </w:p>
    <w:p>
      <w:pPr>
        <w:sectPr>
          <w:pgSz w:w="11900" w:h="16838" w:orient="portrait"/>
          <w:cols w:equalWidth="0" w:num="2">
            <w:col w:w="3000" w:space="720"/>
            <w:col w:w="7020"/>
          </w:cols>
          <w:pgMar w:left="240" w:top="302" w:right="919" w:bottom="1440" w:gutter="0" w:footer="0" w:header="0"/>
          <w:type w:val="continuous"/>
        </w:sectPr>
      </w:pPr>
    </w:p>
    <w:p>
      <w:pPr>
        <w:ind w:left="2240"/>
        <w:spacing w:after="0"/>
        <w:tabs>
          <w:tab w:leader="none" w:pos="24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a continuation of LIBOR Rate Loans:</w:t>
      </w:r>
    </w:p>
    <w:p>
      <w:pPr>
        <w:spacing w:after="0" w:line="217" w:lineRule="exact"/>
        <w:rPr>
          <w:sz w:val="20"/>
          <w:szCs w:val="20"/>
          <w:color w:val="auto"/>
        </w:rPr>
      </w:pPr>
    </w:p>
    <w:tbl>
      <w:tblPr>
        <w:tblLayout w:type="fixed"/>
        <w:tblInd w:w="500" w:type="dxa"/>
        <w:tblCellMar>
          <w:top w:w="0" w:type="dxa"/>
          <w:left w:w="0" w:type="dxa"/>
          <w:bottom w:w="0" w:type="dxa"/>
          <w:right w:w="0" w:type="dxa"/>
        </w:tblCellMar>
      </w:tblPr>
      <w:tr>
        <w:trPr>
          <w:trHeight w:val="191"/>
        </w:trPr>
        <w:tc>
          <w:tcPr>
            <w:tcW w:w="220" w:type="dxa"/>
            <w:vAlign w:val="bottom"/>
          </w:tcPr>
          <w:p>
            <w:pPr>
              <w:spacing w:after="0"/>
              <w:rPr>
                <w:sz w:val="20"/>
                <w:szCs w:val="20"/>
                <w:color w:val="auto"/>
              </w:rPr>
            </w:pPr>
            <w:r>
              <w:rPr>
                <w:rFonts w:ascii="Arial" w:cs="Arial" w:eastAsia="Arial" w:hAnsi="Arial"/>
                <w:sz w:val="13"/>
                <w:szCs w:val="13"/>
                <w:color w:val="auto"/>
              </w:rPr>
              <w:t>(a)</w:t>
            </w:r>
          </w:p>
        </w:tc>
        <w:tc>
          <w:tcPr>
            <w:tcW w:w="2320" w:type="dxa"/>
            <w:vAlign w:val="bottom"/>
          </w:tcPr>
          <w:p>
            <w:pPr>
              <w:ind w:left="60"/>
              <w:spacing w:after="0"/>
              <w:rPr>
                <w:sz w:val="20"/>
                <w:szCs w:val="20"/>
                <w:color w:val="auto"/>
              </w:rPr>
            </w:pPr>
            <w:r>
              <w:rPr>
                <w:rFonts w:ascii="Arial" w:cs="Arial" w:eastAsia="Arial" w:hAnsi="Arial"/>
                <w:sz w:val="14"/>
                <w:szCs w:val="14"/>
                <w:color w:val="auto"/>
              </w:rPr>
              <w:t>On</w:t>
            </w:r>
          </w:p>
        </w:tc>
        <w:tc>
          <w:tcPr>
            <w:tcW w:w="4240" w:type="dxa"/>
            <w:vAlign w:val="bottom"/>
          </w:tcPr>
          <w:p>
            <w:pPr>
              <w:jc w:val="right"/>
              <w:ind w:right="1940"/>
              <w:spacing w:after="0"/>
              <w:rPr>
                <w:sz w:val="20"/>
                <w:szCs w:val="20"/>
                <w:color w:val="auto"/>
              </w:rPr>
            </w:pPr>
            <w:r>
              <w:rPr>
                <w:rFonts w:ascii="Arial" w:cs="Arial" w:eastAsia="Arial" w:hAnsi="Arial"/>
                <w:sz w:val="14"/>
                <w:szCs w:val="14"/>
                <w:color w:val="auto"/>
              </w:rPr>
              <w:t>(a Business Day)</w:t>
            </w:r>
            <w:r>
              <w:rPr>
                <w:rFonts w:ascii="Arial" w:cs="Arial" w:eastAsia="Arial" w:hAnsi="Arial"/>
                <w:sz w:val="9"/>
                <w:szCs w:val="9"/>
                <w:color w:val="auto"/>
              </w:rPr>
              <w:t>2</w:t>
            </w:r>
          </w:p>
        </w:tc>
        <w:tc>
          <w:tcPr>
            <w:tcW w:w="0" w:type="dxa"/>
            <w:vAlign w:val="bottom"/>
          </w:tcPr>
          <w:p>
            <w:pPr>
              <w:spacing w:after="0"/>
              <w:rPr>
                <w:sz w:val="1"/>
                <w:szCs w:val="1"/>
                <w:color w:val="auto"/>
              </w:rPr>
            </w:pPr>
          </w:p>
        </w:tc>
      </w:tr>
      <w:tr>
        <w:trPr>
          <w:trHeight w:val="220"/>
        </w:trPr>
        <w:tc>
          <w:tcPr>
            <w:tcW w:w="220" w:type="dxa"/>
            <w:vAlign w:val="bottom"/>
            <w:vMerge w:val="restart"/>
          </w:tcPr>
          <w:p>
            <w:pPr>
              <w:spacing w:after="0"/>
              <w:rPr>
                <w:sz w:val="20"/>
                <w:szCs w:val="20"/>
                <w:color w:val="auto"/>
              </w:rPr>
            </w:pPr>
            <w:r>
              <w:rPr>
                <w:rFonts w:ascii="Arial" w:cs="Arial" w:eastAsia="Arial" w:hAnsi="Arial"/>
                <w:sz w:val="13"/>
                <w:szCs w:val="13"/>
                <w:color w:val="auto"/>
              </w:rPr>
              <w:t>(b)</w:t>
            </w:r>
          </w:p>
        </w:tc>
        <w:tc>
          <w:tcPr>
            <w:tcW w:w="2320" w:type="dxa"/>
            <w:vAlign w:val="bottom"/>
            <w:vMerge w:val="restart"/>
          </w:tcPr>
          <w:p>
            <w:pPr>
              <w:ind w:left="60"/>
              <w:spacing w:after="0"/>
              <w:rPr>
                <w:sz w:val="20"/>
                <w:szCs w:val="20"/>
                <w:color w:val="auto"/>
              </w:rPr>
            </w:pPr>
            <w:r>
              <w:rPr>
                <w:rFonts w:ascii="Arial" w:cs="Arial" w:eastAsia="Arial" w:hAnsi="Arial"/>
                <w:sz w:val="14"/>
                <w:szCs w:val="14"/>
                <w:color w:val="auto"/>
              </w:rPr>
              <w:t>In the amount of $</w:t>
            </w:r>
          </w:p>
        </w:tc>
        <w:tc>
          <w:tcPr>
            <w:tcW w:w="4240" w:type="dxa"/>
            <w:vAlign w:val="bottom"/>
          </w:tcPr>
          <w:p>
            <w:pPr>
              <w:jc w:val="right"/>
              <w:spacing w:after="0"/>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77"/>
        </w:trPr>
        <w:tc>
          <w:tcPr>
            <w:tcW w:w="220" w:type="dxa"/>
            <w:vAlign w:val="bottom"/>
            <w:vMerge w:val="continue"/>
          </w:tcPr>
          <w:p>
            <w:pPr>
              <w:spacing w:after="0"/>
              <w:rPr>
                <w:sz w:val="6"/>
                <w:szCs w:val="6"/>
                <w:color w:val="auto"/>
              </w:rPr>
            </w:pPr>
          </w:p>
        </w:tc>
        <w:tc>
          <w:tcPr>
            <w:tcW w:w="2320" w:type="dxa"/>
            <w:vAlign w:val="bottom"/>
            <w:vMerge w:val="continue"/>
          </w:tcPr>
          <w:p>
            <w:pPr>
              <w:spacing w:after="0"/>
              <w:rPr>
                <w:sz w:val="6"/>
                <w:szCs w:val="6"/>
                <w:color w:val="auto"/>
              </w:rPr>
            </w:pPr>
          </w:p>
        </w:tc>
        <w:tc>
          <w:tcPr>
            <w:tcW w:w="4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ind w:left="700"/>
        <w:spacing w:after="0"/>
        <w:rPr>
          <w:sz w:val="20"/>
          <w:szCs w:val="20"/>
          <w:color w:val="auto"/>
        </w:rPr>
      </w:pPr>
      <w:r>
        <w:rPr>
          <w:rFonts w:ascii="Arial" w:cs="Arial" w:eastAsia="Arial" w:hAnsi="Arial"/>
          <w:sz w:val="8"/>
          <w:szCs w:val="8"/>
          <w:color w:val="auto"/>
        </w:rPr>
        <w:t xml:space="preserve">1 </w:t>
      </w:r>
      <w:r>
        <w:rPr>
          <w:rFonts w:ascii="Arial" w:cs="Arial" w:eastAsia="Arial" w:hAnsi="Arial"/>
          <w:sz w:val="12"/>
          <w:szCs w:val="12"/>
          <w:color w:val="auto"/>
        </w:rPr>
        <w:t>A Borrowing must be a borrowing consisting of simultaneous Loans of the same Type and, in the case of LIBOR Rate Loans, must have the same Interest Period.</w:t>
      </w:r>
    </w:p>
    <w:p>
      <w:pPr>
        <w:spacing w:after="0" w:line="141" w:lineRule="exact"/>
        <w:rPr>
          <w:sz w:val="20"/>
          <w:szCs w:val="20"/>
          <w:color w:val="auto"/>
        </w:rPr>
      </w:pPr>
    </w:p>
    <w:p>
      <w:pPr>
        <w:ind w:left="700"/>
        <w:spacing w:after="0" w:line="276" w:lineRule="auto"/>
        <w:rPr>
          <w:sz w:val="20"/>
          <w:szCs w:val="20"/>
          <w:color w:val="auto"/>
        </w:rPr>
      </w:pPr>
      <w:r>
        <w:rPr>
          <w:rFonts w:ascii="Arial" w:cs="Arial" w:eastAsia="Arial" w:hAnsi="Arial"/>
          <w:sz w:val="8"/>
          <w:szCs w:val="8"/>
          <w:color w:val="auto"/>
        </w:rPr>
        <w:t xml:space="preserve">2 </w:t>
      </w:r>
      <w:r>
        <w:rPr>
          <w:rFonts w:ascii="Arial" w:cs="Arial" w:eastAsia="Arial" w:hAnsi="Arial"/>
          <w:sz w:val="12"/>
          <w:szCs w:val="12"/>
          <w:color w:val="auto"/>
        </w:rPr>
        <w:t>Each notice of a Borrowing must be received by the Agent not later than 1:00 p.m. (i) three Business Days prior to the requested date of any Borrowing of, Conversion to or continuation of LIBOR Rate</w:t>
      </w:r>
      <w:r>
        <w:rPr>
          <w:rFonts w:ascii="Arial" w:cs="Arial" w:eastAsia="Arial" w:hAnsi="Arial"/>
          <w:sz w:val="8"/>
          <w:szCs w:val="8"/>
          <w:color w:val="auto"/>
        </w:rPr>
        <w:t xml:space="preserve"> </w:t>
      </w:r>
      <w:r>
        <w:rPr>
          <w:rFonts w:ascii="Arial" w:cs="Arial" w:eastAsia="Arial" w:hAnsi="Arial"/>
          <w:sz w:val="12"/>
          <w:szCs w:val="12"/>
          <w:color w:val="auto"/>
        </w:rPr>
        <w:t>Loans or of any Conversion of LIBOR Rate Loans to Base Rate Loans, and (ii) one Business Day prior to the requested date of any Borrowing of Base Rate Loans.</w:t>
      </w:r>
    </w:p>
    <w:p>
      <w:pPr>
        <w:spacing w:after="0" w:line="106" w:lineRule="exact"/>
        <w:rPr>
          <w:sz w:val="20"/>
          <w:szCs w:val="20"/>
          <w:color w:val="auto"/>
        </w:rPr>
      </w:pPr>
    </w:p>
    <w:p>
      <w:pPr>
        <w:ind w:left="700"/>
        <w:spacing w:after="0"/>
        <w:rPr>
          <w:sz w:val="20"/>
          <w:szCs w:val="20"/>
          <w:color w:val="auto"/>
        </w:rPr>
      </w:pPr>
      <w:r>
        <w:rPr>
          <w:rFonts w:ascii="Arial" w:cs="Arial" w:eastAsia="Arial" w:hAnsi="Arial"/>
          <w:sz w:val="8"/>
          <w:szCs w:val="8"/>
          <w:color w:val="auto"/>
        </w:rPr>
        <w:t xml:space="preserve">3 </w:t>
      </w:r>
      <w:r>
        <w:rPr>
          <w:rFonts w:ascii="Arial" w:cs="Arial" w:eastAsia="Arial" w:hAnsi="Arial"/>
          <w:sz w:val="12"/>
          <w:szCs w:val="12"/>
          <w:color w:val="auto"/>
        </w:rPr>
        <w:t>Each Borrowing, conversion to, or continuation of LIBOR Rate Loans must be in a principal amount of</w:t>
      </w:r>
    </w:p>
    <w:p>
      <w:pPr>
        <w:spacing w:after="0" w:line="15" w:lineRule="exact"/>
        <w:rPr>
          <w:sz w:val="20"/>
          <w:szCs w:val="20"/>
          <w:color w:val="auto"/>
        </w:rPr>
      </w:pPr>
    </w:p>
    <w:p>
      <w:pPr>
        <w:ind w:left="700"/>
        <w:spacing w:after="0" w:line="261" w:lineRule="auto"/>
        <w:rPr>
          <w:sz w:val="20"/>
          <w:szCs w:val="20"/>
          <w:color w:val="auto"/>
        </w:rPr>
      </w:pPr>
      <w:r>
        <w:rPr>
          <w:rFonts w:ascii="Arial" w:cs="Arial" w:eastAsia="Arial" w:hAnsi="Arial"/>
          <w:sz w:val="12"/>
          <w:szCs w:val="12"/>
          <w:color w:val="auto"/>
        </w:rPr>
        <w:t xml:space="preserve">$1,000,000 or a whole multiple of $100,000 in excess thereof. Except as provided in </w:t>
      </w:r>
      <w:r>
        <w:rPr>
          <w:rFonts w:ascii="Arial" w:cs="Arial" w:eastAsia="Arial" w:hAnsi="Arial"/>
          <w:sz w:val="12"/>
          <w:szCs w:val="12"/>
          <w:u w:val="single" w:color="auto"/>
          <w:color w:val="auto"/>
        </w:rPr>
        <w:t>Sections 2.03(c)</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2.04(c)</w:t>
      </w:r>
      <w:r>
        <w:rPr>
          <w:rFonts w:ascii="Arial" w:cs="Arial" w:eastAsia="Arial" w:hAnsi="Arial"/>
          <w:sz w:val="12"/>
          <w:szCs w:val="12"/>
          <w:color w:val="auto"/>
        </w:rPr>
        <w:t>, each Borrowing of or Conversion to Base Rate Loans shall be in sum minimum amounts as the Agent may require.</w:t>
      </w:r>
    </w:p>
    <w:p>
      <w:pPr>
        <w:spacing w:after="0" w:line="264" w:lineRule="exact"/>
        <w:rPr>
          <w:sz w:val="20"/>
          <w:szCs w:val="20"/>
          <w:color w:val="auto"/>
        </w:rPr>
      </w:pPr>
    </w:p>
    <w:p>
      <w:pPr>
        <w:spacing w:after="0"/>
        <w:rPr>
          <w:sz w:val="20"/>
          <w:szCs w:val="20"/>
          <w:color w:val="auto"/>
        </w:rPr>
      </w:pPr>
      <w:r>
        <w:rPr>
          <w:rFonts w:ascii="Arial" w:cs="Arial" w:eastAsia="Arial" w:hAnsi="Arial"/>
          <w:sz w:val="10"/>
          <w:szCs w:val="10"/>
          <w:color w:val="auto"/>
        </w:rPr>
        <w:t>DB1/ 97585455.1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242570</wp:posOffset>
            </wp:positionV>
            <wp:extent cx="7329170" cy="368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740"/>
          </w:cols>
          <w:pgMar w:left="240" w:top="302" w:right="919" w:bottom="1440" w:gutter="0" w:footer="0" w:header="0"/>
          <w:type w:val="continuous"/>
        </w:sectPr>
      </w:pPr>
    </w:p>
    <w:bookmarkStart w:id="192" w:name="page193"/>
    <w:bookmarkEnd w:id="192"/>
    <w:p>
      <w:pPr>
        <w:ind w:left="2240" w:hanging="773"/>
        <w:spacing w:after="0"/>
        <w:tabs>
          <w:tab w:leader="none" w:pos="2240" w:val="left"/>
        </w:tabs>
        <w:numPr>
          <w:ilvl w:val="0"/>
          <w:numId w:val="205"/>
        </w:numPr>
        <w:rPr>
          <w:rFonts w:ascii="Arial" w:cs="Arial" w:eastAsia="Arial" w:hAnsi="Arial"/>
          <w:sz w:val="13"/>
          <w:szCs w:val="13"/>
          <w:color w:val="auto"/>
        </w:rPr>
      </w:pPr>
      <w:r>
        <w:rPr>
          <w:rFonts w:ascii="Arial" w:cs="Arial" w:eastAsia="Arial" w:hAnsi="Arial"/>
          <w:sz w:val="14"/>
          <w:szCs w:val="14"/>
          <w:color w:val="auto"/>
        </w:rPr>
        <w:t>Comprised of [Base Rate][LIBOR Rate]Loans (Type of Committed Loan or the outstanding FILO Loan)</w:t>
      </w:r>
      <w:r>
        <w:rPr>
          <w:rFonts w:ascii="Arial" w:cs="Arial" w:eastAsia="Arial" w:hAnsi="Arial"/>
          <w:sz w:val="9"/>
          <w:szCs w:val="9"/>
          <w:color w:val="auto"/>
        </w:rPr>
        <w:t>4</w:t>
      </w:r>
    </w:p>
    <w:p>
      <w:pPr>
        <w:spacing w:after="0" w:line="136" w:lineRule="exact"/>
        <w:rPr>
          <w:rFonts w:ascii="Arial" w:cs="Arial" w:eastAsia="Arial" w:hAnsi="Arial"/>
          <w:sz w:val="13"/>
          <w:szCs w:val="13"/>
          <w:color w:val="auto"/>
        </w:rPr>
      </w:pPr>
    </w:p>
    <w:p>
      <w:pPr>
        <w:ind w:left="2240" w:hanging="773"/>
        <w:spacing w:after="0"/>
        <w:tabs>
          <w:tab w:leader="none" w:pos="2240" w:val="left"/>
        </w:tabs>
        <w:numPr>
          <w:ilvl w:val="0"/>
          <w:numId w:val="205"/>
        </w:numPr>
        <w:rPr>
          <w:rFonts w:ascii="Arial" w:cs="Arial" w:eastAsia="Arial" w:hAnsi="Arial"/>
          <w:sz w:val="13"/>
          <w:szCs w:val="13"/>
          <w:color w:val="auto"/>
        </w:rPr>
      </w:pPr>
      <w:r>
        <w:rPr>
          <w:rFonts w:ascii="Arial" w:cs="Arial" w:eastAsia="Arial" w:hAnsi="Arial"/>
          <w:sz w:val="14"/>
          <w:szCs w:val="14"/>
          <w:color w:val="auto"/>
        </w:rPr>
        <w:t>For LIBOR Rate Loans: with an Interest Period ofweek/month(s)</w:t>
      </w:r>
      <w:r>
        <w:rPr>
          <w:rFonts w:ascii="Arial" w:cs="Arial" w:eastAsia="Arial" w:hAnsi="Arial"/>
          <w:sz w:val="9"/>
          <w:szCs w:val="9"/>
          <w:color w:val="auto"/>
        </w:rPr>
        <w:t>5</w:t>
      </w:r>
    </w:p>
    <w:p>
      <w:pPr>
        <w:spacing w:after="0" w:line="208" w:lineRule="exact"/>
        <w:rPr>
          <w:sz w:val="20"/>
          <w:szCs w:val="20"/>
          <w:color w:val="auto"/>
        </w:rPr>
      </w:pPr>
    </w:p>
    <w:p>
      <w:pPr>
        <w:jc w:val="both"/>
        <w:ind w:left="700" w:firstLine="675"/>
        <w:spacing w:after="0" w:line="257" w:lineRule="auto"/>
        <w:rPr>
          <w:sz w:val="20"/>
          <w:szCs w:val="20"/>
          <w:color w:val="auto"/>
        </w:rPr>
      </w:pPr>
      <w:r>
        <w:rPr>
          <w:rFonts w:ascii="Arial" w:cs="Arial" w:eastAsia="Arial" w:hAnsi="Arial"/>
          <w:sz w:val="14"/>
          <w:szCs w:val="14"/>
          <w:color w:val="auto"/>
        </w:rPr>
        <w:t>The Lead Borrower hereby represents and warrants (for itself and on behalf of the other Borrowers) that (a) the Borrowing requested herein complies with Section 2.02 and the other provisions of the Credit Agreement and (b) the conditions specified in Sections 4.01 and 4.02 of the Credit Agreement have been satisfied on and as of the date specified in Item 1(a) above.</w:t>
      </w:r>
    </w:p>
    <w:p>
      <w:pPr>
        <w:spacing w:after="0" w:line="200" w:lineRule="exact"/>
        <w:rPr>
          <w:sz w:val="20"/>
          <w:szCs w:val="20"/>
          <w:color w:val="auto"/>
        </w:rPr>
      </w:pPr>
    </w:p>
    <w:p>
      <w:pPr>
        <w:spacing w:after="0" w:line="220" w:lineRule="exact"/>
        <w:rPr>
          <w:sz w:val="20"/>
          <w:szCs w:val="20"/>
          <w:color w:val="auto"/>
        </w:rPr>
      </w:pPr>
    </w:p>
    <w:p>
      <w:pPr>
        <w:ind w:left="5400"/>
        <w:spacing w:after="0"/>
        <w:rPr>
          <w:sz w:val="20"/>
          <w:szCs w:val="20"/>
          <w:color w:val="auto"/>
        </w:rPr>
      </w:pPr>
      <w:r>
        <w:rPr>
          <w:rFonts w:ascii="Arial" w:cs="Arial" w:eastAsia="Arial" w:hAnsi="Arial"/>
          <w:sz w:val="14"/>
          <w:szCs w:val="14"/>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700"/>
        <w:spacing w:after="0" w:line="276" w:lineRule="auto"/>
        <w:rPr>
          <w:sz w:val="20"/>
          <w:szCs w:val="20"/>
          <w:color w:val="auto"/>
        </w:rPr>
      </w:pPr>
      <w:r>
        <w:rPr>
          <w:rFonts w:ascii="Arial" w:cs="Arial" w:eastAsia="Arial" w:hAnsi="Arial"/>
          <w:sz w:val="8"/>
          <w:szCs w:val="8"/>
          <w:color w:val="auto"/>
        </w:rPr>
        <w:t xml:space="preserve">4 </w:t>
      </w:r>
      <w:r>
        <w:rPr>
          <w:rFonts w:ascii="Arial" w:cs="Arial" w:eastAsia="Arial" w:hAnsi="Arial"/>
          <w:sz w:val="12"/>
          <w:szCs w:val="12"/>
          <w:color w:val="auto"/>
        </w:rPr>
        <w:t>Committed Loans or the outstanding portion of the FILO Loan, as applicable, may be either Base Rate Loans or LIBOR Rate Loans. If the Type of Committed Loan or the outstanding portion of the FILO</w:t>
      </w:r>
      <w:r>
        <w:rPr>
          <w:rFonts w:ascii="Arial" w:cs="Arial" w:eastAsia="Arial" w:hAnsi="Arial"/>
          <w:sz w:val="8"/>
          <w:szCs w:val="8"/>
          <w:color w:val="auto"/>
        </w:rPr>
        <w:t xml:space="preserve"> </w:t>
      </w:r>
      <w:r>
        <w:rPr>
          <w:rFonts w:ascii="Arial" w:cs="Arial" w:eastAsia="Arial" w:hAnsi="Arial"/>
          <w:sz w:val="12"/>
          <w:szCs w:val="12"/>
          <w:color w:val="auto"/>
        </w:rPr>
        <w:t>Loan, as applicable, is not specified, then the applicable Committed Loans will be made as Base Rate Loans.</w:t>
      </w:r>
    </w:p>
    <w:p>
      <w:pPr>
        <w:spacing w:after="0" w:line="106" w:lineRule="exact"/>
        <w:rPr>
          <w:sz w:val="20"/>
          <w:szCs w:val="20"/>
          <w:color w:val="auto"/>
        </w:rPr>
      </w:pPr>
    </w:p>
    <w:p>
      <w:pPr>
        <w:jc w:val="both"/>
        <w:ind w:left="700"/>
        <w:spacing w:after="0" w:line="279" w:lineRule="auto"/>
        <w:rPr>
          <w:sz w:val="20"/>
          <w:szCs w:val="20"/>
          <w:color w:val="auto"/>
        </w:rPr>
      </w:pPr>
      <w:r>
        <w:rPr>
          <w:rFonts w:ascii="Arial" w:cs="Arial" w:eastAsia="Arial" w:hAnsi="Arial"/>
          <w:sz w:val="7"/>
          <w:szCs w:val="7"/>
          <w:color w:val="auto"/>
        </w:rPr>
        <w:t xml:space="preserve">5 </w:t>
      </w:r>
      <w:r>
        <w:rPr>
          <w:rFonts w:ascii="Arial" w:cs="Arial" w:eastAsia="Arial" w:hAnsi="Arial"/>
          <w:sz w:val="11"/>
          <w:szCs w:val="11"/>
          <w:color w:val="auto"/>
        </w:rPr>
        <w:t>The Lead Borrower may request a Borrowing of LIBOR Rate Loans with an Interest Period of one week or one, two, three or six months. If no election of Interest Period is specified, then the Lead Borrower</w:t>
      </w:r>
      <w:r>
        <w:rPr>
          <w:rFonts w:ascii="Arial" w:cs="Arial" w:eastAsia="Arial" w:hAnsi="Arial"/>
          <w:sz w:val="7"/>
          <w:szCs w:val="7"/>
          <w:color w:val="auto"/>
        </w:rPr>
        <w:t xml:space="preserve"> </w:t>
      </w:r>
      <w:r>
        <w:rPr>
          <w:rFonts w:ascii="Arial" w:cs="Arial" w:eastAsia="Arial" w:hAnsi="Arial"/>
          <w:sz w:val="11"/>
          <w:szCs w:val="11"/>
          <w:color w:val="auto"/>
        </w:rPr>
        <w:t>will be deemed to have specified an Interest Period of one month. After giving effect to all Committed Borrowings, all Conversions of Committed Loans or the outstanding FILO Loan, as applicable, from one Type to the other, and all continuations of Committed Loans or the outstanding FILO Loan, as applicable, as the same Type, there shall not be more than five</w:t>
      </w:r>
    </w:p>
    <w:p>
      <w:pPr>
        <w:ind w:left="1420" w:hanging="720"/>
        <w:spacing w:after="0"/>
        <w:tabs>
          <w:tab w:leader="none" w:pos="1420" w:val="left"/>
        </w:tabs>
        <w:numPr>
          <w:ilvl w:val="0"/>
          <w:numId w:val="206"/>
        </w:numPr>
        <w:rPr>
          <w:rFonts w:ascii="Arial" w:cs="Arial" w:eastAsia="Arial" w:hAnsi="Arial"/>
          <w:sz w:val="11"/>
          <w:szCs w:val="11"/>
          <w:color w:val="auto"/>
        </w:rPr>
      </w:pPr>
      <w:r>
        <w:rPr>
          <w:rFonts w:ascii="Arial" w:cs="Arial" w:eastAsia="Arial" w:hAnsi="Arial"/>
          <w:sz w:val="11"/>
          <w:szCs w:val="11"/>
          <w:color w:val="auto"/>
        </w:rPr>
        <w:t>Interest Periods in effect with respect to Revolving Loans that are LIBOR Rate Loans, or more than one (1) Interest Period in effect with respect to the FILO Loan that is a LIBOR Rate Loan.</w:t>
      </w:r>
    </w:p>
    <w:p>
      <w:pPr>
        <w:spacing w:after="0" w:line="293" w:lineRule="exact"/>
        <w:rPr>
          <w:sz w:val="20"/>
          <w:szCs w:val="20"/>
          <w:color w:val="auto"/>
        </w:rPr>
      </w:pPr>
    </w:p>
    <w:p>
      <w:pPr>
        <w:spacing w:after="0"/>
        <w:rPr>
          <w:sz w:val="20"/>
          <w:szCs w:val="20"/>
          <w:color w:val="auto"/>
        </w:rPr>
      </w:pPr>
      <w:r>
        <w:rPr>
          <w:rFonts w:ascii="Arial" w:cs="Arial" w:eastAsia="Arial" w:hAnsi="Arial"/>
          <w:sz w:val="10"/>
          <w:szCs w:val="10"/>
          <w:color w:val="auto"/>
        </w:rPr>
        <w:t>DB1/ 97585455.1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242570</wp:posOffset>
            </wp:positionV>
            <wp:extent cx="7329170" cy="368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740"/>
          </w:cols>
          <w:pgMar w:left="240" w:top="314" w:right="919" w:bottom="1440" w:gutter="0" w:footer="0" w:header="0"/>
        </w:sectPr>
      </w:pPr>
    </w:p>
    <w:bookmarkStart w:id="193" w:name="page194"/>
    <w:bookmarkEnd w:id="193"/>
    <w:p>
      <w:pPr>
        <w:ind w:left="1480"/>
        <w:spacing w:after="0"/>
        <w:rPr>
          <w:sz w:val="20"/>
          <w:szCs w:val="20"/>
          <w:color w:val="auto"/>
        </w:rPr>
      </w:pPr>
      <w:r>
        <w:rPr>
          <w:rFonts w:ascii="Arial" w:cs="Arial" w:eastAsia="Arial" w:hAnsi="Arial"/>
          <w:sz w:val="14"/>
          <w:szCs w:val="14"/>
          <w:color w:val="auto"/>
        </w:rPr>
        <w:t>Dated as of the date above first written.</w:t>
      </w:r>
    </w:p>
    <w:p>
      <w:pPr>
        <w:spacing w:after="0" w:line="145" w:lineRule="exact"/>
        <w:rPr>
          <w:sz w:val="20"/>
          <w:szCs w:val="20"/>
          <w:color w:val="auto"/>
        </w:rPr>
      </w:pPr>
    </w:p>
    <w:p>
      <w:pPr>
        <w:ind w:left="5320"/>
        <w:spacing w:after="0"/>
        <w:rPr>
          <w:sz w:val="20"/>
          <w:szCs w:val="20"/>
          <w:color w:val="auto"/>
        </w:rPr>
      </w:pPr>
      <w:r>
        <w:rPr>
          <w:rFonts w:ascii="Arial" w:cs="Arial" w:eastAsia="Arial" w:hAnsi="Arial"/>
          <w:sz w:val="13"/>
          <w:szCs w:val="13"/>
          <w:color w:val="auto"/>
        </w:rPr>
        <w:t>DESTINATION XL GROUP, INC., as Lead</w:t>
      </w:r>
    </w:p>
    <w:p>
      <w:pPr>
        <w:spacing w:after="0" w:line="25" w:lineRule="exact"/>
        <w:rPr>
          <w:sz w:val="20"/>
          <w:szCs w:val="20"/>
          <w:color w:val="auto"/>
        </w:rPr>
      </w:pPr>
    </w:p>
    <w:p>
      <w:pPr>
        <w:ind w:left="5320"/>
        <w:spacing w:after="0"/>
        <w:rPr>
          <w:sz w:val="20"/>
          <w:szCs w:val="20"/>
          <w:color w:val="auto"/>
        </w:rPr>
      </w:pPr>
      <w:r>
        <w:rPr>
          <w:rFonts w:ascii="Arial" w:cs="Arial" w:eastAsia="Arial" w:hAnsi="Arial"/>
          <w:sz w:val="14"/>
          <w:szCs w:val="14"/>
          <w:color w:val="auto"/>
        </w:rPr>
        <w:t>Borrower</w:t>
      </w:r>
    </w:p>
    <w:p>
      <w:pPr>
        <w:spacing w:after="0" w:line="133" w:lineRule="exact"/>
        <w:rPr>
          <w:sz w:val="20"/>
          <w:szCs w:val="20"/>
          <w:color w:val="auto"/>
        </w:rPr>
      </w:pPr>
    </w:p>
    <w:p>
      <w:pPr>
        <w:ind w:left="5320"/>
        <w:spacing w:after="0"/>
        <w:rPr>
          <w:sz w:val="20"/>
          <w:szCs w:val="20"/>
          <w:color w:val="auto"/>
        </w:rPr>
      </w:pPr>
      <w:r>
        <w:rPr>
          <w:rFonts w:ascii="Arial" w:cs="Arial" w:eastAsia="Arial" w:hAnsi="Arial"/>
          <w:sz w:val="14"/>
          <w:szCs w:val="14"/>
          <w:color w:val="auto"/>
        </w:rPr>
        <w:t>By:</w:t>
      </w:r>
    </w:p>
    <w:p>
      <w:pPr>
        <w:spacing w:after="0" w:line="13" w:lineRule="exact"/>
        <w:rPr>
          <w:sz w:val="20"/>
          <w:szCs w:val="20"/>
          <w:color w:val="auto"/>
        </w:rPr>
      </w:pPr>
    </w:p>
    <w:p>
      <w:pPr>
        <w:ind w:left="5320"/>
        <w:spacing w:after="0"/>
        <w:rPr>
          <w:sz w:val="20"/>
          <w:szCs w:val="20"/>
          <w:color w:val="auto"/>
        </w:rPr>
      </w:pPr>
      <w:r>
        <w:rPr>
          <w:rFonts w:ascii="Arial" w:cs="Arial" w:eastAsia="Arial" w:hAnsi="Arial"/>
          <w:sz w:val="14"/>
          <w:szCs w:val="14"/>
          <w:color w:val="auto"/>
        </w:rPr>
        <w:t>Name:</w:t>
      </w:r>
    </w:p>
    <w:p>
      <w:pPr>
        <w:spacing w:after="0" w:line="1" w:lineRule="exact"/>
        <w:rPr>
          <w:sz w:val="20"/>
          <w:szCs w:val="20"/>
          <w:color w:val="auto"/>
        </w:rPr>
      </w:pPr>
    </w:p>
    <w:p>
      <w:pPr>
        <w:ind w:left="5320"/>
        <w:spacing w:after="0"/>
        <w:rPr>
          <w:sz w:val="20"/>
          <w:szCs w:val="20"/>
          <w:color w:val="auto"/>
        </w:rPr>
      </w:pPr>
      <w:r>
        <w:rPr>
          <w:rFonts w:ascii="Arial" w:cs="Arial" w:eastAsia="Arial" w:hAnsi="Arial"/>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700"/>
        <w:spacing w:after="0"/>
        <w:rPr>
          <w:sz w:val="20"/>
          <w:szCs w:val="20"/>
          <w:color w:val="auto"/>
        </w:rPr>
      </w:pPr>
      <w:r>
        <w:rPr>
          <w:rFonts w:ascii="Arial" w:cs="Arial" w:eastAsia="Arial" w:hAnsi="Arial"/>
          <w:sz w:val="13"/>
          <w:szCs w:val="13"/>
          <w:color w:val="auto"/>
        </w:rPr>
        <w:t>Signature Page to Committed Loan Notice</w:t>
      </w:r>
    </w:p>
    <w:p>
      <w:pPr>
        <w:spacing w:after="0" w:line="299" w:lineRule="exact"/>
        <w:rPr>
          <w:sz w:val="20"/>
          <w:szCs w:val="20"/>
          <w:color w:val="auto"/>
        </w:rPr>
      </w:pPr>
    </w:p>
    <w:p>
      <w:pPr>
        <w:spacing w:after="0"/>
        <w:rPr>
          <w:sz w:val="20"/>
          <w:szCs w:val="20"/>
          <w:color w:val="auto"/>
        </w:rPr>
      </w:pPr>
      <w:r>
        <w:rPr>
          <w:rFonts w:ascii="Arial" w:cs="Arial" w:eastAsia="Arial" w:hAnsi="Arial"/>
          <w:sz w:val="10"/>
          <w:szCs w:val="10"/>
          <w:color w:val="auto"/>
        </w:rPr>
        <w:t>DB1/ 97582761.1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242570</wp:posOffset>
            </wp:positionV>
            <wp:extent cx="7329170" cy="368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19"/>
          </w:cols>
          <w:pgMar w:left="240" w:top="305" w:right="1440" w:bottom="1440" w:gutter="0" w:footer="0" w:header="0"/>
        </w:sectPr>
      </w:pPr>
    </w:p>
    <w:bookmarkStart w:id="194" w:name="page195"/>
    <w:bookmarkEnd w:id="194"/>
    <w:p>
      <w:pPr>
        <w:jc w:val="center"/>
        <w:ind w:right="-699"/>
        <w:spacing w:after="0"/>
        <w:rPr>
          <w:sz w:val="20"/>
          <w:szCs w:val="20"/>
          <w:color w:val="auto"/>
        </w:rPr>
      </w:pPr>
      <w:r>
        <w:rPr>
          <w:rFonts w:ascii="Arial" w:cs="Arial" w:eastAsia="Arial" w:hAnsi="Arial"/>
          <w:sz w:val="14"/>
          <w:szCs w:val="14"/>
          <w:b w:val="1"/>
          <w:bCs w:val="1"/>
          <w:color w:val="auto"/>
        </w:rPr>
        <w:t>EXHIBIT B</w:t>
      </w:r>
    </w:p>
    <w:p>
      <w:pPr>
        <w:spacing w:after="0" w:line="149" w:lineRule="exact"/>
        <w:rPr>
          <w:sz w:val="20"/>
          <w:szCs w:val="20"/>
          <w:color w:val="auto"/>
        </w:rPr>
      </w:pPr>
    </w:p>
    <w:p>
      <w:pPr>
        <w:jc w:val="center"/>
        <w:ind w:right="-699"/>
        <w:spacing w:after="0"/>
        <w:rPr>
          <w:sz w:val="20"/>
          <w:szCs w:val="20"/>
          <w:color w:val="auto"/>
        </w:rPr>
      </w:pPr>
      <w:r>
        <w:rPr>
          <w:rFonts w:ascii="Arial" w:cs="Arial" w:eastAsia="Arial" w:hAnsi="Arial"/>
          <w:sz w:val="14"/>
          <w:szCs w:val="14"/>
          <w:u w:val="single" w:color="auto"/>
          <w:color w:val="auto"/>
        </w:rPr>
        <w:t>FORM OF SWING LINE LOAN NOTICE</w:t>
      </w:r>
    </w:p>
    <w:p>
      <w:pPr>
        <w:spacing w:after="0" w:line="298" w:lineRule="exact"/>
        <w:rPr>
          <w:sz w:val="20"/>
          <w:szCs w:val="20"/>
          <w:color w:val="auto"/>
        </w:rPr>
      </w:pPr>
    </w:p>
    <w:p>
      <w:pPr>
        <w:ind w:left="8000"/>
        <w:spacing w:after="0"/>
        <w:tabs>
          <w:tab w:leader="none" w:pos="950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5277485</wp:posOffset>
            </wp:positionH>
            <wp:positionV relativeFrom="paragraph">
              <wp:posOffset>-6985</wp:posOffset>
            </wp:positionV>
            <wp:extent cx="22860"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2860" cy="5715"/>
                    </a:xfrm>
                    <a:prstGeom prst="rect">
                      <a:avLst/>
                    </a:prstGeom>
                    <a:noFill/>
                  </pic:spPr>
                </pic:pic>
              </a:graphicData>
            </a:graphic>
          </wp:anchor>
        </w:drawing>
      </w:r>
    </w:p>
    <w:p>
      <w:pPr>
        <w:spacing w:after="0" w:line="125" w:lineRule="exact"/>
        <w:rPr>
          <w:sz w:val="20"/>
          <w:szCs w:val="20"/>
          <w:color w:val="auto"/>
        </w:rPr>
      </w:pPr>
    </w:p>
    <w:p>
      <w:pPr>
        <w:ind w:left="700"/>
        <w:spacing w:after="0"/>
        <w:tabs>
          <w:tab w:leader="none" w:pos="1440" w:val="left"/>
        </w:tabs>
        <w:rPr>
          <w:sz w:val="20"/>
          <w:szCs w:val="20"/>
          <w:color w:val="auto"/>
        </w:rPr>
      </w:pPr>
      <w:r>
        <w:rPr>
          <w:rFonts w:ascii="Arial" w:cs="Arial" w:eastAsia="Arial" w:hAnsi="Arial"/>
          <w:sz w:val="14"/>
          <w:szCs w:val="14"/>
          <w:color w:val="auto"/>
        </w:rPr>
        <w:t>To:</w:t>
      </w:r>
      <w:r>
        <w:rPr>
          <w:sz w:val="20"/>
          <w:szCs w:val="20"/>
          <w:color w:val="auto"/>
        </w:rPr>
        <w:tab/>
      </w:r>
      <w:r>
        <w:rPr>
          <w:rFonts w:ascii="Arial" w:cs="Arial" w:eastAsia="Arial" w:hAnsi="Arial"/>
          <w:sz w:val="14"/>
          <w:szCs w:val="14"/>
          <w:color w:val="auto"/>
        </w:rPr>
        <w:t>Bank of America, N.A., as Swing Line Lender Bank of America, N.A., as Agent</w:t>
      </w:r>
    </w:p>
    <w:p>
      <w:pPr>
        <w:spacing w:after="0" w:line="14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Ladies and Gentlemen:</w:t>
      </w:r>
    </w:p>
    <w:p>
      <w:pPr>
        <w:spacing w:after="0" w:line="145" w:lineRule="exact"/>
        <w:rPr>
          <w:sz w:val="20"/>
          <w:szCs w:val="20"/>
          <w:color w:val="auto"/>
        </w:rPr>
      </w:pPr>
    </w:p>
    <w:p>
      <w:pPr>
        <w:jc w:val="both"/>
        <w:ind w:left="700" w:firstLine="675"/>
        <w:spacing w:after="0" w:line="270" w:lineRule="auto"/>
        <w:rPr>
          <w:sz w:val="20"/>
          <w:szCs w:val="20"/>
          <w:color w:val="auto"/>
        </w:rPr>
      </w:pPr>
      <w:r>
        <w:rPr>
          <w:rFonts w:ascii="Arial" w:cs="Arial" w:eastAsia="Arial" w:hAnsi="Arial"/>
          <w:sz w:val="13"/>
          <w:szCs w:val="13"/>
          <w:color w:val="auto"/>
        </w:rPr>
        <w:t>Reference is made to the Seventh Amended and Restated Credit Agreement dated as of May 24, 2018 (as amended, restated, supplemented or otherwise modified and in effect from time to time, the “</w:t>
      </w:r>
      <w:r>
        <w:rPr>
          <w:rFonts w:ascii="Arial" w:cs="Arial" w:eastAsia="Arial" w:hAnsi="Arial"/>
          <w:sz w:val="13"/>
          <w:szCs w:val="13"/>
          <w:u w:val="single" w:color="auto"/>
          <w:color w:val="auto"/>
        </w:rPr>
        <w:t>Credit Agreement</w:t>
      </w:r>
      <w:r>
        <w:rPr>
          <w:rFonts w:ascii="Arial" w:cs="Arial" w:eastAsia="Arial" w:hAnsi="Arial"/>
          <w:sz w:val="13"/>
          <w:szCs w:val="13"/>
          <w:color w:val="auto"/>
        </w:rPr>
        <w:t>”) by, among others, (i) DESTINATION XL GROUP, INC., a Delaware corporation, for itself and as Lead Borrower (in such capacity, the “</w:t>
      </w:r>
      <w:r>
        <w:rPr>
          <w:rFonts w:ascii="Arial" w:cs="Arial" w:eastAsia="Arial" w:hAnsi="Arial"/>
          <w:sz w:val="13"/>
          <w:szCs w:val="13"/>
          <w:u w:val="single" w:color="auto"/>
          <w:color w:val="auto"/>
        </w:rPr>
        <w:t>Lead Borrower</w:t>
      </w:r>
      <w:r>
        <w:rPr>
          <w:rFonts w:ascii="Arial" w:cs="Arial" w:eastAsia="Arial" w:hAnsi="Arial"/>
          <w:sz w:val="13"/>
          <w:szCs w:val="13"/>
          <w:color w:val="auto"/>
        </w:rPr>
        <w:t>”) for the other Borrowers party thereto from time to time (individually, a “</w:t>
      </w:r>
      <w:r>
        <w:rPr>
          <w:rFonts w:ascii="Arial" w:cs="Arial" w:eastAsia="Arial" w:hAnsi="Arial"/>
          <w:sz w:val="13"/>
          <w:szCs w:val="13"/>
          <w:u w:val="single" w:color="auto"/>
          <w:color w:val="auto"/>
        </w:rPr>
        <w:t>Borrower</w:t>
      </w:r>
      <w:r>
        <w:rPr>
          <w:rFonts w:ascii="Arial" w:cs="Arial" w:eastAsia="Arial" w:hAnsi="Arial"/>
          <w:sz w:val="13"/>
          <w:szCs w:val="13"/>
          <w:color w:val="auto"/>
        </w:rPr>
        <w:t>” and, collectively, the “</w:t>
      </w:r>
      <w:r>
        <w:rPr>
          <w:rFonts w:ascii="Arial" w:cs="Arial" w:eastAsia="Arial" w:hAnsi="Arial"/>
          <w:sz w:val="13"/>
          <w:szCs w:val="13"/>
          <w:u w:val="single" w:color="auto"/>
          <w:color w:val="auto"/>
        </w:rPr>
        <w:t>Borrowers</w:t>
      </w:r>
      <w:r>
        <w:rPr>
          <w:rFonts w:ascii="Arial" w:cs="Arial" w:eastAsia="Arial" w:hAnsi="Arial"/>
          <w:sz w:val="13"/>
          <w:szCs w:val="13"/>
          <w:color w:val="auto"/>
        </w:rPr>
        <w:t>”), (ii) the Borrowers party thereto from time to time, (iii) the Guarantors party thereto from time to time, (iv) Bank of America, N.A., as administrative agent and collateral agent (in such capacities, the “</w:t>
      </w:r>
      <w:r>
        <w:rPr>
          <w:rFonts w:ascii="Arial" w:cs="Arial" w:eastAsia="Arial" w:hAnsi="Arial"/>
          <w:sz w:val="13"/>
          <w:szCs w:val="13"/>
          <w:u w:val="single" w:color="auto"/>
          <w:color w:val="auto"/>
        </w:rPr>
        <w:t>Agent</w:t>
      </w:r>
      <w:r>
        <w:rPr>
          <w:rFonts w:ascii="Arial" w:cs="Arial" w:eastAsia="Arial" w:hAnsi="Arial"/>
          <w:sz w:val="13"/>
          <w:szCs w:val="13"/>
          <w:color w:val="auto"/>
        </w:rPr>
        <w:t>”) for its own benefit and the benefit of the other Credit Parties referred to therein, and (v) the lenders from time to time party thereto (individually, a “</w:t>
      </w:r>
      <w:r>
        <w:rPr>
          <w:rFonts w:ascii="Arial" w:cs="Arial" w:eastAsia="Arial" w:hAnsi="Arial"/>
          <w:sz w:val="13"/>
          <w:szCs w:val="13"/>
          <w:u w:val="single" w:color="auto"/>
          <w:color w:val="auto"/>
        </w:rPr>
        <w:t>Lender</w:t>
      </w:r>
      <w:r>
        <w:rPr>
          <w:rFonts w:ascii="Arial" w:cs="Arial" w:eastAsia="Arial" w:hAnsi="Arial"/>
          <w:sz w:val="13"/>
          <w:szCs w:val="13"/>
          <w:color w:val="auto"/>
        </w:rPr>
        <w:t>” and, collectively, the “</w:t>
      </w:r>
      <w:r>
        <w:rPr>
          <w:rFonts w:ascii="Arial" w:cs="Arial" w:eastAsia="Arial" w:hAnsi="Arial"/>
          <w:sz w:val="13"/>
          <w:szCs w:val="13"/>
          <w:u w:val="single" w:color="auto"/>
          <w:color w:val="auto"/>
        </w:rPr>
        <w:t>Lenders</w:t>
      </w:r>
      <w:r>
        <w:rPr>
          <w:rFonts w:ascii="Arial" w:cs="Arial" w:eastAsia="Arial" w:hAnsi="Arial"/>
          <w:sz w:val="13"/>
          <w:szCs w:val="13"/>
          <w:color w:val="auto"/>
        </w:rPr>
        <w:t>”). All capitalized terms used herein and not otherwise defined shall have the same meaning herein as in the Credit Agreement.</w:t>
      </w:r>
    </w:p>
    <w:p>
      <w:pPr>
        <w:spacing w:after="0" w:line="108"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The Lead Borrower hereby requests a Swing Line Borrowing:</w:t>
      </w:r>
    </w:p>
    <w:p>
      <w:pPr>
        <w:spacing w:after="0" w:line="127" w:lineRule="exact"/>
        <w:rPr>
          <w:sz w:val="20"/>
          <w:szCs w:val="20"/>
          <w:color w:val="auto"/>
        </w:rPr>
      </w:pPr>
    </w:p>
    <w:p>
      <w:pPr>
        <w:ind w:left="2240" w:hanging="773"/>
        <w:spacing w:after="0"/>
        <w:tabs>
          <w:tab w:leader="none" w:pos="2240" w:val="left"/>
        </w:tabs>
        <w:numPr>
          <w:ilvl w:val="0"/>
          <w:numId w:val="207"/>
        </w:numPr>
        <w:rPr>
          <w:rFonts w:ascii="Arial" w:cs="Arial" w:eastAsia="Arial" w:hAnsi="Arial"/>
          <w:sz w:val="14"/>
          <w:szCs w:val="14"/>
          <w:color w:val="auto"/>
        </w:rPr>
      </w:pPr>
      <w:r>
        <w:rPr>
          <w:rFonts w:ascii="Arial" w:cs="Arial" w:eastAsia="Arial" w:hAnsi="Arial"/>
          <w:sz w:val="14"/>
          <w:szCs w:val="14"/>
          <w:color w:val="auto"/>
        </w:rPr>
        <w:t>On(a Business Day)</w:t>
      </w:r>
      <w:r>
        <w:rPr>
          <w:rFonts w:ascii="Arial" w:cs="Arial" w:eastAsia="Arial" w:hAnsi="Arial"/>
          <w:sz w:val="9"/>
          <w:szCs w:val="9"/>
          <w:color w:val="auto"/>
        </w:rPr>
        <w:t>1</w:t>
      </w:r>
    </w:p>
    <w:p>
      <w:pPr>
        <w:spacing w:after="0" w:line="136" w:lineRule="exact"/>
        <w:rPr>
          <w:rFonts w:ascii="Arial" w:cs="Arial" w:eastAsia="Arial" w:hAnsi="Arial"/>
          <w:sz w:val="14"/>
          <w:szCs w:val="14"/>
          <w:color w:val="auto"/>
        </w:rPr>
      </w:pPr>
    </w:p>
    <w:p>
      <w:pPr>
        <w:ind w:left="2240" w:hanging="773"/>
        <w:spacing w:after="0"/>
        <w:tabs>
          <w:tab w:leader="none" w:pos="2240" w:val="left"/>
        </w:tabs>
        <w:numPr>
          <w:ilvl w:val="0"/>
          <w:numId w:val="207"/>
        </w:numPr>
        <w:rPr>
          <w:rFonts w:ascii="Arial" w:cs="Arial" w:eastAsia="Arial" w:hAnsi="Arial"/>
          <w:sz w:val="14"/>
          <w:szCs w:val="14"/>
          <w:color w:val="auto"/>
        </w:rPr>
      </w:pPr>
      <w:r>
        <w:rPr>
          <w:rFonts w:ascii="Arial" w:cs="Arial" w:eastAsia="Arial" w:hAnsi="Arial"/>
          <w:sz w:val="14"/>
          <w:szCs w:val="14"/>
          <w:color w:val="auto"/>
        </w:rPr>
        <w:t xml:space="preserve">In the amount of $ </w:t>
      </w:r>
      <w:r>
        <w:rPr>
          <w:rFonts w:ascii="Arial" w:cs="Arial" w:eastAsia="Arial" w:hAnsi="Arial"/>
          <w:sz w:val="9"/>
          <w:szCs w:val="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2086610</wp:posOffset>
            </wp:positionH>
            <wp:positionV relativeFrom="paragraph">
              <wp:posOffset>-6985</wp:posOffset>
            </wp:positionV>
            <wp:extent cx="22225"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2225" cy="5715"/>
                    </a:xfrm>
                    <a:prstGeom prst="rect">
                      <a:avLst/>
                    </a:prstGeom>
                    <a:noFill/>
                  </pic:spPr>
                </pic:pic>
              </a:graphicData>
            </a:graphic>
          </wp:anchor>
        </w:drawing>
      </w:r>
    </w:p>
    <w:p>
      <w:pPr>
        <w:spacing w:after="0" w:line="134"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The Swing Line Borrowing requested herein complies with the provisions of Section 2.04 of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580" w:hanging="881"/>
        <w:spacing w:after="0"/>
        <w:tabs>
          <w:tab w:leader="none" w:pos="1580" w:val="left"/>
        </w:tabs>
        <w:numPr>
          <w:ilvl w:val="0"/>
          <w:numId w:val="208"/>
        </w:numPr>
        <w:rPr>
          <w:rFonts w:ascii="Arial" w:cs="Arial" w:eastAsia="Arial" w:hAnsi="Arial"/>
          <w:sz w:val="7"/>
          <w:szCs w:val="7"/>
          <w:color w:val="auto"/>
        </w:rPr>
      </w:pPr>
      <w:r>
        <w:rPr>
          <w:rFonts w:ascii="Arial" w:cs="Arial" w:eastAsia="Arial" w:hAnsi="Arial"/>
          <w:sz w:val="11"/>
          <w:szCs w:val="11"/>
          <w:color w:val="auto"/>
        </w:rPr>
        <w:t>Each notice of a Swing Line Borrowing must be received by the Swing Line Lender and the Agent not later than 1:00 p.m. on the requested date of any Swing Line Borrowing.</w:t>
      </w:r>
    </w:p>
    <w:p>
      <w:pPr>
        <w:spacing w:after="0" w:line="153" w:lineRule="exact"/>
        <w:rPr>
          <w:sz w:val="20"/>
          <w:szCs w:val="20"/>
          <w:color w:val="auto"/>
        </w:rPr>
      </w:pPr>
    </w:p>
    <w:p>
      <w:pPr>
        <w:ind w:left="1560" w:hanging="860"/>
        <w:spacing w:after="0"/>
        <w:tabs>
          <w:tab w:leader="none" w:pos="1560" w:val="left"/>
        </w:tabs>
        <w:numPr>
          <w:ilvl w:val="0"/>
          <w:numId w:val="209"/>
        </w:numPr>
        <w:rPr>
          <w:rFonts w:ascii="Arial" w:cs="Arial" w:eastAsia="Arial" w:hAnsi="Arial"/>
          <w:sz w:val="8"/>
          <w:szCs w:val="8"/>
          <w:color w:val="auto"/>
        </w:rPr>
      </w:pPr>
      <w:r>
        <w:rPr>
          <w:rFonts w:ascii="Arial" w:cs="Arial" w:eastAsia="Arial" w:hAnsi="Arial"/>
          <w:sz w:val="12"/>
          <w:szCs w:val="12"/>
          <w:color w:val="auto"/>
        </w:rPr>
        <w:t>Each Swing Line Borrowing must be in a minimum amount of $100,000.</w:t>
      </w:r>
    </w:p>
    <w:p>
      <w:pPr>
        <w:spacing w:after="0" w:line="291" w:lineRule="exact"/>
        <w:rPr>
          <w:sz w:val="20"/>
          <w:szCs w:val="20"/>
          <w:color w:val="auto"/>
        </w:rPr>
      </w:pPr>
    </w:p>
    <w:p>
      <w:pPr>
        <w:spacing w:after="0"/>
        <w:rPr>
          <w:sz w:val="20"/>
          <w:szCs w:val="20"/>
          <w:color w:val="auto"/>
        </w:rPr>
      </w:pPr>
      <w:r>
        <w:rPr>
          <w:rFonts w:ascii="Arial" w:cs="Arial" w:eastAsia="Arial" w:hAnsi="Arial"/>
          <w:sz w:val="10"/>
          <w:szCs w:val="10"/>
          <w:color w:val="auto"/>
        </w:rPr>
        <w:t>DB1/ 97585109.1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242570</wp:posOffset>
            </wp:positionV>
            <wp:extent cx="7329170" cy="368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740"/>
          </w:cols>
          <w:pgMar w:left="240" w:top="302" w:right="919" w:bottom="1440" w:gutter="0" w:footer="0" w:header="0"/>
        </w:sectPr>
      </w:pPr>
    </w:p>
    <w:bookmarkStart w:id="195" w:name="page196"/>
    <w:bookmarkEnd w:id="195"/>
    <w:p>
      <w:pPr>
        <w:ind w:left="4740"/>
        <w:spacing w:after="0"/>
        <w:rPr>
          <w:sz w:val="20"/>
          <w:szCs w:val="20"/>
          <w:color w:val="auto"/>
        </w:rPr>
      </w:pPr>
      <w:r>
        <w:rPr>
          <w:rFonts w:ascii="Arial" w:cs="Arial" w:eastAsia="Arial" w:hAnsi="Arial"/>
          <w:sz w:val="13"/>
          <w:szCs w:val="13"/>
          <w:color w:val="auto"/>
        </w:rPr>
        <w:t>DESTINATION XL GROUP,</w:t>
      </w:r>
    </w:p>
    <w:p>
      <w:pPr>
        <w:spacing w:after="0" w:line="25"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Borrower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INC., as Lead</w:t>
      </w:r>
    </w:p>
    <w:p>
      <w:pPr>
        <w:spacing w:after="0" w:line="336" w:lineRule="exact"/>
        <w:rPr>
          <w:sz w:val="20"/>
          <w:szCs w:val="20"/>
          <w:color w:val="auto"/>
        </w:rPr>
      </w:pPr>
    </w:p>
    <w:p>
      <w:pPr>
        <w:sectPr>
          <w:pgSz w:w="11900" w:h="16838" w:orient="portrait"/>
          <w:cols w:equalWidth="0" w:num="2">
            <w:col w:w="6460" w:space="480"/>
            <w:col w:w="2699"/>
          </w:cols>
          <w:pgMar w:left="820" w:top="306" w:right="1440" w:bottom="1440" w:gutter="0" w:footer="0" w:header="0"/>
        </w:sectPr>
      </w:pPr>
    </w:p>
    <w:p>
      <w:pPr>
        <w:ind w:left="4740"/>
        <w:spacing w:after="0"/>
        <w:rPr>
          <w:sz w:val="20"/>
          <w:szCs w:val="20"/>
          <w:color w:val="auto"/>
        </w:rPr>
      </w:pPr>
      <w:r>
        <w:rPr>
          <w:rFonts w:ascii="Arial" w:cs="Arial" w:eastAsia="Arial" w:hAnsi="Arial"/>
          <w:sz w:val="14"/>
          <w:szCs w:val="14"/>
          <w:color w:val="auto"/>
        </w:rPr>
        <w:t>By:</w:t>
      </w:r>
    </w:p>
    <w:p>
      <w:pPr>
        <w:spacing w:after="0" w:line="13" w:lineRule="exact"/>
        <w:rPr>
          <w:sz w:val="20"/>
          <w:szCs w:val="20"/>
          <w:color w:val="auto"/>
        </w:rPr>
      </w:pPr>
    </w:p>
    <w:p>
      <w:pPr>
        <w:ind w:left="4740"/>
        <w:spacing w:after="0"/>
        <w:rPr>
          <w:sz w:val="20"/>
          <w:szCs w:val="20"/>
          <w:color w:val="auto"/>
        </w:rPr>
      </w:pPr>
      <w:r>
        <w:rPr>
          <w:rFonts w:ascii="Arial" w:cs="Arial" w:eastAsia="Arial" w:hAnsi="Arial"/>
          <w:sz w:val="13"/>
          <w:szCs w:val="13"/>
          <w:color w:val="auto"/>
        </w:rPr>
        <w:t>Name:</w:t>
      </w:r>
    </w:p>
    <w:p>
      <w:pPr>
        <w:spacing w:after="0" w:line="13"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Title:</w:t>
      </w:r>
    </w:p>
    <w:p>
      <w:pPr>
        <w:sectPr>
          <w:pgSz w:w="11900" w:h="16838" w:orient="portrait"/>
          <w:cols w:equalWidth="0" w:num="1">
            <w:col w:w="9639"/>
          </w:cols>
          <w:pgMar w:left="820" w:top="30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2640" w:val="left"/>
        </w:tabs>
        <w:rPr>
          <w:sz w:val="20"/>
          <w:szCs w:val="20"/>
          <w:color w:val="auto"/>
        </w:rPr>
      </w:pPr>
      <w:r>
        <w:rPr>
          <w:rFonts w:ascii="Arial" w:cs="Arial" w:eastAsia="Arial" w:hAnsi="Arial"/>
          <w:sz w:val="10"/>
          <w:szCs w:val="10"/>
          <w:color w:val="auto"/>
        </w:rPr>
        <w:t>DB1/ 97585109.1</w:t>
      </w:r>
      <w:r>
        <w:rPr>
          <w:sz w:val="20"/>
          <w:szCs w:val="20"/>
          <w:color w:val="auto"/>
        </w:rPr>
        <w:tab/>
      </w:r>
      <w:r>
        <w:rPr>
          <w:rFonts w:ascii="Arial" w:cs="Arial" w:eastAsia="Arial" w:hAnsi="Arial"/>
          <w:sz w:val="13"/>
          <w:szCs w:val="13"/>
          <w:color w:val="auto"/>
        </w:rPr>
        <w:t>Signature Page to Swing Line Loan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250190</wp:posOffset>
            </wp:positionV>
            <wp:extent cx="7329170" cy="368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9639"/>
          </w:cols>
          <w:pgMar w:left="820" w:top="306" w:right="1440" w:bottom="1440" w:gutter="0" w:footer="0" w:header="0"/>
          <w:type w:val="continuous"/>
        </w:sectPr>
      </w:pPr>
    </w:p>
    <w:bookmarkStart w:id="196" w:name="page197"/>
    <w:bookmarkEnd w:id="196"/>
    <w:tbl>
      <w:tblPr>
        <w:tblLayout w:type="fixed"/>
        <w:tblInd w:w="12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4120" w:type="dxa"/>
            <w:vAlign w:val="bottom"/>
            <w:gridSpan w:val="2"/>
          </w:tcPr>
          <w:p>
            <w:pPr>
              <w:jc w:val="center"/>
              <w:ind w:right="2200"/>
              <w:spacing w:after="0"/>
              <w:rPr>
                <w:sz w:val="20"/>
                <w:szCs w:val="20"/>
                <w:color w:val="auto"/>
              </w:rPr>
            </w:pPr>
            <w:r>
              <w:rPr>
                <w:rFonts w:ascii="Arial" w:cs="Arial" w:eastAsia="Arial" w:hAnsi="Arial"/>
                <w:sz w:val="14"/>
                <w:szCs w:val="14"/>
                <w:b w:val="1"/>
                <w:bCs w:val="1"/>
                <w:color w:val="auto"/>
              </w:rPr>
              <w:t>EXHIBIT C-1</w:t>
            </w:r>
          </w:p>
        </w:tc>
      </w:tr>
      <w:tr>
        <w:trPr>
          <w:trHeight w:val="291"/>
        </w:trPr>
        <w:tc>
          <w:tcPr>
            <w:tcW w:w="4060" w:type="dxa"/>
            <w:vAlign w:val="bottom"/>
          </w:tcPr>
          <w:p>
            <w:pPr>
              <w:spacing w:after="0"/>
              <w:rPr>
                <w:sz w:val="24"/>
                <w:szCs w:val="24"/>
                <w:color w:val="auto"/>
              </w:rPr>
            </w:pPr>
          </w:p>
        </w:tc>
        <w:tc>
          <w:tcPr>
            <w:tcW w:w="4120" w:type="dxa"/>
            <w:vAlign w:val="bottom"/>
            <w:gridSpan w:val="2"/>
          </w:tcPr>
          <w:p>
            <w:pPr>
              <w:jc w:val="center"/>
              <w:ind w:right="2200"/>
              <w:spacing w:after="0"/>
              <w:rPr>
                <w:sz w:val="20"/>
                <w:szCs w:val="20"/>
                <w:color w:val="auto"/>
              </w:rPr>
            </w:pPr>
            <w:r>
              <w:rPr>
                <w:rFonts w:ascii="Arial" w:cs="Arial" w:eastAsia="Arial" w:hAnsi="Arial"/>
                <w:sz w:val="14"/>
                <w:szCs w:val="14"/>
                <w:color w:val="auto"/>
                <w:w w:val="99"/>
              </w:rPr>
              <w:t>FORM OF REVOLVING NOTE</w:t>
            </w:r>
          </w:p>
        </w:tc>
      </w:tr>
      <w:tr>
        <w:trPr>
          <w:trHeight w:val="454"/>
        </w:trPr>
        <w:tc>
          <w:tcPr>
            <w:tcW w:w="4060" w:type="dxa"/>
            <w:vAlign w:val="bottom"/>
          </w:tcPr>
          <w:p>
            <w:pPr>
              <w:jc w:val="right"/>
              <w:ind w:right="2668"/>
              <w:spacing w:after="0"/>
              <w:rPr>
                <w:sz w:val="20"/>
                <w:szCs w:val="20"/>
                <w:color w:val="auto"/>
              </w:rPr>
            </w:pPr>
            <w:r>
              <w:rPr>
                <w:rFonts w:ascii="Arial" w:cs="Arial" w:eastAsia="Arial" w:hAnsi="Arial"/>
                <w:sz w:val="14"/>
                <w:szCs w:val="14"/>
                <w:b w:val="1"/>
                <w:bCs w:val="1"/>
                <w:i w:val="1"/>
                <w:iCs w:val="1"/>
                <w:color w:val="auto"/>
              </w:rPr>
              <w:t>REVOLVING NOTE</w:t>
            </w:r>
          </w:p>
        </w:tc>
        <w:tc>
          <w:tcPr>
            <w:tcW w:w="1920" w:type="dxa"/>
            <w:vAlign w:val="bottom"/>
            <w:tcBorders>
              <w:top w:val="single" w:sz="8" w:color="auto"/>
            </w:tcBorders>
          </w:tcPr>
          <w:p>
            <w:pPr>
              <w:spacing w:after="0"/>
              <w:rPr>
                <w:sz w:val="24"/>
                <w:szCs w:val="24"/>
                <w:color w:val="auto"/>
              </w:rPr>
            </w:pPr>
          </w:p>
        </w:tc>
        <w:tc>
          <w:tcPr>
            <w:tcW w:w="2200" w:type="dxa"/>
            <w:vAlign w:val="bottom"/>
          </w:tcPr>
          <w:p>
            <w:pPr>
              <w:spacing w:after="0"/>
              <w:rPr>
                <w:sz w:val="24"/>
                <w:szCs w:val="24"/>
                <w:color w:val="auto"/>
              </w:rPr>
            </w:pPr>
          </w:p>
        </w:tc>
      </w:tr>
      <w:tr>
        <w:trPr>
          <w:trHeight w:val="225"/>
        </w:trPr>
        <w:tc>
          <w:tcPr>
            <w:tcW w:w="4060" w:type="dxa"/>
            <w:vAlign w:val="bottom"/>
          </w:tcPr>
          <w:p>
            <w:pPr>
              <w:jc w:val="right"/>
              <w:ind w:right="3908"/>
              <w:spacing w:after="0"/>
              <w:rPr>
                <w:sz w:val="20"/>
                <w:szCs w:val="20"/>
                <w:color w:val="auto"/>
              </w:rPr>
            </w:pPr>
            <w:r>
              <w:rPr>
                <w:rFonts w:ascii="Arial" w:cs="Arial" w:eastAsia="Arial" w:hAnsi="Arial"/>
                <w:sz w:val="14"/>
                <w:szCs w:val="14"/>
                <w:color w:val="auto"/>
                <w:w w:val="76"/>
              </w:rPr>
              <w:t>$</w:t>
            </w:r>
          </w:p>
        </w:tc>
        <w:tc>
          <w:tcPr>
            <w:tcW w:w="4120" w:type="dxa"/>
            <w:vAlign w:val="bottom"/>
            <w:gridSpan w:val="2"/>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-20320</wp:posOffset>
            </wp:positionV>
            <wp:extent cx="22860"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2860" cy="5715"/>
                    </a:xfrm>
                    <a:prstGeom prst="rect">
                      <a:avLst/>
                    </a:prstGeom>
                    <a:noFill/>
                  </pic:spPr>
                </pic:pic>
              </a:graphicData>
            </a:graphic>
          </wp:anchor>
        </w:drawing>
      </w:r>
    </w:p>
    <w:p>
      <w:pPr>
        <w:spacing w:after="0" w:line="293" w:lineRule="exact"/>
        <w:rPr>
          <w:sz w:val="20"/>
          <w:szCs w:val="20"/>
          <w:color w:val="auto"/>
        </w:rPr>
      </w:pPr>
    </w:p>
    <w:p>
      <w:pPr>
        <w:ind w:left="120" w:right="80" w:firstLine="675"/>
        <w:spacing w:after="0" w:line="250" w:lineRule="auto"/>
        <w:rPr>
          <w:sz w:val="20"/>
          <w:szCs w:val="20"/>
          <w:color w:val="auto"/>
        </w:rPr>
      </w:pPr>
      <w:r>
        <w:rPr>
          <w:rFonts w:ascii="Arial" w:cs="Arial" w:eastAsia="Arial" w:hAnsi="Arial"/>
          <w:sz w:val="14"/>
          <w:szCs w:val="14"/>
          <w:color w:val="auto"/>
        </w:rPr>
        <w:t>FOR VALUE RECEIVED, the undersigned (individually, a “</w:t>
      </w:r>
      <w:r>
        <w:rPr>
          <w:rFonts w:ascii="Arial" w:cs="Arial" w:eastAsia="Arial" w:hAnsi="Arial"/>
          <w:sz w:val="14"/>
          <w:szCs w:val="14"/>
          <w:u w:val="single" w:color="auto"/>
          <w:color w:val="auto"/>
        </w:rPr>
        <w:t>Borrower</w:t>
      </w:r>
      <w:r>
        <w:rPr>
          <w:rFonts w:ascii="Arial" w:cs="Arial" w:eastAsia="Arial" w:hAnsi="Arial"/>
          <w:sz w:val="14"/>
          <w:szCs w:val="14"/>
          <w:color w:val="auto"/>
        </w:rPr>
        <w:t>”, and collectively, the “</w:t>
      </w:r>
      <w:r>
        <w:rPr>
          <w:rFonts w:ascii="Arial" w:cs="Arial" w:eastAsia="Arial" w:hAnsi="Arial"/>
          <w:sz w:val="14"/>
          <w:szCs w:val="14"/>
          <w:u w:val="single" w:color="auto"/>
          <w:color w:val="auto"/>
        </w:rPr>
        <w:t>Borrowers</w:t>
      </w:r>
      <w:r>
        <w:rPr>
          <w:rFonts w:ascii="Arial" w:cs="Arial" w:eastAsia="Arial" w:hAnsi="Arial"/>
          <w:sz w:val="14"/>
          <w:szCs w:val="14"/>
          <w:color w:val="auto"/>
        </w:rPr>
        <w:t>”) jointly and severally promise to pay to the order of</w:t>
      </w:r>
    </w:p>
    <w:p>
      <w:pPr>
        <w:spacing w:after="0" w:line="1"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(hereinafter, with any subsequent holders, the “</w:t>
      </w:r>
      <w:r>
        <w:rPr>
          <w:rFonts w:ascii="Arial" w:cs="Arial" w:eastAsia="Arial" w:hAnsi="Arial"/>
          <w:sz w:val="13"/>
          <w:szCs w:val="13"/>
          <w:u w:val="single" w:color="auto"/>
          <w:color w:val="auto"/>
        </w:rPr>
        <w:t>Lender</w:t>
      </w:r>
      <w:r>
        <w:rPr>
          <w:rFonts w:ascii="Arial" w:cs="Arial" w:eastAsia="Arial" w:hAnsi="Arial"/>
          <w:sz w:val="13"/>
          <w:szCs w:val="13"/>
          <w:color w:val="auto"/>
        </w:rPr>
        <w:t>”), c/o Bank of America, N.A., 100 Federal Street, 9th Floor, Boston, Massachusetts</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02110, the principal sum of</w:t>
      </w:r>
    </w:p>
    <w:p>
      <w:pPr>
        <w:spacing w:after="0" w:line="1" w:lineRule="exact"/>
        <w:rPr>
          <w:sz w:val="20"/>
          <w:szCs w:val="20"/>
          <w:color w:val="auto"/>
        </w:rPr>
      </w:pPr>
    </w:p>
    <w:p>
      <w:pPr>
        <w:ind w:left="1980"/>
        <w:spacing w:after="0"/>
        <w:tabs>
          <w:tab w:leader="none" w:pos="4600" w:val="left"/>
        </w:tabs>
        <w:rPr>
          <w:sz w:val="20"/>
          <w:szCs w:val="20"/>
          <w:color w:val="auto"/>
        </w:rPr>
      </w:pPr>
      <w:r>
        <w:rPr>
          <w:rFonts w:ascii="Arial" w:cs="Arial" w:eastAsia="Arial" w:hAnsi="Arial"/>
          <w:sz w:val="14"/>
          <w:szCs w:val="14"/>
          <w:color w:val="auto"/>
        </w:rPr>
        <w:t>DOLLARS ($</w:t>
      </w:r>
      <w:r>
        <w:rPr>
          <w:sz w:val="20"/>
          <w:szCs w:val="20"/>
          <w:color w:val="auto"/>
        </w:rPr>
        <w:tab/>
      </w:r>
      <w:r>
        <w:rPr>
          <w:rFonts w:ascii="Arial" w:cs="Arial" w:eastAsia="Arial" w:hAnsi="Arial"/>
          <w:sz w:val="13"/>
          <w:szCs w:val="13"/>
          <w:color w:val="auto"/>
        </w:rPr>
        <w:t>), or, if less, the aggregate unpaid principal balance of Revolving Loans made by the Lender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1783715</wp:posOffset>
            </wp:positionH>
            <wp:positionV relativeFrom="paragraph">
              <wp:posOffset>-14605</wp:posOffset>
            </wp:positionV>
            <wp:extent cx="22860"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2860" cy="5715"/>
                    </a:xfrm>
                    <a:prstGeom prst="rect">
                      <a:avLst/>
                    </a:prstGeom>
                    <a:noFill/>
                  </pic:spPr>
                </pic:pic>
              </a:graphicData>
            </a:graphic>
          </wp:anchor>
        </w:drawing>
      </w:r>
    </w:p>
    <w:p>
      <w:pPr>
        <w:jc w:val="both"/>
        <w:ind w:left="120"/>
        <w:spacing w:after="0" w:line="245" w:lineRule="auto"/>
        <w:rPr>
          <w:sz w:val="20"/>
          <w:szCs w:val="20"/>
          <w:color w:val="auto"/>
        </w:rPr>
      </w:pPr>
      <w:r>
        <w:rPr>
          <w:rFonts w:ascii="Arial" w:cs="Arial" w:eastAsia="Arial" w:hAnsi="Arial"/>
          <w:sz w:val="14"/>
          <w:szCs w:val="14"/>
          <w:color w:val="auto"/>
        </w:rPr>
        <w:t>or for the account of the Borrowers pursuant to the Seventh Amended and Restated Credit Agreement dated as of May 24, 2018 (as amended, restated, supplemented or otherwise modified and in effect from time to time, the “</w:t>
      </w:r>
      <w:r>
        <w:rPr>
          <w:rFonts w:ascii="Arial" w:cs="Arial" w:eastAsia="Arial" w:hAnsi="Arial"/>
          <w:sz w:val="14"/>
          <w:szCs w:val="14"/>
          <w:u w:val="single" w:color="auto"/>
          <w:color w:val="auto"/>
        </w:rPr>
        <w:t>Credit Agreement</w:t>
      </w:r>
      <w:r>
        <w:rPr>
          <w:rFonts w:ascii="Arial" w:cs="Arial" w:eastAsia="Arial" w:hAnsi="Arial"/>
          <w:sz w:val="14"/>
          <w:szCs w:val="14"/>
          <w:color w:val="auto"/>
        </w:rPr>
        <w:t>”) by and among (i) the Borrowers, (ii) the Guarantors party thereto from time to time, (iii) Bank of America, N.A., as administrative agent and collateral agent (in such capacities, the “</w:t>
      </w:r>
      <w:r>
        <w:rPr>
          <w:rFonts w:ascii="Arial" w:cs="Arial" w:eastAsia="Arial" w:hAnsi="Arial"/>
          <w:sz w:val="14"/>
          <w:szCs w:val="14"/>
          <w:u w:val="single" w:color="auto"/>
          <w:color w:val="auto"/>
        </w:rPr>
        <w:t>Agent</w:t>
      </w:r>
      <w:r>
        <w:rPr>
          <w:rFonts w:ascii="Arial" w:cs="Arial" w:eastAsia="Arial" w:hAnsi="Arial"/>
          <w:sz w:val="14"/>
          <w:szCs w:val="14"/>
          <w:color w:val="auto"/>
        </w:rPr>
        <w:t>”) for its own benefit and the benefit of the other Credit Parties referred to therein, and (iv) the lenders from time to time party thereto (individually, a “</w:t>
      </w:r>
      <w:r>
        <w:rPr>
          <w:rFonts w:ascii="Arial" w:cs="Arial" w:eastAsia="Arial" w:hAnsi="Arial"/>
          <w:sz w:val="14"/>
          <w:szCs w:val="14"/>
          <w:u w:val="single" w:color="auto"/>
          <w:color w:val="auto"/>
        </w:rPr>
        <w:t>Lender</w:t>
      </w:r>
      <w:r>
        <w:rPr>
          <w:rFonts w:ascii="Arial" w:cs="Arial" w:eastAsia="Arial" w:hAnsi="Arial"/>
          <w:sz w:val="14"/>
          <w:szCs w:val="14"/>
          <w:color w:val="auto"/>
        </w:rPr>
        <w:t>” and, collectively, the “</w:t>
      </w:r>
      <w:r>
        <w:rPr>
          <w:rFonts w:ascii="Arial" w:cs="Arial" w:eastAsia="Arial" w:hAnsi="Arial"/>
          <w:sz w:val="14"/>
          <w:szCs w:val="14"/>
          <w:u w:val="single" w:color="auto"/>
          <w:color w:val="auto"/>
        </w:rPr>
        <w:t>Lenders</w:t>
      </w:r>
      <w:r>
        <w:rPr>
          <w:rFonts w:ascii="Arial" w:cs="Arial" w:eastAsia="Arial" w:hAnsi="Arial"/>
          <w:sz w:val="14"/>
          <w:szCs w:val="14"/>
          <w:color w:val="auto"/>
        </w:rPr>
        <w:t>”), with interest at the rate and payable in the manner stated therein.</w:t>
      </w:r>
    </w:p>
    <w:p>
      <w:pPr>
        <w:spacing w:after="0" w:line="121" w:lineRule="exact"/>
        <w:rPr>
          <w:sz w:val="20"/>
          <w:szCs w:val="20"/>
          <w:color w:val="auto"/>
        </w:rPr>
      </w:pPr>
    </w:p>
    <w:p>
      <w:pPr>
        <w:jc w:val="both"/>
        <w:ind w:left="120" w:firstLine="675"/>
        <w:spacing w:after="0" w:line="286" w:lineRule="auto"/>
        <w:rPr>
          <w:sz w:val="20"/>
          <w:szCs w:val="20"/>
          <w:color w:val="auto"/>
        </w:rPr>
      </w:pPr>
      <w:r>
        <w:rPr>
          <w:rFonts w:ascii="Arial" w:cs="Arial" w:eastAsia="Arial" w:hAnsi="Arial"/>
          <w:sz w:val="13"/>
          <w:szCs w:val="13"/>
          <w:color w:val="auto"/>
        </w:rPr>
        <w:t>This “Revolving Note” is a “Note” to which reference is made in the Credit Agreement and is subject to all terms and provisions thereof. The principal of, and interest on, this Revolving Note shall be payable at the times, in the manner, and in the amounts as provided in the Credit Agreement and shall be subject to prepayment and acceleration as provided therein. Capitalized terms used herein and not defined herein shall have the meanings assigned to such terms in the Credit Agreement.</w:t>
      </w:r>
    </w:p>
    <w:p>
      <w:pPr>
        <w:spacing w:after="0" w:line="96" w:lineRule="exact"/>
        <w:rPr>
          <w:sz w:val="20"/>
          <w:szCs w:val="20"/>
          <w:color w:val="auto"/>
        </w:rPr>
      </w:pPr>
    </w:p>
    <w:p>
      <w:pPr>
        <w:jc w:val="both"/>
        <w:ind w:left="120" w:firstLine="675"/>
        <w:spacing w:after="0" w:line="273" w:lineRule="auto"/>
        <w:rPr>
          <w:sz w:val="20"/>
          <w:szCs w:val="20"/>
          <w:color w:val="auto"/>
        </w:rPr>
      </w:pPr>
      <w:r>
        <w:rPr>
          <w:rFonts w:ascii="Arial" w:cs="Arial" w:eastAsia="Arial" w:hAnsi="Arial"/>
          <w:sz w:val="14"/>
          <w:szCs w:val="14"/>
          <w:color w:val="auto"/>
        </w:rPr>
        <w:t>The Agent’s books and records concerning the Revolving Loans, the accrual of interest thereon, and the repayment of such Revolving Loans, shall be conclusive, absent manifest error, evidence of the indebtedness to the Lender hereunder.</w:t>
      </w:r>
    </w:p>
    <w:p>
      <w:pPr>
        <w:spacing w:after="0" w:line="102" w:lineRule="exact"/>
        <w:rPr>
          <w:sz w:val="20"/>
          <w:szCs w:val="20"/>
          <w:color w:val="auto"/>
        </w:rPr>
      </w:pPr>
    </w:p>
    <w:p>
      <w:pPr>
        <w:jc w:val="both"/>
        <w:ind w:left="120" w:firstLine="675"/>
        <w:spacing w:after="0" w:line="257" w:lineRule="auto"/>
        <w:rPr>
          <w:sz w:val="20"/>
          <w:szCs w:val="20"/>
          <w:color w:val="auto"/>
        </w:rPr>
      </w:pPr>
      <w:r>
        <w:rPr>
          <w:rFonts w:ascii="Arial" w:cs="Arial" w:eastAsia="Arial" w:hAnsi="Arial"/>
          <w:sz w:val="14"/>
          <w:szCs w:val="14"/>
          <w:color w:val="auto"/>
        </w:rPr>
        <w:t>No delay or omission by the Agent or the Lender in exercising or enforcing any of the Agent’s or the Lender’s powers, rights, privileges, remedies, or discretions hereunder shall operate as a waiver thereof on that occasion nor on any other occasion. No waiver of any Event of Default shall operate as a waiver of any other Event of Default, nor as a continuing waiver of any such Event of Default.</w:t>
      </w:r>
    </w:p>
    <w:p>
      <w:pPr>
        <w:spacing w:after="0" w:line="113" w:lineRule="exact"/>
        <w:rPr>
          <w:sz w:val="20"/>
          <w:szCs w:val="20"/>
          <w:color w:val="auto"/>
        </w:rPr>
      </w:pPr>
    </w:p>
    <w:p>
      <w:pPr>
        <w:jc w:val="both"/>
        <w:ind w:left="120" w:firstLine="675"/>
        <w:spacing w:after="0" w:line="261" w:lineRule="auto"/>
        <w:rPr>
          <w:sz w:val="20"/>
          <w:szCs w:val="20"/>
          <w:color w:val="auto"/>
        </w:rPr>
      </w:pPr>
      <w:r>
        <w:rPr>
          <w:rFonts w:ascii="Arial" w:cs="Arial" w:eastAsia="Arial" w:hAnsi="Arial"/>
          <w:sz w:val="14"/>
          <w:szCs w:val="14"/>
          <w:color w:val="auto"/>
        </w:rPr>
        <w:t>Each Borrower and each endorser of this Revolving Note, waives presentment, demand, notice, and protest, and also waives any delay on the part of the holder hereof. Each Borrower</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DB1/ 97579107.1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198120</wp:posOffset>
            </wp:positionV>
            <wp:extent cx="7329170" cy="368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160"/>
          </w:cols>
          <w:pgMar w:left="820" w:top="301" w:right="919" w:bottom="1440" w:gutter="0" w:footer="0" w:header="0"/>
        </w:sectPr>
      </w:pPr>
    </w:p>
    <w:bookmarkStart w:id="197" w:name="page198"/>
    <w:bookmarkEnd w:id="197"/>
    <w:p>
      <w:pPr>
        <w:jc w:val="both"/>
        <w:ind w:left="700"/>
        <w:spacing w:after="0" w:line="257" w:lineRule="auto"/>
        <w:rPr>
          <w:sz w:val="20"/>
          <w:szCs w:val="20"/>
          <w:color w:val="auto"/>
        </w:rPr>
      </w:pPr>
      <w:r>
        <w:rPr>
          <w:rFonts w:ascii="Arial" w:cs="Arial" w:eastAsia="Arial" w:hAnsi="Arial"/>
          <w:sz w:val="14"/>
          <w:szCs w:val="14"/>
          <w:color w:val="auto"/>
        </w:rPr>
        <w:t>assents to any extension or other indulgence (including, without limitation, the release or substitution of Collateral) permitted by the Agent and/or the Lender with respect to this Revolving Note and/or any Collateral or any extension or other indulgence with respect to any other liability or any collateral given to secure any other liability of any Borrower or any other Person obligated on account of this Revolving Note.</w:t>
      </w:r>
    </w:p>
    <w:p>
      <w:pPr>
        <w:spacing w:after="0" w:line="113" w:lineRule="exact"/>
        <w:rPr>
          <w:sz w:val="20"/>
          <w:szCs w:val="20"/>
          <w:color w:val="auto"/>
        </w:rPr>
      </w:pPr>
    </w:p>
    <w:p>
      <w:pPr>
        <w:jc w:val="both"/>
        <w:ind w:left="700" w:firstLine="675"/>
        <w:spacing w:after="0" w:line="273" w:lineRule="auto"/>
        <w:rPr>
          <w:sz w:val="20"/>
          <w:szCs w:val="20"/>
          <w:color w:val="auto"/>
        </w:rPr>
      </w:pPr>
      <w:r>
        <w:rPr>
          <w:rFonts w:ascii="Arial" w:cs="Arial" w:eastAsia="Arial" w:hAnsi="Arial"/>
          <w:sz w:val="14"/>
          <w:szCs w:val="14"/>
          <w:color w:val="auto"/>
        </w:rPr>
        <w:t>This Revolving Note shall be binding upon each Borrower and each endorser hereof, and upon their respective successors, assigns, and representatives, and shall inure to the benefit of the Lender and its successors, endorsees, and assigns.</w:t>
      </w:r>
    </w:p>
    <w:p>
      <w:pPr>
        <w:spacing w:after="0" w:line="102" w:lineRule="exact"/>
        <w:rPr>
          <w:sz w:val="20"/>
          <w:szCs w:val="20"/>
          <w:color w:val="auto"/>
        </w:rPr>
      </w:pPr>
    </w:p>
    <w:p>
      <w:pPr>
        <w:jc w:val="both"/>
        <w:ind w:left="700" w:firstLine="675"/>
        <w:spacing w:after="0" w:line="252" w:lineRule="auto"/>
        <w:rPr>
          <w:sz w:val="20"/>
          <w:szCs w:val="20"/>
          <w:color w:val="auto"/>
        </w:rPr>
      </w:pPr>
      <w:r>
        <w:rPr>
          <w:rFonts w:ascii="Arial" w:cs="Arial" w:eastAsia="Arial" w:hAnsi="Arial"/>
          <w:sz w:val="14"/>
          <w:szCs w:val="14"/>
          <w:color w:val="auto"/>
        </w:rPr>
        <w:t xml:space="preserve">The liabilities of each Borrower and of any endorser of this Revolving Note, are joint and several, </w:t>
      </w:r>
      <w:r>
        <w:rPr>
          <w:rFonts w:ascii="Arial" w:cs="Arial" w:eastAsia="Arial" w:hAnsi="Arial"/>
          <w:sz w:val="14"/>
          <w:szCs w:val="14"/>
          <w:i w:val="1"/>
          <w:iCs w:val="1"/>
          <w:color w:val="auto"/>
        </w:rPr>
        <w:t>provided, however</w:t>
      </w:r>
      <w:r>
        <w:rPr>
          <w:rFonts w:ascii="Arial" w:cs="Arial" w:eastAsia="Arial" w:hAnsi="Arial"/>
          <w:sz w:val="14"/>
          <w:szCs w:val="14"/>
          <w:color w:val="auto"/>
        </w:rPr>
        <w:t>, the release by the Agent or the Lender of any one or more such Persons shall not release any other Person obligated on account of this Revolving Note. Each reference in this Revolving Note to any Borrower, any endorser, and any guarantor, is to such Person individually and also to all such Persons jointly. No Person obligated on account of this Revolving Note may seek contribution from any other Person also obligated unless and until all of the Obligations have been paid in full in cash.</w:t>
      </w:r>
    </w:p>
    <w:p>
      <w:pPr>
        <w:spacing w:after="0" w:line="116" w:lineRule="exact"/>
        <w:rPr>
          <w:sz w:val="20"/>
          <w:szCs w:val="20"/>
          <w:color w:val="auto"/>
        </w:rPr>
      </w:pPr>
    </w:p>
    <w:p>
      <w:pPr>
        <w:jc w:val="both"/>
        <w:ind w:left="700" w:firstLine="675"/>
        <w:spacing w:after="0" w:line="257" w:lineRule="auto"/>
        <w:rPr>
          <w:sz w:val="20"/>
          <w:szCs w:val="20"/>
          <w:color w:val="auto"/>
        </w:rPr>
      </w:pPr>
      <w:r>
        <w:rPr>
          <w:rFonts w:ascii="Arial" w:cs="Arial" w:eastAsia="Arial" w:hAnsi="Arial"/>
          <w:sz w:val="14"/>
          <w:szCs w:val="14"/>
          <w:color w:val="auto"/>
        </w:rPr>
        <w:t>THIS REVOLVING NOTE AND ANY CLAIMS, CONTROVERSY, DISPUTE OR CAUSE OF ACTION (WHETHER IN CONTRACT OR TORT OR OTHERWISE) BASED UPON, ARISING OUT OF OR RELATING TO THIS REVOLVING NOTE AND THE TRANSACTIONS CONTEMPLATED HEREBY AND THEREBY SHALL BE GOVERNED BY, AND CONSTRUED IN ACCORDANCE WITH, THE LAW OF THE STATE OF NEW YORK.</w:t>
      </w:r>
    </w:p>
    <w:p>
      <w:pPr>
        <w:spacing w:after="0" w:line="104" w:lineRule="exact"/>
        <w:rPr>
          <w:sz w:val="20"/>
          <w:szCs w:val="20"/>
          <w:color w:val="auto"/>
        </w:rPr>
      </w:pPr>
    </w:p>
    <w:p>
      <w:pPr>
        <w:jc w:val="both"/>
        <w:ind w:left="700" w:firstLine="1350"/>
        <w:spacing w:after="0" w:line="244" w:lineRule="auto"/>
        <w:rPr>
          <w:sz w:val="20"/>
          <w:szCs w:val="20"/>
          <w:color w:val="auto"/>
        </w:rPr>
      </w:pPr>
      <w:r>
        <w:rPr>
          <w:rFonts w:ascii="Arial" w:cs="Arial" w:eastAsia="Arial" w:hAnsi="Arial"/>
          <w:sz w:val="14"/>
          <w:szCs w:val="14"/>
          <w:color w:val="auto"/>
        </w:rPr>
        <w:t>EACH BORROWER IRREVOCABLY AND UNCONDITIONALLY AGREES THAT IT WILL NOT COMMENCE ANY ACTION, LITIGATION OR PROCEEDING OF ANY KIND OR DESCRIPTION, WHETHER IN LAW OR EQUITY, WHETHER IN CONTRACT OR IN TORT OR OTHERWISE, AGAINST THE AGENT, ANY LENDER OR ANY RELATED PARTY OF THE FOREGOING IN ANY WAY RELATING TO THIS REVOLVING NOTE OR THE TRANSACTIONS RELATING HERETO, IN ANY FORUM OTHER THAN THE COURTS OF THE STATE OF NEW YORK SITTING IN NEW YORK COUNTY AND OF THE UNITED STATES DISTRICT COURT OF THE SOUTHERN DISTRICT OF NEW YORK, AND ANY APPELLATE COURT FROM ANY THEREOF, AND EACH BORROWER IRREVOCABLY AND UNCONDITIONALLY SUBMITS TO THE JURISDICTION OF SUCH COURTS AND AGREES THAT ALL CLAIMS IN RESPECT OF ANY SUCH ACTION, LITIGATION OR PROCEEDING MAY BE HEARD AND DETERMINED IN SUCH NEW YORK STATE COURT OR, TO THE FULLEST EXTENT PERMITTED BY LAW, IN SUCH FEDERAL COURT. EACH BORROWER AGREES THAT A FINAL JUDGMENT IN ANY SUCH ACTION, LITIGATION OR PROCEEDING SHALL BE CONCLUSIVE AND MAY BE ENFORCED IN OTHER JURISDICTIONS BY SUIT ON THE JUDGMENT OR IN ANY OTHER MANNER PROVIDED BY LAW. NOTHING IN THIS REVOLVING NOTE OR IN ANY OTHER LOAN DOCUMENT SHALL AFFECT ANY RIGHT THAT ANY CREDIT PARTY MAY OTHERWISE HAVE TO BRING ANY ACTION OR PROCEEDING RELATING TO THIS</w:t>
      </w:r>
    </w:p>
    <w:p>
      <w:pPr>
        <w:spacing w:after="0" w:line="291" w:lineRule="exact"/>
        <w:rPr>
          <w:sz w:val="20"/>
          <w:szCs w:val="20"/>
          <w:color w:val="auto"/>
        </w:rPr>
      </w:pPr>
    </w:p>
    <w:p>
      <w:pPr>
        <w:spacing w:after="0"/>
        <w:rPr>
          <w:sz w:val="20"/>
          <w:szCs w:val="20"/>
          <w:color w:val="auto"/>
        </w:rPr>
      </w:pPr>
      <w:r>
        <w:rPr>
          <w:rFonts w:ascii="Arial" w:cs="Arial" w:eastAsia="Arial" w:hAnsi="Arial"/>
          <w:sz w:val="10"/>
          <w:szCs w:val="10"/>
          <w:color w:val="auto"/>
        </w:rPr>
        <w:t>DB1/ 97579107.1</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288925</wp:posOffset>
            </wp:positionV>
            <wp:extent cx="7329170" cy="368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740"/>
          </w:cols>
          <w:pgMar w:left="240" w:top="305" w:right="919" w:bottom="1440" w:gutter="0" w:footer="0" w:header="0"/>
        </w:sectPr>
      </w:pPr>
    </w:p>
    <w:bookmarkStart w:id="198" w:name="page199"/>
    <w:bookmarkEnd w:id="198"/>
    <w:p>
      <w:pPr>
        <w:ind w:left="700"/>
        <w:spacing w:after="0"/>
        <w:rPr>
          <w:sz w:val="20"/>
          <w:szCs w:val="20"/>
          <w:color w:val="auto"/>
        </w:rPr>
      </w:pPr>
      <w:r>
        <w:rPr>
          <w:rFonts w:ascii="Arial" w:cs="Arial" w:eastAsia="Arial" w:hAnsi="Arial"/>
          <w:sz w:val="14"/>
          <w:szCs w:val="14"/>
          <w:color w:val="auto"/>
        </w:rPr>
        <w:t>REVOLVING NOTE OR ANY OTHER LOAN DOCUMENT AGAINST ANY BORROWER OR ITS PROPERTIES IN THE COURTS OF ANY JURISDICTION.</w:t>
      </w:r>
    </w:p>
    <w:p>
      <w:pPr>
        <w:spacing w:after="0" w:line="145" w:lineRule="exact"/>
        <w:rPr>
          <w:sz w:val="20"/>
          <w:szCs w:val="20"/>
          <w:color w:val="auto"/>
        </w:rPr>
      </w:pPr>
    </w:p>
    <w:p>
      <w:pPr>
        <w:jc w:val="both"/>
        <w:ind w:left="700" w:firstLine="675"/>
        <w:spacing w:after="0" w:line="252" w:lineRule="auto"/>
        <w:rPr>
          <w:sz w:val="20"/>
          <w:szCs w:val="20"/>
          <w:color w:val="auto"/>
        </w:rPr>
      </w:pPr>
      <w:r>
        <w:rPr>
          <w:rFonts w:ascii="Arial" w:cs="Arial" w:eastAsia="Arial" w:hAnsi="Arial"/>
          <w:sz w:val="14"/>
          <w:szCs w:val="14"/>
          <w:color w:val="auto"/>
        </w:rPr>
        <w:t>EACH BORROWER IRREVOCABLY AND UNCONDITIONALLY WAIVES, TO THE FULLEST EXTENT PERMITTED BY LAW, ANY OBJECTION THAT IT MAY NOW OR HEREAFTER HAVE TO THE LAYING OF VENUE OF ANY ACTION OR PROCEEDING ARISING OUT OF OR RELATING TO THIS REVOLVING IN ANY COURT REFERRED TO ABOVE. EACH BORROWER HEREBY IRREVOCABLY WAIVES, TO THE FULLEST EXTENT PERMITTED BY LAW, THE DEFENSE OF AN INCONVENIENT FORUM TO THE MAINTENANCE OF SUCH ACTION OR PROCEEDING IN ANY SUCH COURT.</w:t>
      </w:r>
    </w:p>
    <w:p>
      <w:pPr>
        <w:spacing w:after="0" w:line="116" w:lineRule="exact"/>
        <w:rPr>
          <w:sz w:val="20"/>
          <w:szCs w:val="20"/>
          <w:color w:val="auto"/>
        </w:rPr>
      </w:pPr>
    </w:p>
    <w:p>
      <w:pPr>
        <w:jc w:val="both"/>
        <w:ind w:left="700" w:firstLine="675"/>
        <w:spacing w:after="0" w:line="245" w:lineRule="auto"/>
        <w:rPr>
          <w:sz w:val="20"/>
          <w:szCs w:val="20"/>
          <w:color w:val="auto"/>
        </w:rPr>
      </w:pPr>
      <w:r>
        <w:rPr>
          <w:rFonts w:ascii="Arial" w:cs="Arial" w:eastAsia="Arial" w:hAnsi="Arial"/>
          <w:sz w:val="14"/>
          <w:szCs w:val="14"/>
          <w:color w:val="auto"/>
        </w:rPr>
        <w:t>Each Borrower makes the following waiver knowingly, voluntarily, and intentionally, and understands that the Agent and the Lender, in the establishment and maintenance of their respective relationship with each Borrower contemplated by this Revolving Note, are each relying thereon. EACH BORROWER AND ENDORSER, AND THE LENDER, BY ITS ACCEPTANCE HEREOF, HEREBY IRREVOCABLY WAIVES, TO THE FULLEST EXTENT PERMITTED BY LAW, ANY RIGHT IT MAY HAVE TO A TRIAL BY JURY IN ANY LEGAL PROCEEDING DIRECTLY OR INDIRECTLY ARISING OUT OF OR RELATING TO THIS REVOLVING NOTE OR THE TRANSACTIONS CONTEMPLATED HEREBY (WHETHER BASED ON CONTRACT, TORT OR ANY OTHER THEORY). EACH BORROWER AND THE LENDER, BY ITS ACCEPTANCE HEREOF (A) CERTIFIES THAT NO REPRESENTATIVE, AGENT OR ATTORNEY OF ANY OTHER PERSON HAS REPRESENTED, EXPRESSLY OR OTHERWISE, THAT SUCH OTHER PERSON WOULD NOT, IN THE EVENT OF LITIGATION, SEEK TO ENFORCE THE FOREGOING WAIVER AND (B) ACKNOWLEDGES THAT IT HAS BEEN INDUCED TO ENTER INTO THIS REVOLVING NOTE BY, AMONG OTHER THINGS, THE MUTUAL WAIVERS AND CERTIFICATIONS HEREIN.</w:t>
      </w:r>
    </w:p>
    <w:p>
      <w:pPr>
        <w:spacing w:after="0" w:line="120" w:lineRule="exact"/>
        <w:rPr>
          <w:sz w:val="20"/>
          <w:szCs w:val="20"/>
          <w:color w:val="auto"/>
        </w:rPr>
      </w:pPr>
    </w:p>
    <w:p>
      <w:pPr>
        <w:ind w:left="38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SIGNATURE PAGES FOLLOW</w:t>
      </w:r>
      <w:r>
        <w:rPr>
          <w:rFonts w:ascii="Arial" w:cs="Arial" w:eastAsia="Arial" w:hAnsi="Arial"/>
          <w:sz w:val="14"/>
          <w:szCs w:val="14"/>
          <w:color w:val="auto"/>
        </w:rPr>
        <w:t>]</w:t>
      </w:r>
    </w:p>
    <w:p>
      <w:pPr>
        <w:spacing w:after="0" w:line="313" w:lineRule="exact"/>
        <w:rPr>
          <w:sz w:val="20"/>
          <w:szCs w:val="20"/>
          <w:color w:val="auto"/>
        </w:rPr>
      </w:pPr>
    </w:p>
    <w:p>
      <w:pPr>
        <w:spacing w:after="0"/>
        <w:rPr>
          <w:sz w:val="20"/>
          <w:szCs w:val="20"/>
          <w:color w:val="auto"/>
        </w:rPr>
      </w:pPr>
      <w:r>
        <w:rPr>
          <w:rFonts w:ascii="Arial" w:cs="Arial" w:eastAsia="Arial" w:hAnsi="Arial"/>
          <w:sz w:val="10"/>
          <w:szCs w:val="10"/>
          <w:color w:val="auto"/>
        </w:rPr>
        <w:t>DB1/ 97579107.1</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288925</wp:posOffset>
            </wp:positionV>
            <wp:extent cx="7329170" cy="368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740"/>
          </w:cols>
          <w:pgMar w:left="240" w:top="305" w:right="919" w:bottom="1440" w:gutter="0" w:footer="0" w:header="0"/>
        </w:sectPr>
      </w:pPr>
    </w:p>
    <w:bookmarkStart w:id="199" w:name="page200"/>
    <w:bookmarkEnd w:id="199"/>
    <w:p>
      <w:pPr>
        <w:ind w:left="780"/>
        <w:spacing w:after="0"/>
        <w:rPr>
          <w:sz w:val="20"/>
          <w:szCs w:val="20"/>
          <w:color w:val="auto"/>
        </w:rPr>
      </w:pPr>
      <w:r>
        <w:rPr>
          <w:rFonts w:ascii="Arial" w:cs="Arial" w:eastAsia="Arial" w:hAnsi="Arial"/>
          <w:sz w:val="13"/>
          <w:szCs w:val="13"/>
          <w:color w:val="auto"/>
        </w:rPr>
        <w:t>IN WITNESS WHEREOF, each Borrower has caused this Revolving Note to be duly executed as of the date set forth above.</w:t>
      </w:r>
    </w:p>
    <w:p>
      <w:pPr>
        <w:spacing w:after="0" w:line="171" w:lineRule="exact"/>
        <w:rPr>
          <w:sz w:val="20"/>
          <w:szCs w:val="20"/>
          <w:color w:val="auto"/>
        </w:rPr>
      </w:pPr>
    </w:p>
    <w:p>
      <w:pPr>
        <w:ind w:left="4740"/>
        <w:spacing w:after="0"/>
        <w:rPr>
          <w:sz w:val="20"/>
          <w:szCs w:val="20"/>
          <w:color w:val="auto"/>
        </w:rPr>
      </w:pPr>
      <w:r>
        <w:rPr>
          <w:rFonts w:ascii="Arial" w:cs="Arial" w:eastAsia="Arial" w:hAnsi="Arial"/>
          <w:sz w:val="14"/>
          <w:szCs w:val="14"/>
          <w:b w:val="1"/>
          <w:bCs w:val="1"/>
          <w:color w:val="auto"/>
        </w:rPr>
        <w:t>BORROWERS:</w:t>
      </w:r>
    </w:p>
    <w:p>
      <w:pPr>
        <w:spacing w:after="0" w:line="334" w:lineRule="exact"/>
        <w:rPr>
          <w:sz w:val="20"/>
          <w:szCs w:val="20"/>
          <w:color w:val="auto"/>
        </w:rPr>
      </w:pPr>
    </w:p>
    <w:p>
      <w:pPr>
        <w:ind w:left="4740"/>
        <w:spacing w:after="0"/>
        <w:rPr>
          <w:sz w:val="20"/>
          <w:szCs w:val="20"/>
          <w:color w:val="auto"/>
        </w:rPr>
      </w:pPr>
      <w:r>
        <w:rPr>
          <w:rFonts w:ascii="Arial" w:cs="Arial" w:eastAsia="Arial" w:hAnsi="Arial"/>
          <w:sz w:val="14"/>
          <w:szCs w:val="14"/>
          <w:b w:val="1"/>
          <w:bCs w:val="1"/>
          <w:color w:val="auto"/>
        </w:rPr>
        <w:t>DESTINATION XL GROUP, INC.</w:t>
      </w:r>
    </w:p>
    <w:p>
      <w:pPr>
        <w:spacing w:after="0" w:line="167"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By:</w:t>
      </w:r>
    </w:p>
    <w:p>
      <w:pPr>
        <w:spacing w:after="0" w:line="13"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Name:</w:t>
      </w:r>
    </w:p>
    <w:p>
      <w:pPr>
        <w:spacing w:after="0" w:line="1"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Title:</w:t>
      </w:r>
    </w:p>
    <w:p>
      <w:pPr>
        <w:spacing w:after="0" w:line="138" w:lineRule="exact"/>
        <w:rPr>
          <w:sz w:val="20"/>
          <w:szCs w:val="20"/>
          <w:color w:val="auto"/>
        </w:rPr>
      </w:pPr>
    </w:p>
    <w:p>
      <w:pPr>
        <w:ind w:left="4740"/>
        <w:spacing w:after="0"/>
        <w:rPr>
          <w:sz w:val="20"/>
          <w:szCs w:val="20"/>
          <w:color w:val="auto"/>
        </w:rPr>
      </w:pPr>
      <w:r>
        <w:rPr>
          <w:rFonts w:ascii="Arial" w:cs="Arial" w:eastAsia="Arial" w:hAnsi="Arial"/>
          <w:sz w:val="14"/>
          <w:szCs w:val="14"/>
          <w:b w:val="1"/>
          <w:bCs w:val="1"/>
          <w:color w:val="auto"/>
        </w:rPr>
        <w:t>CMRG APPAREL, LLC</w:t>
      </w:r>
    </w:p>
    <w:p>
      <w:pPr>
        <w:spacing w:after="0" w:line="167"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By:</w:t>
      </w:r>
    </w:p>
    <w:p>
      <w:pPr>
        <w:spacing w:after="0" w:line="13"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Name:</w:t>
      </w:r>
    </w:p>
    <w:p>
      <w:pPr>
        <w:spacing w:after="0" w:line="1" w:lineRule="exact"/>
        <w:rPr>
          <w:sz w:val="20"/>
          <w:szCs w:val="20"/>
          <w:color w:val="auto"/>
        </w:rPr>
      </w:pPr>
    </w:p>
    <w:p>
      <w:pPr>
        <w:jc w:val="center"/>
        <w:ind w:right="-160"/>
        <w:spacing w:after="0"/>
        <w:rPr>
          <w:sz w:val="20"/>
          <w:szCs w:val="20"/>
          <w:color w:val="auto"/>
        </w:rPr>
      </w:pPr>
      <w:r>
        <w:rPr>
          <w:rFonts w:ascii="Arial" w:cs="Arial" w:eastAsia="Arial" w:hAnsi="Arial"/>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2900" w:val="left"/>
        </w:tabs>
        <w:rPr>
          <w:sz w:val="20"/>
          <w:szCs w:val="20"/>
          <w:color w:val="auto"/>
        </w:rPr>
      </w:pPr>
      <w:r>
        <w:rPr>
          <w:rFonts w:ascii="Arial" w:cs="Arial" w:eastAsia="Arial" w:hAnsi="Arial"/>
          <w:sz w:val="10"/>
          <w:szCs w:val="10"/>
          <w:color w:val="auto"/>
        </w:rPr>
        <w:t>DB1/ 97579107.1</w:t>
      </w:r>
      <w:r>
        <w:rPr>
          <w:sz w:val="20"/>
          <w:szCs w:val="20"/>
          <w:color w:val="auto"/>
        </w:rPr>
        <w:tab/>
      </w:r>
      <w:r>
        <w:rPr>
          <w:rFonts w:ascii="Arial" w:cs="Arial" w:eastAsia="Arial" w:hAnsi="Arial"/>
          <w:sz w:val="13"/>
          <w:szCs w:val="13"/>
          <w:color w:val="auto"/>
        </w:rPr>
        <w:t>Signature Page to Revolving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250190</wp:posOffset>
            </wp:positionV>
            <wp:extent cx="7329170" cy="368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9639"/>
          </w:cols>
          <w:pgMar w:left="820" w:top="378" w:right="1440" w:bottom="1440" w:gutter="0" w:footer="0" w:header="0"/>
        </w:sectPr>
      </w:pPr>
    </w:p>
    <w:bookmarkStart w:id="200" w:name="page201"/>
    <w:bookmarkEnd w:id="200"/>
    <w:p>
      <w:pPr>
        <w:jc w:val="center"/>
        <w:ind w:right="480"/>
        <w:spacing w:after="0"/>
        <w:rPr>
          <w:sz w:val="20"/>
          <w:szCs w:val="20"/>
          <w:color w:val="auto"/>
        </w:rPr>
      </w:pPr>
      <w:r>
        <w:rPr>
          <w:rFonts w:ascii="Arial" w:cs="Arial" w:eastAsia="Arial" w:hAnsi="Arial"/>
          <w:sz w:val="14"/>
          <w:szCs w:val="14"/>
          <w:b w:val="1"/>
          <w:bCs w:val="1"/>
          <w:color w:val="auto"/>
        </w:rPr>
        <w:t>EXHIBIT C-2</w:t>
      </w:r>
    </w:p>
    <w:p>
      <w:pPr>
        <w:spacing w:after="0" w:line="167" w:lineRule="exact"/>
        <w:rPr>
          <w:sz w:val="20"/>
          <w:szCs w:val="20"/>
          <w:color w:val="auto"/>
        </w:rPr>
      </w:pPr>
    </w:p>
    <w:p>
      <w:pPr>
        <w:ind w:left="4180"/>
        <w:spacing w:after="0"/>
        <w:rPr>
          <w:sz w:val="20"/>
          <w:szCs w:val="20"/>
          <w:color w:val="auto"/>
        </w:rPr>
      </w:pPr>
      <w:r>
        <w:rPr>
          <w:rFonts w:ascii="Arial" w:cs="Arial" w:eastAsia="Arial" w:hAnsi="Arial"/>
          <w:sz w:val="14"/>
          <w:szCs w:val="14"/>
          <w:u w:val="single" w:color="auto"/>
          <w:color w:val="auto"/>
        </w:rPr>
        <w:t>FORM OF SWING LINE NOTE</w:t>
      </w:r>
    </w:p>
    <w:p>
      <w:pPr>
        <w:spacing w:after="0" w:line="280" w:lineRule="exact"/>
        <w:rPr>
          <w:sz w:val="20"/>
          <w:szCs w:val="20"/>
          <w:color w:val="auto"/>
        </w:rPr>
      </w:pPr>
    </w:p>
    <w:p>
      <w:pPr>
        <w:ind w:left="180"/>
        <w:spacing w:after="0"/>
        <w:rPr>
          <w:sz w:val="20"/>
          <w:szCs w:val="20"/>
          <w:color w:val="auto"/>
        </w:rPr>
      </w:pPr>
      <w:r>
        <w:rPr>
          <w:rFonts w:ascii="Arial" w:cs="Arial" w:eastAsia="Arial" w:hAnsi="Arial"/>
          <w:sz w:val="14"/>
          <w:szCs w:val="14"/>
          <w:b w:val="1"/>
          <w:bCs w:val="1"/>
          <w:i w:val="1"/>
          <w:iCs w:val="1"/>
          <w:color w:val="auto"/>
        </w:rPr>
        <w:t>SWING LINE NOTE</w:t>
      </w:r>
    </w:p>
    <w:p>
      <w:pPr>
        <w:spacing w:after="0" w:line="64" w:lineRule="exact"/>
        <w:rPr>
          <w:sz w:val="20"/>
          <w:szCs w:val="20"/>
          <w:color w:val="auto"/>
        </w:rPr>
      </w:pPr>
    </w:p>
    <w:p>
      <w:pPr>
        <w:ind w:left="120"/>
        <w:spacing w:after="0"/>
        <w:tabs>
          <w:tab w:leader="none" w:pos="10720" w:val="left"/>
        </w:tabs>
        <w:rPr>
          <w:sz w:val="20"/>
          <w:szCs w:val="20"/>
          <w:color w:val="auto"/>
        </w:rPr>
      </w:pPr>
      <w:r>
        <w:rPr>
          <w:rFonts w:ascii="Arial" w:cs="Arial" w:eastAsia="Arial" w:hAnsi="Arial"/>
          <w:sz w:val="14"/>
          <w:szCs w:val="14"/>
          <w:color w:val="auto"/>
        </w:rPr>
        <w:t>$15,000,000</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3667760</wp:posOffset>
            </wp:positionH>
            <wp:positionV relativeFrom="paragraph">
              <wp:posOffset>-6985</wp:posOffset>
            </wp:positionV>
            <wp:extent cx="22860"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2860" cy="5715"/>
                    </a:xfrm>
                    <a:prstGeom prst="rect">
                      <a:avLst/>
                    </a:prstGeom>
                    <a:noFill/>
                  </pic:spPr>
                </pic:pic>
              </a:graphicData>
            </a:graphic>
          </wp:anchor>
        </w:drawing>
      </w:r>
    </w:p>
    <w:p>
      <w:pPr>
        <w:spacing w:after="0" w:line="314" w:lineRule="exact"/>
        <w:rPr>
          <w:sz w:val="20"/>
          <w:szCs w:val="20"/>
          <w:color w:val="auto"/>
        </w:rPr>
      </w:pPr>
    </w:p>
    <w:p>
      <w:pPr>
        <w:ind w:left="2020" w:right="620" w:hanging="1233"/>
        <w:spacing w:after="0" w:line="269" w:lineRule="auto"/>
        <w:rPr>
          <w:sz w:val="20"/>
          <w:szCs w:val="20"/>
          <w:color w:val="auto"/>
        </w:rPr>
      </w:pPr>
      <w:r>
        <w:rPr>
          <w:rFonts w:ascii="Arial" w:cs="Arial" w:eastAsia="Arial" w:hAnsi="Arial"/>
          <w:sz w:val="13"/>
          <w:szCs w:val="13"/>
          <w:color w:val="auto"/>
        </w:rPr>
        <w:t>FOR VALUE RECEIVED, the undersigned (individually, a “</w:t>
      </w:r>
      <w:r>
        <w:rPr>
          <w:rFonts w:ascii="Arial" w:cs="Arial" w:eastAsia="Arial" w:hAnsi="Arial"/>
          <w:sz w:val="13"/>
          <w:szCs w:val="13"/>
          <w:u w:val="single" w:color="auto"/>
          <w:color w:val="auto"/>
        </w:rPr>
        <w:t>Borrower</w:t>
      </w:r>
      <w:r>
        <w:rPr>
          <w:rFonts w:ascii="Arial" w:cs="Arial" w:eastAsia="Arial" w:hAnsi="Arial"/>
          <w:sz w:val="13"/>
          <w:szCs w:val="13"/>
          <w:color w:val="auto"/>
        </w:rPr>
        <w:t>”, and collectively, the “</w:t>
      </w:r>
      <w:r>
        <w:rPr>
          <w:rFonts w:ascii="Arial" w:cs="Arial" w:eastAsia="Arial" w:hAnsi="Arial"/>
          <w:sz w:val="13"/>
          <w:szCs w:val="13"/>
          <w:u w:val="single" w:color="auto"/>
          <w:color w:val="auto"/>
        </w:rPr>
        <w:t>Borrowers</w:t>
      </w:r>
      <w:r>
        <w:rPr>
          <w:rFonts w:ascii="Arial" w:cs="Arial" w:eastAsia="Arial" w:hAnsi="Arial"/>
          <w:sz w:val="13"/>
          <w:szCs w:val="13"/>
          <w:color w:val="auto"/>
        </w:rPr>
        <w:t>”) jointly and severally promise to pay to the order of (hereinafter, with any subsequent holders, the “</w:t>
      </w:r>
      <w:r>
        <w:rPr>
          <w:rFonts w:ascii="Arial" w:cs="Arial" w:eastAsia="Arial" w:hAnsi="Arial"/>
          <w:sz w:val="13"/>
          <w:szCs w:val="13"/>
          <w:u w:val="single" w:color="auto"/>
          <w:color w:val="auto"/>
        </w:rPr>
        <w:t>Lender</w:t>
      </w:r>
      <w:r>
        <w:rPr>
          <w:rFonts w:ascii="Arial" w:cs="Arial" w:eastAsia="Arial" w:hAnsi="Arial"/>
          <w:sz w:val="13"/>
          <w:szCs w:val="13"/>
          <w:color w:val="auto"/>
        </w:rPr>
        <w:t>”), c/o Bank of America, N.A., 100 Federal Street, 9th Floor, Boston, Massachusetts</w:t>
      </w:r>
    </w:p>
    <w:p>
      <w:pPr>
        <w:spacing w:after="0" w:line="1" w:lineRule="exact"/>
        <w:rPr>
          <w:sz w:val="20"/>
          <w:szCs w:val="20"/>
          <w:color w:val="auto"/>
        </w:rPr>
      </w:pPr>
    </w:p>
    <w:p>
      <w:pPr>
        <w:jc w:val="both"/>
        <w:ind w:left="120" w:right="620"/>
        <w:spacing w:after="0" w:line="244" w:lineRule="auto"/>
        <w:rPr>
          <w:sz w:val="20"/>
          <w:szCs w:val="20"/>
          <w:color w:val="auto"/>
        </w:rPr>
      </w:pPr>
      <w:r>
        <w:rPr>
          <w:rFonts w:ascii="Arial" w:cs="Arial" w:eastAsia="Arial" w:hAnsi="Arial"/>
          <w:sz w:val="14"/>
          <w:szCs w:val="14"/>
          <w:color w:val="auto"/>
        </w:rPr>
        <w:t xml:space="preserve">02110, the principal sum of </w:t>
      </w:r>
      <w:r>
        <w:rPr>
          <w:rFonts w:ascii="Arial" w:cs="Arial" w:eastAsia="Arial" w:hAnsi="Arial"/>
          <w:sz w:val="14"/>
          <w:szCs w:val="14"/>
          <w:b w:val="1"/>
          <w:bCs w:val="1"/>
          <w:color w:val="auto"/>
        </w:rPr>
        <w:t>FIFTEEN MILLION DOLLARS</w:t>
      </w:r>
      <w:r>
        <w:rPr>
          <w:rFonts w:ascii="Arial" w:cs="Arial" w:eastAsia="Arial" w:hAnsi="Arial"/>
          <w:sz w:val="14"/>
          <w:szCs w:val="14"/>
          <w:color w:val="auto"/>
        </w:rPr>
        <w:t xml:space="preserve"> ($15,000,000), or, if less, the aggregate unpaid principal balance of Swing Line Loans made by the Lender to or for the account of the Borrowers pursuant to the Seventh Amended and Restated Credit Agreement dated as of May 24, 2018 (as amended, restated, supplemented or otherwise modified and in effect from time to time, the “</w:t>
      </w:r>
      <w:r>
        <w:rPr>
          <w:rFonts w:ascii="Arial" w:cs="Arial" w:eastAsia="Arial" w:hAnsi="Arial"/>
          <w:sz w:val="14"/>
          <w:szCs w:val="14"/>
          <w:u w:val="single" w:color="auto"/>
          <w:color w:val="auto"/>
        </w:rPr>
        <w:t>Credit Agreement</w:t>
      </w:r>
      <w:r>
        <w:rPr>
          <w:rFonts w:ascii="Arial" w:cs="Arial" w:eastAsia="Arial" w:hAnsi="Arial"/>
          <w:sz w:val="14"/>
          <w:szCs w:val="14"/>
          <w:color w:val="auto"/>
        </w:rPr>
        <w:t>”) by and among (i) the Borrowers, (ii) the Guarantors party thereto from time to time, (iii) Bank of America, N.A., as administrative agent and collateral agent (in such capacities, the “</w:t>
      </w:r>
      <w:r>
        <w:rPr>
          <w:rFonts w:ascii="Arial" w:cs="Arial" w:eastAsia="Arial" w:hAnsi="Arial"/>
          <w:sz w:val="14"/>
          <w:szCs w:val="14"/>
          <w:u w:val="single" w:color="auto"/>
          <w:color w:val="auto"/>
        </w:rPr>
        <w:t>Agent</w:t>
      </w:r>
      <w:r>
        <w:rPr>
          <w:rFonts w:ascii="Arial" w:cs="Arial" w:eastAsia="Arial" w:hAnsi="Arial"/>
          <w:sz w:val="14"/>
          <w:szCs w:val="14"/>
          <w:color w:val="auto"/>
        </w:rPr>
        <w:t>”) for its own benefit and the benefit of the other Credit Parties referred to therein, and (iv) the lenders from time to time party thereto (individually, a “</w:t>
      </w:r>
      <w:r>
        <w:rPr>
          <w:rFonts w:ascii="Arial" w:cs="Arial" w:eastAsia="Arial" w:hAnsi="Arial"/>
          <w:sz w:val="14"/>
          <w:szCs w:val="14"/>
          <w:u w:val="single" w:color="auto"/>
          <w:color w:val="auto"/>
        </w:rPr>
        <w:t>Lender</w:t>
      </w:r>
      <w:r>
        <w:rPr>
          <w:rFonts w:ascii="Arial" w:cs="Arial" w:eastAsia="Arial" w:hAnsi="Arial"/>
          <w:sz w:val="14"/>
          <w:szCs w:val="14"/>
          <w:color w:val="auto"/>
        </w:rPr>
        <w:t>” and, collectively, the “</w:t>
      </w:r>
      <w:r>
        <w:rPr>
          <w:rFonts w:ascii="Arial" w:cs="Arial" w:eastAsia="Arial" w:hAnsi="Arial"/>
          <w:sz w:val="14"/>
          <w:szCs w:val="14"/>
          <w:u w:val="single" w:color="auto"/>
          <w:color w:val="auto"/>
        </w:rPr>
        <w:t>Lenders</w:t>
      </w:r>
      <w:r>
        <w:rPr>
          <w:rFonts w:ascii="Arial" w:cs="Arial" w:eastAsia="Arial" w:hAnsi="Arial"/>
          <w:sz w:val="14"/>
          <w:szCs w:val="14"/>
          <w:color w:val="auto"/>
        </w:rPr>
        <w:t>”), with interest at the rate and payable in the manner stated therein.</w:t>
      </w:r>
    </w:p>
    <w:p>
      <w:pPr>
        <w:spacing w:after="0" w:line="123" w:lineRule="exact"/>
        <w:rPr>
          <w:sz w:val="20"/>
          <w:szCs w:val="20"/>
          <w:color w:val="auto"/>
        </w:rPr>
      </w:pPr>
    </w:p>
    <w:p>
      <w:pPr>
        <w:jc w:val="both"/>
        <w:ind w:left="120" w:right="620" w:firstLine="675"/>
        <w:spacing w:after="0" w:line="286" w:lineRule="auto"/>
        <w:rPr>
          <w:sz w:val="20"/>
          <w:szCs w:val="20"/>
          <w:color w:val="auto"/>
        </w:rPr>
      </w:pPr>
      <w:r>
        <w:rPr>
          <w:rFonts w:ascii="Arial" w:cs="Arial" w:eastAsia="Arial" w:hAnsi="Arial"/>
          <w:sz w:val="13"/>
          <w:szCs w:val="13"/>
          <w:color w:val="auto"/>
        </w:rPr>
        <w:t>This “Swing Line Note” is a “Note” to which reference is made in the Credit Agreement and is subject to all terms and provisions thereof. The principal of, and interest on, this Swing Line Note shall be payable at the times, in the manner, and in the amounts as provided in the Credit Agreement and shall be subject to prepayment and acceleration as provided therein. Capitalized terms used herein and not defined herein shall have the meanings assigned to such terms in the Credit Agreement.</w:t>
      </w:r>
    </w:p>
    <w:p>
      <w:pPr>
        <w:spacing w:after="0" w:line="96" w:lineRule="exact"/>
        <w:rPr>
          <w:sz w:val="20"/>
          <w:szCs w:val="20"/>
          <w:color w:val="auto"/>
        </w:rPr>
      </w:pPr>
    </w:p>
    <w:p>
      <w:pPr>
        <w:jc w:val="both"/>
        <w:ind w:left="120" w:right="620" w:firstLine="675"/>
        <w:spacing w:after="0" w:line="273" w:lineRule="auto"/>
        <w:rPr>
          <w:sz w:val="20"/>
          <w:szCs w:val="20"/>
          <w:color w:val="auto"/>
        </w:rPr>
      </w:pPr>
      <w:r>
        <w:rPr>
          <w:rFonts w:ascii="Arial" w:cs="Arial" w:eastAsia="Arial" w:hAnsi="Arial"/>
          <w:sz w:val="14"/>
          <w:szCs w:val="14"/>
          <w:color w:val="auto"/>
        </w:rPr>
        <w:t>The Agent’s books and records concerning the Swing Line Loans, the accrual of interest thereon, and the repayment of such Swing Line Loans, shall be conclusive, absent manifest error, evidence of the indebtedness to the Lender hereunder.</w:t>
      </w:r>
    </w:p>
    <w:p>
      <w:pPr>
        <w:spacing w:after="0" w:line="102" w:lineRule="exact"/>
        <w:rPr>
          <w:sz w:val="20"/>
          <w:szCs w:val="20"/>
          <w:color w:val="auto"/>
        </w:rPr>
      </w:pPr>
    </w:p>
    <w:p>
      <w:pPr>
        <w:jc w:val="both"/>
        <w:ind w:left="120" w:right="620" w:firstLine="675"/>
        <w:spacing w:after="0" w:line="257" w:lineRule="auto"/>
        <w:rPr>
          <w:sz w:val="20"/>
          <w:szCs w:val="20"/>
          <w:color w:val="auto"/>
        </w:rPr>
      </w:pPr>
      <w:r>
        <w:rPr>
          <w:rFonts w:ascii="Arial" w:cs="Arial" w:eastAsia="Arial" w:hAnsi="Arial"/>
          <w:sz w:val="14"/>
          <w:szCs w:val="14"/>
          <w:color w:val="auto"/>
        </w:rPr>
        <w:t>No delay or omission by the Agent or the Lender in exercising or enforcing any of the Agent’s or the Lender’s powers, rights, privileges, remedies, or discretions hereunder shall operate as a waiver thereof on that occasion nor on any other occasion. No waiver of any Event of Default shall operate as a waiver of any other Event of Default, nor as a continuing waiver of any such Event of Default.</w:t>
      </w:r>
    </w:p>
    <w:p>
      <w:pPr>
        <w:spacing w:after="0" w:line="113" w:lineRule="exact"/>
        <w:rPr>
          <w:sz w:val="20"/>
          <w:szCs w:val="20"/>
          <w:color w:val="auto"/>
        </w:rPr>
      </w:pPr>
    </w:p>
    <w:p>
      <w:pPr>
        <w:jc w:val="both"/>
        <w:ind w:left="120" w:right="620" w:firstLine="675"/>
        <w:spacing w:after="0" w:line="261" w:lineRule="auto"/>
        <w:rPr>
          <w:sz w:val="20"/>
          <w:szCs w:val="20"/>
          <w:color w:val="auto"/>
        </w:rPr>
      </w:pPr>
      <w:r>
        <w:rPr>
          <w:rFonts w:ascii="Arial" w:cs="Arial" w:eastAsia="Arial" w:hAnsi="Arial"/>
          <w:sz w:val="14"/>
          <w:szCs w:val="14"/>
          <w:color w:val="auto"/>
        </w:rPr>
        <w:t>Each Borrower and each endorser of this Swing Line Note, waives presentment, demand, notice, and protest, and also waives any delay on the part of the holder hereof. Each Borrower</w:t>
      </w:r>
    </w:p>
    <w:p>
      <w:pPr>
        <w:spacing w:after="0" w:line="1"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1</w:t>
      </w:r>
    </w:p>
    <w:p>
      <w:pPr>
        <w:spacing w:after="0"/>
        <w:rPr>
          <w:sz w:val="20"/>
          <w:szCs w:val="20"/>
          <w:color w:val="auto"/>
        </w:rPr>
      </w:pPr>
      <w:r>
        <w:rPr>
          <w:rFonts w:ascii="Arial" w:cs="Arial" w:eastAsia="Arial" w:hAnsi="Arial"/>
          <w:sz w:val="10"/>
          <w:szCs w:val="10"/>
          <w:color w:val="auto"/>
        </w:rPr>
        <w:t>DB1/ 97580959.1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198120</wp:posOffset>
            </wp:positionV>
            <wp:extent cx="7329170" cy="368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780"/>
          </w:cols>
          <w:pgMar w:left="820" w:top="301" w:right="299" w:bottom="1440" w:gutter="0" w:footer="0" w:header="0"/>
        </w:sectPr>
      </w:pPr>
    </w:p>
    <w:bookmarkStart w:id="201" w:name="page202"/>
    <w:bookmarkEnd w:id="201"/>
    <w:p>
      <w:pPr>
        <w:jc w:val="both"/>
        <w:ind w:left="700"/>
        <w:spacing w:after="0" w:line="257" w:lineRule="auto"/>
        <w:rPr>
          <w:sz w:val="20"/>
          <w:szCs w:val="20"/>
          <w:color w:val="auto"/>
        </w:rPr>
      </w:pPr>
      <w:r>
        <w:rPr>
          <w:rFonts w:ascii="Arial" w:cs="Arial" w:eastAsia="Arial" w:hAnsi="Arial"/>
          <w:sz w:val="14"/>
          <w:szCs w:val="14"/>
          <w:color w:val="auto"/>
        </w:rPr>
        <w:t>assents to any extension or other indulgence (including, without limitation, the release or substitution of Collateral) permitted by the Agent and/or the Lender with respect to this Swing Line Note and/or any Collateral or any extension or other indulgence with respect to any other liability or any collateral given to secure any other liability of any Borrower or any other Person obligated on account of this Swing Line Note.</w:t>
      </w:r>
    </w:p>
    <w:p>
      <w:pPr>
        <w:spacing w:after="0" w:line="113" w:lineRule="exact"/>
        <w:rPr>
          <w:sz w:val="20"/>
          <w:szCs w:val="20"/>
          <w:color w:val="auto"/>
        </w:rPr>
      </w:pPr>
    </w:p>
    <w:p>
      <w:pPr>
        <w:jc w:val="both"/>
        <w:ind w:left="700" w:firstLine="675"/>
        <w:spacing w:after="0" w:line="273" w:lineRule="auto"/>
        <w:rPr>
          <w:sz w:val="20"/>
          <w:szCs w:val="20"/>
          <w:color w:val="auto"/>
        </w:rPr>
      </w:pPr>
      <w:r>
        <w:rPr>
          <w:rFonts w:ascii="Arial" w:cs="Arial" w:eastAsia="Arial" w:hAnsi="Arial"/>
          <w:sz w:val="14"/>
          <w:szCs w:val="14"/>
          <w:color w:val="auto"/>
        </w:rPr>
        <w:t>This Swing Line Note shall be binding upon each Borrower and each endorser hereof, and upon their respective successors, assigns, and representatives, and shall inure to the benefit of the Lender and its successors, endorsees, and assigns.</w:t>
      </w:r>
    </w:p>
    <w:p>
      <w:pPr>
        <w:spacing w:after="0" w:line="102" w:lineRule="exact"/>
        <w:rPr>
          <w:sz w:val="20"/>
          <w:szCs w:val="20"/>
          <w:color w:val="auto"/>
        </w:rPr>
      </w:pPr>
    </w:p>
    <w:p>
      <w:pPr>
        <w:jc w:val="both"/>
        <w:ind w:left="700" w:firstLine="675"/>
        <w:spacing w:after="0" w:line="252" w:lineRule="auto"/>
        <w:rPr>
          <w:sz w:val="20"/>
          <w:szCs w:val="20"/>
          <w:color w:val="auto"/>
        </w:rPr>
      </w:pPr>
      <w:r>
        <w:rPr>
          <w:rFonts w:ascii="Arial" w:cs="Arial" w:eastAsia="Arial" w:hAnsi="Arial"/>
          <w:sz w:val="14"/>
          <w:szCs w:val="14"/>
          <w:color w:val="auto"/>
        </w:rPr>
        <w:t xml:space="preserve">The liabilities of each Borrower and of any endorser of this Swing Line Note, are joint and several, </w:t>
      </w:r>
      <w:r>
        <w:rPr>
          <w:rFonts w:ascii="Arial" w:cs="Arial" w:eastAsia="Arial" w:hAnsi="Arial"/>
          <w:sz w:val="14"/>
          <w:szCs w:val="14"/>
          <w:i w:val="1"/>
          <w:iCs w:val="1"/>
          <w:color w:val="auto"/>
        </w:rPr>
        <w:t>provided, however</w:t>
      </w:r>
      <w:r>
        <w:rPr>
          <w:rFonts w:ascii="Arial" w:cs="Arial" w:eastAsia="Arial" w:hAnsi="Arial"/>
          <w:sz w:val="14"/>
          <w:szCs w:val="14"/>
          <w:color w:val="auto"/>
        </w:rPr>
        <w:t>, the release by the Agent or the Lender of any one or more such Persons shall not release any other Person obligated on account of this Swing Line Note. Each reference in this Swing Line Note to any Borrower, any endorser, and any guarantor, is to such Person individually and also to all such Persons jointly. No Person obligated on account of this Swing Line Note may seek contribution from any other Person also obligated unless and until all of the Obligations have been paid in full in cash.</w:t>
      </w:r>
    </w:p>
    <w:p>
      <w:pPr>
        <w:spacing w:after="0" w:line="116" w:lineRule="exact"/>
        <w:rPr>
          <w:sz w:val="20"/>
          <w:szCs w:val="20"/>
          <w:color w:val="auto"/>
        </w:rPr>
      </w:pPr>
    </w:p>
    <w:p>
      <w:pPr>
        <w:jc w:val="both"/>
        <w:ind w:left="700" w:firstLine="675"/>
        <w:spacing w:after="0" w:line="257" w:lineRule="auto"/>
        <w:rPr>
          <w:sz w:val="20"/>
          <w:szCs w:val="20"/>
          <w:color w:val="auto"/>
        </w:rPr>
      </w:pPr>
      <w:r>
        <w:rPr>
          <w:rFonts w:ascii="Arial" w:cs="Arial" w:eastAsia="Arial" w:hAnsi="Arial"/>
          <w:sz w:val="14"/>
          <w:szCs w:val="14"/>
          <w:color w:val="auto"/>
        </w:rPr>
        <w:t>THIS SWING LINE NOTE AND ANY CLAIMS, CONTROVERSY, DISPUTE OR CAUSE OF ACTION (WHETHER IN CONTRACT OR TORT OR OTHERWISE) BASED UPON, ARISING OUT OF OR RELATING TO THIS SWING LINE NOTE AND THE TRANSACTIONS CONTEMPLATED HEREBY AND THEREBY SHALL BE GOVERNED BY, AND CONSTRUED IN ACCORDANCE WITH, THE LAW OF THE STATE OF NEW YORK.</w:t>
      </w:r>
    </w:p>
    <w:p>
      <w:pPr>
        <w:spacing w:after="0" w:line="104" w:lineRule="exact"/>
        <w:rPr>
          <w:sz w:val="20"/>
          <w:szCs w:val="20"/>
          <w:color w:val="auto"/>
        </w:rPr>
      </w:pPr>
    </w:p>
    <w:p>
      <w:pPr>
        <w:jc w:val="both"/>
        <w:ind w:left="700" w:firstLine="1350"/>
        <w:spacing w:after="0" w:line="244" w:lineRule="auto"/>
        <w:rPr>
          <w:sz w:val="20"/>
          <w:szCs w:val="20"/>
          <w:color w:val="auto"/>
        </w:rPr>
      </w:pPr>
      <w:r>
        <w:rPr>
          <w:rFonts w:ascii="Arial" w:cs="Arial" w:eastAsia="Arial" w:hAnsi="Arial"/>
          <w:sz w:val="14"/>
          <w:szCs w:val="14"/>
          <w:color w:val="auto"/>
        </w:rPr>
        <w:t>EACH BORROWER IRREVOCABLY AND UNCONDITIONALLY AGREES THAT IT WILL NOT COMMENCE ANY ACTION, LITIGATION OR PROCEEDING OF ANY KIND OR DESCRIPTION, WHETHER IN LAW OR EQUITY, WHETHER IN CONTRACT OR IN TORT OR OTHERWISE, AGAINST THE AGENT, ANY LENDER OR ANY RELATED PARTY OF THE FOREGOING IN ANY WAY RELATING TO THIS SWING LINE NOTE OR THE TRANSACTIONS RELATING HERETO, IN ANY FORUM OTHER THAN THE COURTS OF THE STATE OF NEW YORK SITTING IN NEW YORK COUNTY AND OF THE UNITED STATES DISTRICT COURT OF THE SOUTHERN DISTRICT OF NEW YORK, AND ANY APPELLATE COURT FROM ANY THEREOF, AND EACH BORROWER IRREVOCABLY AND UNCONDITIONALLY SUBMITS TO THE JURISDICTION OF SUCH COURTS AND AGREES THAT ALL CLAIMS IN RESPECT OF ANY SUCH ACTION, LITIGATION OR PROCEEDING MAY BE HEARD AND DETERMINED IN SUCH NEW YORK STATE COURT OR, TO THE FULLEST EXTENT PERMITTED BY LAW, IN SUCH FEDERAL COURT. EACH BORROWER AGREES THAT A FINAL JUDGMENT IN ANY SUCH ACTION, LITIGATION OR PROCEEDING SHALL BE CONCLUSIVE AND MAY BE ENFORCED IN OTHER JURISDICTIONS BY SUIT ON THE JUDGMENT OR IN ANY OTHER MANNER PROVIDED BY LAW. NOTHING IN THIS SWING LINE NOTE OR IN ANY OTHER LOAN DOCUMENT SHALL AFFECT ANY RIGHT THAT ANY CREDIT PARTY MAY OTHERWISE HAVE TO BRING ANY ACTION OR PROCEEDING RELATING TO THIS</w:t>
      </w:r>
    </w:p>
    <w:p>
      <w:pPr>
        <w:spacing w:after="0" w:line="291" w:lineRule="exact"/>
        <w:rPr>
          <w:sz w:val="20"/>
          <w:szCs w:val="20"/>
          <w:color w:val="auto"/>
        </w:rPr>
      </w:pPr>
    </w:p>
    <w:p>
      <w:pPr>
        <w:spacing w:after="0"/>
        <w:rPr>
          <w:sz w:val="20"/>
          <w:szCs w:val="20"/>
          <w:color w:val="auto"/>
        </w:rPr>
      </w:pPr>
      <w:r>
        <w:rPr>
          <w:rFonts w:ascii="Arial" w:cs="Arial" w:eastAsia="Arial" w:hAnsi="Arial"/>
          <w:sz w:val="10"/>
          <w:szCs w:val="10"/>
          <w:color w:val="auto"/>
        </w:rPr>
        <w:t>DB1/ 97580959.1</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288925</wp:posOffset>
            </wp:positionV>
            <wp:extent cx="7329170" cy="368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740"/>
          </w:cols>
          <w:pgMar w:left="240" w:top="305" w:right="919" w:bottom="1440" w:gutter="0" w:footer="0" w:header="0"/>
        </w:sectPr>
      </w:pPr>
    </w:p>
    <w:bookmarkStart w:id="202" w:name="page203"/>
    <w:bookmarkEnd w:id="202"/>
    <w:p>
      <w:pPr>
        <w:ind w:left="700"/>
        <w:spacing w:after="0"/>
        <w:rPr>
          <w:sz w:val="20"/>
          <w:szCs w:val="20"/>
          <w:color w:val="auto"/>
        </w:rPr>
      </w:pPr>
      <w:r>
        <w:rPr>
          <w:rFonts w:ascii="Arial" w:cs="Arial" w:eastAsia="Arial" w:hAnsi="Arial"/>
          <w:sz w:val="14"/>
          <w:szCs w:val="14"/>
          <w:color w:val="auto"/>
        </w:rPr>
        <w:t>SWING LINE NOTE OR ANY OTHER LOAN DOCUMENT AGAINST ANY BORROWER OR ITS PROPERTIES IN THE COURTS OF ANY JURISDICTION.</w:t>
      </w:r>
    </w:p>
    <w:p>
      <w:pPr>
        <w:spacing w:after="0" w:line="145" w:lineRule="exact"/>
        <w:rPr>
          <w:sz w:val="20"/>
          <w:szCs w:val="20"/>
          <w:color w:val="auto"/>
        </w:rPr>
      </w:pPr>
    </w:p>
    <w:p>
      <w:pPr>
        <w:jc w:val="both"/>
        <w:ind w:left="700" w:firstLine="675"/>
        <w:spacing w:after="0" w:line="252" w:lineRule="auto"/>
        <w:rPr>
          <w:sz w:val="20"/>
          <w:szCs w:val="20"/>
          <w:color w:val="auto"/>
        </w:rPr>
      </w:pPr>
      <w:r>
        <w:rPr>
          <w:rFonts w:ascii="Arial" w:cs="Arial" w:eastAsia="Arial" w:hAnsi="Arial"/>
          <w:sz w:val="14"/>
          <w:szCs w:val="14"/>
          <w:color w:val="auto"/>
        </w:rPr>
        <w:t>EACH BORROWER IRREVOCABLY AND UNCONDITIONALLY WAIVES, TO THE FULLEST EXTENT PERMITTED BY LAW, ANY OBJECTION THAT IT MAY NOW OR HEREAFTER HAVE TO THE LAYING OF VENUE OF ANY ACTION OR PROCEEDING ARISING OUT OF OR RELATING TO THIS SWING LINE IN ANY COURT REFERRED TO ABOVE. EACH BORROWER HEREBY IRREVOCABLY WAIVES, TO THE FULLEST EXTENT PERMITTED BY LAW, THE DEFENSE OF AN INCONVENIENT FORUM TO THE MAINTENANCE OF SUCH ACTION OR PROCEEDING IN ANY SUCH COURT.</w:t>
      </w:r>
    </w:p>
    <w:p>
      <w:pPr>
        <w:spacing w:after="0" w:line="116" w:lineRule="exact"/>
        <w:rPr>
          <w:sz w:val="20"/>
          <w:szCs w:val="20"/>
          <w:color w:val="auto"/>
        </w:rPr>
      </w:pPr>
    </w:p>
    <w:p>
      <w:pPr>
        <w:jc w:val="both"/>
        <w:ind w:left="700" w:firstLine="675"/>
        <w:spacing w:after="0" w:line="245" w:lineRule="auto"/>
        <w:rPr>
          <w:sz w:val="20"/>
          <w:szCs w:val="20"/>
          <w:color w:val="auto"/>
        </w:rPr>
      </w:pPr>
      <w:r>
        <w:rPr>
          <w:rFonts w:ascii="Arial" w:cs="Arial" w:eastAsia="Arial" w:hAnsi="Arial"/>
          <w:sz w:val="14"/>
          <w:szCs w:val="14"/>
          <w:color w:val="auto"/>
        </w:rPr>
        <w:t>Each Borrower makes the following waiver knowingly, voluntarily, and intentionally, and understands that the Agent and the Lender, in the establishment and maintenance of their respective relationship with each Borrower contemplated by this Swing Line Note, are each relying thereon. EACH BORROWER AND ENDORSER, AND THE LENDER, BY ITS ACCEPTANCE HEREOF, HEREBY IRREVOCABLY WAIVES, TO THE FULLEST EXTENT PERMITTED BY LAW, ANY RIGHT IT MAY HAVE TO A TRIAL BY JURY IN ANY LEGAL PROCEEDING DIRECTLY OR INDIRECTLY ARISING OUT OF OR RELATING TO THIS SWING LINE NOTE OR THE TRANSACTIONS CONTEMPLATED HEREBY (WHETHER BASED ON CONTRACT, TORT OR ANY OTHER THEORY). EACH BORROWER AND THE LENDER, BY ITS ACCEPTANCE HEREOF (A) CERTIFIES THAT NO REPRESENTATIVE, AGENT OR ATTORNEY OF ANY OTHER PERSON HAS REPRESENTED, EXPRESSLY OR OTHERWISE, THAT SUCH OTHER PERSON WOULD NOT, IN THE EVENT OF LITIGATION, SEEK TO ENFORCE THE FOREGOING WAIVER AND (B) ACKNOWLEDGES THAT IT HAS BEEN INDUCED TO ENTER INTO THIS SWING LINE NOTE BY, AMONG OTHER THINGS, THE MUTUAL WAIVERS AND CERTIFICATIONS HEREIN.</w:t>
      </w:r>
    </w:p>
    <w:p>
      <w:pPr>
        <w:spacing w:after="0" w:line="120" w:lineRule="exact"/>
        <w:rPr>
          <w:sz w:val="20"/>
          <w:szCs w:val="20"/>
          <w:color w:val="auto"/>
        </w:rPr>
      </w:pPr>
    </w:p>
    <w:p>
      <w:pPr>
        <w:ind w:left="38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SIGNATURE PAGES FOLLOW</w:t>
      </w:r>
      <w:r>
        <w:rPr>
          <w:rFonts w:ascii="Arial" w:cs="Arial" w:eastAsia="Arial" w:hAnsi="Arial"/>
          <w:sz w:val="14"/>
          <w:szCs w:val="14"/>
          <w:color w:val="auto"/>
        </w:rPr>
        <w:t>]</w:t>
      </w:r>
    </w:p>
    <w:p>
      <w:pPr>
        <w:spacing w:after="0" w:line="313" w:lineRule="exact"/>
        <w:rPr>
          <w:sz w:val="20"/>
          <w:szCs w:val="20"/>
          <w:color w:val="auto"/>
        </w:rPr>
      </w:pPr>
    </w:p>
    <w:p>
      <w:pPr>
        <w:spacing w:after="0"/>
        <w:rPr>
          <w:sz w:val="20"/>
          <w:szCs w:val="20"/>
          <w:color w:val="auto"/>
        </w:rPr>
      </w:pPr>
      <w:r>
        <w:rPr>
          <w:rFonts w:ascii="Arial" w:cs="Arial" w:eastAsia="Arial" w:hAnsi="Arial"/>
          <w:sz w:val="10"/>
          <w:szCs w:val="10"/>
          <w:color w:val="auto"/>
        </w:rPr>
        <w:t>DB1/ 97580959.1</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288925</wp:posOffset>
            </wp:positionV>
            <wp:extent cx="7329170" cy="368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740"/>
          </w:cols>
          <w:pgMar w:left="240" w:top="306" w:right="919" w:bottom="1440" w:gutter="0" w:footer="0" w:header="0"/>
        </w:sectPr>
      </w:pPr>
    </w:p>
    <w:bookmarkStart w:id="203" w:name="page204"/>
    <w:bookmarkEnd w:id="203"/>
    <w:p>
      <w:pPr>
        <w:ind w:left="780"/>
        <w:spacing w:after="0"/>
        <w:rPr>
          <w:sz w:val="20"/>
          <w:szCs w:val="20"/>
          <w:color w:val="auto"/>
        </w:rPr>
      </w:pPr>
      <w:r>
        <w:rPr>
          <w:rFonts w:ascii="Arial" w:cs="Arial" w:eastAsia="Arial" w:hAnsi="Arial"/>
          <w:sz w:val="13"/>
          <w:szCs w:val="13"/>
          <w:color w:val="auto"/>
        </w:rPr>
        <w:t>IN WITNESS WHEREOF, each Borrower has caused this Swing Line Note to be duly executed as of the date set forth above.</w:t>
      </w:r>
    </w:p>
    <w:p>
      <w:pPr>
        <w:spacing w:after="0" w:line="171" w:lineRule="exact"/>
        <w:rPr>
          <w:sz w:val="20"/>
          <w:szCs w:val="20"/>
          <w:color w:val="auto"/>
        </w:rPr>
      </w:pPr>
    </w:p>
    <w:p>
      <w:pPr>
        <w:ind w:left="4740"/>
        <w:spacing w:after="0"/>
        <w:rPr>
          <w:sz w:val="20"/>
          <w:szCs w:val="20"/>
          <w:color w:val="auto"/>
        </w:rPr>
      </w:pPr>
      <w:r>
        <w:rPr>
          <w:rFonts w:ascii="Arial" w:cs="Arial" w:eastAsia="Arial" w:hAnsi="Arial"/>
          <w:sz w:val="14"/>
          <w:szCs w:val="14"/>
          <w:b w:val="1"/>
          <w:bCs w:val="1"/>
          <w:color w:val="auto"/>
        </w:rPr>
        <w:t>BORROWERS:</w:t>
      </w:r>
    </w:p>
    <w:p>
      <w:pPr>
        <w:spacing w:after="0" w:line="334" w:lineRule="exact"/>
        <w:rPr>
          <w:sz w:val="20"/>
          <w:szCs w:val="20"/>
          <w:color w:val="auto"/>
        </w:rPr>
      </w:pPr>
    </w:p>
    <w:p>
      <w:pPr>
        <w:ind w:left="4740"/>
        <w:spacing w:after="0"/>
        <w:rPr>
          <w:sz w:val="20"/>
          <w:szCs w:val="20"/>
          <w:color w:val="auto"/>
        </w:rPr>
      </w:pPr>
      <w:r>
        <w:rPr>
          <w:rFonts w:ascii="Arial" w:cs="Arial" w:eastAsia="Arial" w:hAnsi="Arial"/>
          <w:sz w:val="14"/>
          <w:szCs w:val="14"/>
          <w:b w:val="1"/>
          <w:bCs w:val="1"/>
          <w:color w:val="auto"/>
        </w:rPr>
        <w:t>DESTINATION XL GROUP, INC.</w:t>
      </w:r>
    </w:p>
    <w:p>
      <w:pPr>
        <w:spacing w:after="0" w:line="167"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By:</w:t>
      </w:r>
    </w:p>
    <w:p>
      <w:pPr>
        <w:spacing w:after="0" w:line="13"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Name:</w:t>
      </w:r>
    </w:p>
    <w:p>
      <w:pPr>
        <w:spacing w:after="0" w:line="1"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Title:</w:t>
      </w:r>
    </w:p>
    <w:p>
      <w:pPr>
        <w:spacing w:after="0" w:line="138" w:lineRule="exact"/>
        <w:rPr>
          <w:sz w:val="20"/>
          <w:szCs w:val="20"/>
          <w:color w:val="auto"/>
        </w:rPr>
      </w:pPr>
    </w:p>
    <w:p>
      <w:pPr>
        <w:ind w:left="4740"/>
        <w:spacing w:after="0"/>
        <w:rPr>
          <w:sz w:val="20"/>
          <w:szCs w:val="20"/>
          <w:color w:val="auto"/>
        </w:rPr>
      </w:pPr>
      <w:r>
        <w:rPr>
          <w:rFonts w:ascii="Arial" w:cs="Arial" w:eastAsia="Arial" w:hAnsi="Arial"/>
          <w:sz w:val="14"/>
          <w:szCs w:val="14"/>
          <w:b w:val="1"/>
          <w:bCs w:val="1"/>
          <w:color w:val="auto"/>
        </w:rPr>
        <w:t>CMRG APPAREL, LLC</w:t>
      </w:r>
    </w:p>
    <w:p>
      <w:pPr>
        <w:spacing w:after="0" w:line="167"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By:</w:t>
      </w:r>
    </w:p>
    <w:p>
      <w:pPr>
        <w:spacing w:after="0" w:line="13"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Name:</w:t>
      </w:r>
    </w:p>
    <w:p>
      <w:pPr>
        <w:spacing w:after="0" w:line="1" w:lineRule="exact"/>
        <w:rPr>
          <w:sz w:val="20"/>
          <w:szCs w:val="20"/>
          <w:color w:val="auto"/>
        </w:rPr>
      </w:pPr>
    </w:p>
    <w:p>
      <w:pPr>
        <w:jc w:val="center"/>
        <w:ind w:right="-160"/>
        <w:spacing w:after="0"/>
        <w:rPr>
          <w:sz w:val="20"/>
          <w:szCs w:val="20"/>
          <w:color w:val="auto"/>
        </w:rPr>
      </w:pPr>
      <w:r>
        <w:rPr>
          <w:rFonts w:ascii="Arial" w:cs="Arial" w:eastAsia="Arial" w:hAnsi="Arial"/>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2880" w:val="left"/>
        </w:tabs>
        <w:rPr>
          <w:sz w:val="20"/>
          <w:szCs w:val="20"/>
          <w:color w:val="auto"/>
        </w:rPr>
      </w:pPr>
      <w:r>
        <w:rPr>
          <w:rFonts w:ascii="Arial" w:cs="Arial" w:eastAsia="Arial" w:hAnsi="Arial"/>
          <w:sz w:val="10"/>
          <w:szCs w:val="10"/>
          <w:color w:val="auto"/>
        </w:rPr>
        <w:t>DB1/ 97580959.1</w:t>
      </w:r>
      <w:r>
        <w:rPr>
          <w:sz w:val="20"/>
          <w:szCs w:val="20"/>
          <w:color w:val="auto"/>
        </w:rPr>
        <w:tab/>
      </w:r>
      <w:r>
        <w:rPr>
          <w:rFonts w:ascii="Arial" w:cs="Arial" w:eastAsia="Arial" w:hAnsi="Arial"/>
          <w:sz w:val="12"/>
          <w:szCs w:val="12"/>
          <w:color w:val="auto"/>
        </w:rPr>
        <w:t>Signature Page to Swing Line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257810</wp:posOffset>
            </wp:positionV>
            <wp:extent cx="7329170" cy="368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9639"/>
          </w:cols>
          <w:pgMar w:left="820" w:top="377" w:right="1440" w:bottom="1440" w:gutter="0" w:footer="0" w:header="0"/>
        </w:sectPr>
      </w:pPr>
    </w:p>
    <w:bookmarkStart w:id="204" w:name="page205"/>
    <w:bookmarkEnd w:id="204"/>
    <w:tbl>
      <w:tblPr>
        <w:tblLayout w:type="fixed"/>
        <w:tblInd w:w="12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3860" w:type="dxa"/>
            <w:vAlign w:val="bottom"/>
            <w:gridSpan w:val="2"/>
          </w:tcPr>
          <w:p>
            <w:pPr>
              <w:jc w:val="center"/>
              <w:ind w:right="2460"/>
              <w:spacing w:after="0"/>
              <w:rPr>
                <w:sz w:val="20"/>
                <w:szCs w:val="20"/>
                <w:color w:val="auto"/>
              </w:rPr>
            </w:pPr>
            <w:r>
              <w:rPr>
                <w:rFonts w:ascii="Arial" w:cs="Arial" w:eastAsia="Arial" w:hAnsi="Arial"/>
                <w:sz w:val="14"/>
                <w:szCs w:val="14"/>
                <w:b w:val="1"/>
                <w:bCs w:val="1"/>
                <w:color w:val="auto"/>
              </w:rPr>
              <w:t>EXHIBIT C-3</w:t>
            </w:r>
          </w:p>
        </w:tc>
      </w:tr>
      <w:tr>
        <w:trPr>
          <w:trHeight w:val="149"/>
        </w:trPr>
        <w:tc>
          <w:tcPr>
            <w:tcW w:w="4320" w:type="dxa"/>
            <w:vAlign w:val="bottom"/>
          </w:tcPr>
          <w:p>
            <w:pPr>
              <w:spacing w:after="0"/>
              <w:rPr>
                <w:sz w:val="12"/>
                <w:szCs w:val="12"/>
                <w:color w:val="auto"/>
              </w:rPr>
            </w:pPr>
          </w:p>
        </w:tc>
        <w:tc>
          <w:tcPr>
            <w:tcW w:w="3860" w:type="dxa"/>
            <w:vAlign w:val="bottom"/>
            <w:gridSpan w:val="2"/>
          </w:tcPr>
          <w:p>
            <w:pPr>
              <w:jc w:val="center"/>
              <w:ind w:right="2460"/>
              <w:spacing w:after="0" w:line="149" w:lineRule="exact"/>
              <w:rPr>
                <w:sz w:val="20"/>
                <w:szCs w:val="20"/>
                <w:color w:val="auto"/>
              </w:rPr>
            </w:pPr>
            <w:r>
              <w:rPr>
                <w:rFonts w:ascii="Arial" w:cs="Arial" w:eastAsia="Arial" w:hAnsi="Arial"/>
                <w:sz w:val="14"/>
                <w:szCs w:val="14"/>
                <w:color w:val="auto"/>
                <w:w w:val="98"/>
              </w:rPr>
              <w:t>FORM OF FILO NOTE</w:t>
            </w:r>
          </w:p>
        </w:tc>
      </w:tr>
      <w:tr>
        <w:trPr>
          <w:trHeight w:val="445"/>
        </w:trPr>
        <w:tc>
          <w:tcPr>
            <w:tcW w:w="4320" w:type="dxa"/>
            <w:vAlign w:val="bottom"/>
          </w:tcPr>
          <w:p>
            <w:pPr>
              <w:jc w:val="right"/>
              <w:ind w:right="3408"/>
              <w:spacing w:after="0"/>
              <w:rPr>
                <w:sz w:val="20"/>
                <w:szCs w:val="20"/>
                <w:color w:val="auto"/>
              </w:rPr>
            </w:pPr>
            <w:r>
              <w:rPr>
                <w:rFonts w:ascii="Arial" w:cs="Arial" w:eastAsia="Arial" w:hAnsi="Arial"/>
                <w:sz w:val="14"/>
                <w:szCs w:val="14"/>
                <w:b w:val="1"/>
                <w:bCs w:val="1"/>
                <w:i w:val="1"/>
                <w:iCs w:val="1"/>
                <w:color w:val="auto"/>
              </w:rPr>
              <w:t>FILO NOTE</w:t>
            </w:r>
          </w:p>
        </w:tc>
        <w:tc>
          <w:tcPr>
            <w:tcW w:w="1400" w:type="dxa"/>
            <w:vAlign w:val="bottom"/>
            <w:tcBorders>
              <w:top w:val="single" w:sz="8" w:color="auto"/>
            </w:tcBorders>
          </w:tcPr>
          <w:p>
            <w:pPr>
              <w:spacing w:after="0"/>
              <w:rPr>
                <w:sz w:val="24"/>
                <w:szCs w:val="24"/>
                <w:color w:val="auto"/>
              </w:rPr>
            </w:pPr>
          </w:p>
        </w:tc>
        <w:tc>
          <w:tcPr>
            <w:tcW w:w="2460" w:type="dxa"/>
            <w:vAlign w:val="bottom"/>
          </w:tcPr>
          <w:p>
            <w:pPr>
              <w:spacing w:after="0"/>
              <w:rPr>
                <w:sz w:val="24"/>
                <w:szCs w:val="24"/>
                <w:color w:val="auto"/>
              </w:rPr>
            </w:pPr>
          </w:p>
        </w:tc>
      </w:tr>
      <w:tr>
        <w:trPr>
          <w:trHeight w:val="225"/>
        </w:trPr>
        <w:tc>
          <w:tcPr>
            <w:tcW w:w="4320" w:type="dxa"/>
            <w:vAlign w:val="bottom"/>
          </w:tcPr>
          <w:p>
            <w:pPr>
              <w:jc w:val="right"/>
              <w:ind w:right="4168"/>
              <w:spacing w:after="0"/>
              <w:rPr>
                <w:sz w:val="20"/>
                <w:szCs w:val="20"/>
                <w:color w:val="auto"/>
              </w:rPr>
            </w:pPr>
            <w:r>
              <w:rPr>
                <w:rFonts w:ascii="Arial" w:cs="Arial" w:eastAsia="Arial" w:hAnsi="Arial"/>
                <w:sz w:val="14"/>
                <w:szCs w:val="14"/>
                <w:color w:val="auto"/>
                <w:w w:val="76"/>
              </w:rPr>
              <w:t>$</w:t>
            </w:r>
          </w:p>
        </w:tc>
        <w:tc>
          <w:tcPr>
            <w:tcW w:w="3860" w:type="dxa"/>
            <w:vAlign w:val="bottom"/>
            <w:gridSpan w:val="2"/>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-20320</wp:posOffset>
            </wp:positionV>
            <wp:extent cx="22860"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2860" cy="5715"/>
                    </a:xfrm>
                    <a:prstGeom prst="rect">
                      <a:avLst/>
                    </a:prstGeom>
                    <a:noFill/>
                  </pic:spPr>
                </pic:pic>
              </a:graphicData>
            </a:graphic>
          </wp:anchor>
        </w:drawing>
      </w:r>
    </w:p>
    <w:p>
      <w:pPr>
        <w:spacing w:after="0" w:line="293" w:lineRule="exact"/>
        <w:rPr>
          <w:sz w:val="20"/>
          <w:szCs w:val="20"/>
          <w:color w:val="auto"/>
        </w:rPr>
      </w:pPr>
    </w:p>
    <w:p>
      <w:pPr>
        <w:ind w:left="120" w:right="80" w:firstLine="675"/>
        <w:spacing w:after="0" w:line="250" w:lineRule="auto"/>
        <w:rPr>
          <w:sz w:val="20"/>
          <w:szCs w:val="20"/>
          <w:color w:val="auto"/>
        </w:rPr>
      </w:pPr>
      <w:r>
        <w:rPr>
          <w:rFonts w:ascii="Arial" w:cs="Arial" w:eastAsia="Arial" w:hAnsi="Arial"/>
          <w:sz w:val="14"/>
          <w:szCs w:val="14"/>
          <w:color w:val="auto"/>
        </w:rPr>
        <w:t>FOR VALUE RECEIVED, the undersigned (individually, a “</w:t>
      </w:r>
      <w:r>
        <w:rPr>
          <w:rFonts w:ascii="Arial" w:cs="Arial" w:eastAsia="Arial" w:hAnsi="Arial"/>
          <w:sz w:val="14"/>
          <w:szCs w:val="14"/>
          <w:u w:val="single" w:color="auto"/>
          <w:color w:val="auto"/>
        </w:rPr>
        <w:t>Borrower</w:t>
      </w:r>
      <w:r>
        <w:rPr>
          <w:rFonts w:ascii="Arial" w:cs="Arial" w:eastAsia="Arial" w:hAnsi="Arial"/>
          <w:sz w:val="14"/>
          <w:szCs w:val="14"/>
          <w:color w:val="auto"/>
        </w:rPr>
        <w:t>”, and collectively, the “</w:t>
      </w:r>
      <w:r>
        <w:rPr>
          <w:rFonts w:ascii="Arial" w:cs="Arial" w:eastAsia="Arial" w:hAnsi="Arial"/>
          <w:sz w:val="14"/>
          <w:szCs w:val="14"/>
          <w:u w:val="single" w:color="auto"/>
          <w:color w:val="auto"/>
        </w:rPr>
        <w:t>Borrowers</w:t>
      </w:r>
      <w:r>
        <w:rPr>
          <w:rFonts w:ascii="Arial" w:cs="Arial" w:eastAsia="Arial" w:hAnsi="Arial"/>
          <w:sz w:val="14"/>
          <w:szCs w:val="14"/>
          <w:color w:val="auto"/>
        </w:rPr>
        <w:t>”) jointly and severally promise to pay to the order of</w:t>
      </w:r>
    </w:p>
    <w:p>
      <w:pPr>
        <w:spacing w:after="0" w:line="1"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(hereinafter, with any subsequent holders, the “</w:t>
      </w:r>
      <w:r>
        <w:rPr>
          <w:rFonts w:ascii="Arial" w:cs="Arial" w:eastAsia="Arial" w:hAnsi="Arial"/>
          <w:sz w:val="13"/>
          <w:szCs w:val="13"/>
          <w:u w:val="single" w:color="auto"/>
          <w:color w:val="auto"/>
        </w:rPr>
        <w:t>Lender</w:t>
      </w:r>
      <w:r>
        <w:rPr>
          <w:rFonts w:ascii="Arial" w:cs="Arial" w:eastAsia="Arial" w:hAnsi="Arial"/>
          <w:sz w:val="13"/>
          <w:szCs w:val="13"/>
          <w:color w:val="auto"/>
        </w:rPr>
        <w:t>”), c/o Bank of America, N.A., 100 Federal Street, 9th Floor, Boston, Massachusetts</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02110, the principal sum of</w:t>
      </w:r>
    </w:p>
    <w:p>
      <w:pPr>
        <w:spacing w:after="0" w:line="1" w:lineRule="exact"/>
        <w:rPr>
          <w:sz w:val="20"/>
          <w:szCs w:val="20"/>
          <w:color w:val="auto"/>
        </w:rPr>
      </w:pPr>
    </w:p>
    <w:p>
      <w:pPr>
        <w:ind w:left="1980"/>
        <w:spacing w:after="0"/>
        <w:tabs>
          <w:tab w:leader="none" w:pos="4580" w:val="left"/>
        </w:tabs>
        <w:rPr>
          <w:sz w:val="20"/>
          <w:szCs w:val="20"/>
          <w:color w:val="auto"/>
        </w:rPr>
      </w:pPr>
      <w:r>
        <w:rPr>
          <w:rFonts w:ascii="Arial" w:cs="Arial" w:eastAsia="Arial" w:hAnsi="Arial"/>
          <w:sz w:val="14"/>
          <w:szCs w:val="14"/>
          <w:color w:val="auto"/>
        </w:rPr>
        <w:t>DOLLARS ($</w:t>
      </w:r>
      <w:r>
        <w:rPr>
          <w:sz w:val="20"/>
          <w:szCs w:val="20"/>
          <w:color w:val="auto"/>
        </w:rPr>
        <w:tab/>
      </w:r>
      <w:r>
        <w:rPr>
          <w:rFonts w:ascii="Arial" w:cs="Arial" w:eastAsia="Arial" w:hAnsi="Arial"/>
          <w:sz w:val="13"/>
          <w:szCs w:val="13"/>
          <w:color w:val="auto"/>
        </w:rPr>
        <w:t>), or, if less, the aggregate unpaid principal balance of FILO Loan made by the Lender to or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1778000</wp:posOffset>
            </wp:positionH>
            <wp:positionV relativeFrom="paragraph">
              <wp:posOffset>-14605</wp:posOffset>
            </wp:positionV>
            <wp:extent cx="22860"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2860" cy="5715"/>
                    </a:xfrm>
                    <a:prstGeom prst="rect">
                      <a:avLst/>
                    </a:prstGeom>
                    <a:noFill/>
                  </pic:spPr>
                </pic:pic>
              </a:graphicData>
            </a:graphic>
          </wp:anchor>
        </w:drawing>
      </w:r>
    </w:p>
    <w:p>
      <w:pPr>
        <w:jc w:val="both"/>
        <w:ind w:left="120"/>
        <w:spacing w:after="0" w:line="271" w:lineRule="auto"/>
        <w:rPr>
          <w:sz w:val="20"/>
          <w:szCs w:val="20"/>
          <w:color w:val="auto"/>
        </w:rPr>
      </w:pPr>
      <w:r>
        <w:rPr>
          <w:rFonts w:ascii="Arial" w:cs="Arial" w:eastAsia="Arial" w:hAnsi="Arial"/>
          <w:sz w:val="13"/>
          <w:szCs w:val="13"/>
          <w:color w:val="auto"/>
        </w:rPr>
        <w:t>the account of the Borrowers pursuant to the Seventh Amended and Restated Credit Agreement dated as of May 24, 2018 (as amended, restated, supplemented or otherwise modified and in effect from time to time, the “</w:t>
      </w:r>
      <w:r>
        <w:rPr>
          <w:rFonts w:ascii="Arial" w:cs="Arial" w:eastAsia="Arial" w:hAnsi="Arial"/>
          <w:sz w:val="13"/>
          <w:szCs w:val="13"/>
          <w:u w:val="single" w:color="auto"/>
          <w:color w:val="auto"/>
        </w:rPr>
        <w:t>Credit Agreement</w:t>
      </w:r>
      <w:r>
        <w:rPr>
          <w:rFonts w:ascii="Arial" w:cs="Arial" w:eastAsia="Arial" w:hAnsi="Arial"/>
          <w:sz w:val="13"/>
          <w:szCs w:val="13"/>
          <w:color w:val="auto"/>
        </w:rPr>
        <w:t>”) by and among (i) the Borrowers, (ii) the Guarantors party thereto from time to time, (iii) Bank of America, N.A., as administrative agent and collateral agent (in such capacities, the “</w:t>
      </w:r>
      <w:r>
        <w:rPr>
          <w:rFonts w:ascii="Arial" w:cs="Arial" w:eastAsia="Arial" w:hAnsi="Arial"/>
          <w:sz w:val="13"/>
          <w:szCs w:val="13"/>
          <w:u w:val="single" w:color="auto"/>
          <w:color w:val="auto"/>
        </w:rPr>
        <w:t>Agent</w:t>
      </w:r>
      <w:r>
        <w:rPr>
          <w:rFonts w:ascii="Arial" w:cs="Arial" w:eastAsia="Arial" w:hAnsi="Arial"/>
          <w:sz w:val="13"/>
          <w:szCs w:val="13"/>
          <w:color w:val="auto"/>
        </w:rPr>
        <w:t>”) for its own benefit and the benefit of the other Credit Parties referred to therein, and (iv) the lenders from time to time party thereto (individually, a “</w:t>
      </w:r>
      <w:r>
        <w:rPr>
          <w:rFonts w:ascii="Arial" w:cs="Arial" w:eastAsia="Arial" w:hAnsi="Arial"/>
          <w:sz w:val="13"/>
          <w:szCs w:val="13"/>
          <w:u w:val="single" w:color="auto"/>
          <w:color w:val="auto"/>
        </w:rPr>
        <w:t>Lender</w:t>
      </w:r>
      <w:r>
        <w:rPr>
          <w:rFonts w:ascii="Arial" w:cs="Arial" w:eastAsia="Arial" w:hAnsi="Arial"/>
          <w:sz w:val="13"/>
          <w:szCs w:val="13"/>
          <w:color w:val="auto"/>
        </w:rPr>
        <w:t>” and, collectively, the “</w:t>
      </w:r>
      <w:r>
        <w:rPr>
          <w:rFonts w:ascii="Arial" w:cs="Arial" w:eastAsia="Arial" w:hAnsi="Arial"/>
          <w:sz w:val="13"/>
          <w:szCs w:val="13"/>
          <w:u w:val="single" w:color="auto"/>
          <w:color w:val="auto"/>
        </w:rPr>
        <w:t>Lenders</w:t>
      </w:r>
      <w:r>
        <w:rPr>
          <w:rFonts w:ascii="Arial" w:cs="Arial" w:eastAsia="Arial" w:hAnsi="Arial"/>
          <w:sz w:val="13"/>
          <w:szCs w:val="13"/>
          <w:color w:val="auto"/>
        </w:rPr>
        <w:t>”), with interest at the rate and payable in the manner stated therein.</w:t>
      </w:r>
    </w:p>
    <w:p>
      <w:pPr>
        <w:spacing w:after="0" w:line="105" w:lineRule="exact"/>
        <w:rPr>
          <w:sz w:val="20"/>
          <w:szCs w:val="20"/>
          <w:color w:val="auto"/>
        </w:rPr>
      </w:pPr>
    </w:p>
    <w:p>
      <w:pPr>
        <w:jc w:val="both"/>
        <w:ind w:left="120" w:firstLine="675"/>
        <w:spacing w:after="0" w:line="286" w:lineRule="auto"/>
        <w:rPr>
          <w:sz w:val="20"/>
          <w:szCs w:val="20"/>
          <w:color w:val="auto"/>
        </w:rPr>
      </w:pPr>
      <w:r>
        <w:rPr>
          <w:rFonts w:ascii="Arial" w:cs="Arial" w:eastAsia="Arial" w:hAnsi="Arial"/>
          <w:sz w:val="13"/>
          <w:szCs w:val="13"/>
          <w:color w:val="auto"/>
        </w:rPr>
        <w:t>This “FILO Note” is a “Note” to which reference is made in the Credit Agreement and is subject to all terms and provisions thereof. The principal of, and interest on, this FILO Note shall be payable at the times, in the manner, and in the amounts as provided in the Credit Agreement and shall be subject to prepayment and acceleration as provided therein. Capitalized terms used herein and not defined herein shall have the meanings assigned to such terms in the Credit Agreement.</w:t>
      </w:r>
    </w:p>
    <w:p>
      <w:pPr>
        <w:spacing w:after="0" w:line="96" w:lineRule="exact"/>
        <w:rPr>
          <w:sz w:val="20"/>
          <w:szCs w:val="20"/>
          <w:color w:val="auto"/>
        </w:rPr>
      </w:pPr>
    </w:p>
    <w:p>
      <w:pPr>
        <w:jc w:val="both"/>
        <w:ind w:left="120" w:firstLine="675"/>
        <w:spacing w:after="0" w:line="273" w:lineRule="auto"/>
        <w:rPr>
          <w:sz w:val="20"/>
          <w:szCs w:val="20"/>
          <w:color w:val="auto"/>
        </w:rPr>
      </w:pPr>
      <w:r>
        <w:rPr>
          <w:rFonts w:ascii="Arial" w:cs="Arial" w:eastAsia="Arial" w:hAnsi="Arial"/>
          <w:sz w:val="14"/>
          <w:szCs w:val="14"/>
          <w:color w:val="auto"/>
        </w:rPr>
        <w:t>The Agent’s books and records concerning the FILO Loan, the accrual of interest thereon, and the repayment of the FILO Loan, shall be conclusive, absent manifest error, evidence of the indebtedness to the Lender hereunder.</w:t>
      </w:r>
    </w:p>
    <w:p>
      <w:pPr>
        <w:spacing w:after="0" w:line="102" w:lineRule="exact"/>
        <w:rPr>
          <w:sz w:val="20"/>
          <w:szCs w:val="20"/>
          <w:color w:val="auto"/>
        </w:rPr>
      </w:pPr>
    </w:p>
    <w:p>
      <w:pPr>
        <w:jc w:val="both"/>
        <w:ind w:left="120" w:firstLine="675"/>
        <w:spacing w:after="0" w:line="257" w:lineRule="auto"/>
        <w:rPr>
          <w:sz w:val="20"/>
          <w:szCs w:val="20"/>
          <w:color w:val="auto"/>
        </w:rPr>
      </w:pPr>
      <w:r>
        <w:rPr>
          <w:rFonts w:ascii="Arial" w:cs="Arial" w:eastAsia="Arial" w:hAnsi="Arial"/>
          <w:sz w:val="14"/>
          <w:szCs w:val="14"/>
          <w:color w:val="auto"/>
        </w:rPr>
        <w:t>No delay or omission by the Agent or the Lender in exercising or enforcing any of the Agent’s or the Lender’s powers, rights, privileges, remedies, or discretions hereunder shall operate as a waiver thereof on that occasion nor on any other occasion. No waiver of any Event of Default shall operate as a waiver of any other Event of Default, nor as a continuing waiver of any such Event of Default.</w:t>
      </w:r>
    </w:p>
    <w:p>
      <w:pPr>
        <w:spacing w:after="0" w:line="113" w:lineRule="exact"/>
        <w:rPr>
          <w:sz w:val="20"/>
          <w:szCs w:val="20"/>
          <w:color w:val="auto"/>
        </w:rPr>
      </w:pPr>
    </w:p>
    <w:p>
      <w:pPr>
        <w:jc w:val="both"/>
        <w:ind w:left="120" w:firstLine="675"/>
        <w:spacing w:after="0" w:line="261" w:lineRule="auto"/>
        <w:rPr>
          <w:sz w:val="20"/>
          <w:szCs w:val="20"/>
          <w:color w:val="auto"/>
        </w:rPr>
      </w:pPr>
      <w:r>
        <w:rPr>
          <w:rFonts w:ascii="Arial" w:cs="Arial" w:eastAsia="Arial" w:hAnsi="Arial"/>
          <w:sz w:val="14"/>
          <w:szCs w:val="14"/>
          <w:color w:val="auto"/>
        </w:rPr>
        <w:t>Each Borrower and each endorser of this FILO Note, waives presentment, demand, notice, and protest, and also waives any delay on the part of the holder hereof. Each Borrower assents to any extension or other indulgence (including, without limitation, the release or</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w:t>
      </w:r>
    </w:p>
    <w:p>
      <w:pPr>
        <w:spacing w:after="0"/>
        <w:rPr>
          <w:sz w:val="20"/>
          <w:szCs w:val="20"/>
          <w:color w:val="auto"/>
        </w:rPr>
      </w:pPr>
      <w:r>
        <w:rPr>
          <w:rFonts w:ascii="Arial" w:cs="Arial" w:eastAsia="Arial" w:hAnsi="Arial"/>
          <w:sz w:val="10"/>
          <w:szCs w:val="10"/>
          <w:color w:val="auto"/>
        </w:rPr>
        <w:t>DB1/ 97581352.1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198120</wp:posOffset>
            </wp:positionV>
            <wp:extent cx="7329170" cy="368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160"/>
          </w:cols>
          <w:pgMar w:left="820" w:top="298" w:right="919" w:bottom="1440" w:gutter="0" w:footer="0" w:header="0"/>
        </w:sectPr>
      </w:pPr>
    </w:p>
    <w:bookmarkStart w:id="205" w:name="page206"/>
    <w:bookmarkEnd w:id="205"/>
    <w:p>
      <w:pPr>
        <w:jc w:val="both"/>
        <w:ind w:left="700"/>
        <w:spacing w:after="0" w:line="273" w:lineRule="auto"/>
        <w:rPr>
          <w:sz w:val="20"/>
          <w:szCs w:val="20"/>
          <w:color w:val="auto"/>
        </w:rPr>
      </w:pPr>
      <w:r>
        <w:rPr>
          <w:rFonts w:ascii="Arial" w:cs="Arial" w:eastAsia="Arial" w:hAnsi="Arial"/>
          <w:sz w:val="14"/>
          <w:szCs w:val="14"/>
          <w:color w:val="auto"/>
        </w:rPr>
        <w:t>substitution of Collateral) permitted by the Agent and/or the Lender with respect to this FILO Note and/or any Collateral or any extension or other indulgence with respect to any other liability or any collateral given to secure any other liability of any Borrower or any other Person obligated on account of this FILO Note.</w:t>
      </w:r>
    </w:p>
    <w:p>
      <w:pPr>
        <w:spacing w:after="0" w:line="102" w:lineRule="exact"/>
        <w:rPr>
          <w:sz w:val="20"/>
          <w:szCs w:val="20"/>
          <w:color w:val="auto"/>
        </w:rPr>
      </w:pPr>
    </w:p>
    <w:p>
      <w:pPr>
        <w:jc w:val="both"/>
        <w:ind w:left="700" w:firstLine="675"/>
        <w:spacing w:after="0" w:line="273" w:lineRule="auto"/>
        <w:rPr>
          <w:sz w:val="20"/>
          <w:szCs w:val="20"/>
          <w:color w:val="auto"/>
        </w:rPr>
      </w:pPr>
      <w:r>
        <w:rPr>
          <w:rFonts w:ascii="Arial" w:cs="Arial" w:eastAsia="Arial" w:hAnsi="Arial"/>
          <w:sz w:val="14"/>
          <w:szCs w:val="14"/>
          <w:color w:val="auto"/>
        </w:rPr>
        <w:t>This FILO Note shall be binding upon each Borrower and each endorser hereof, and upon their respective successors, assigns, and representatives, and shall inure to the benefit of the Lender and its successors, endorsees, and assigns.</w:t>
      </w:r>
    </w:p>
    <w:p>
      <w:pPr>
        <w:spacing w:after="0" w:line="102" w:lineRule="exact"/>
        <w:rPr>
          <w:sz w:val="20"/>
          <w:szCs w:val="20"/>
          <w:color w:val="auto"/>
        </w:rPr>
      </w:pPr>
    </w:p>
    <w:p>
      <w:pPr>
        <w:jc w:val="both"/>
        <w:ind w:left="700" w:firstLine="675"/>
        <w:spacing w:after="0" w:line="252" w:lineRule="auto"/>
        <w:rPr>
          <w:sz w:val="20"/>
          <w:szCs w:val="20"/>
          <w:color w:val="auto"/>
        </w:rPr>
      </w:pPr>
      <w:r>
        <w:rPr>
          <w:rFonts w:ascii="Arial" w:cs="Arial" w:eastAsia="Arial" w:hAnsi="Arial"/>
          <w:sz w:val="14"/>
          <w:szCs w:val="14"/>
          <w:color w:val="auto"/>
        </w:rPr>
        <w:t xml:space="preserve">The liabilities of each Borrower and of any endorser of this FILO Note, are joint and several, </w:t>
      </w:r>
      <w:r>
        <w:rPr>
          <w:rFonts w:ascii="Arial" w:cs="Arial" w:eastAsia="Arial" w:hAnsi="Arial"/>
          <w:sz w:val="14"/>
          <w:szCs w:val="14"/>
          <w:i w:val="1"/>
          <w:iCs w:val="1"/>
          <w:color w:val="auto"/>
        </w:rPr>
        <w:t>provided, however</w:t>
      </w:r>
      <w:r>
        <w:rPr>
          <w:rFonts w:ascii="Arial" w:cs="Arial" w:eastAsia="Arial" w:hAnsi="Arial"/>
          <w:sz w:val="14"/>
          <w:szCs w:val="14"/>
          <w:color w:val="auto"/>
        </w:rPr>
        <w:t>, the release by the Agent or the Lender of any one or more such Persons shall not release any other Person obligated on account of this FILO Note. Each reference in this FILO Note to any Borrower, any endorser, and any guarantor, is to such Person individually and also to all such Persons jointly. No Person obligated on account of this FILO Note may seek contribution from any other Person also obligated unless and until all of the Obligations have been paid in full in cash.</w:t>
      </w:r>
    </w:p>
    <w:p>
      <w:pPr>
        <w:spacing w:after="0" w:line="116" w:lineRule="exact"/>
        <w:rPr>
          <w:sz w:val="20"/>
          <w:szCs w:val="20"/>
          <w:color w:val="auto"/>
        </w:rPr>
      </w:pPr>
    </w:p>
    <w:p>
      <w:pPr>
        <w:jc w:val="both"/>
        <w:ind w:left="700" w:firstLine="675"/>
        <w:spacing w:after="0" w:line="257" w:lineRule="auto"/>
        <w:rPr>
          <w:sz w:val="20"/>
          <w:szCs w:val="20"/>
          <w:color w:val="auto"/>
        </w:rPr>
      </w:pPr>
      <w:r>
        <w:rPr>
          <w:rFonts w:ascii="Arial" w:cs="Arial" w:eastAsia="Arial" w:hAnsi="Arial"/>
          <w:sz w:val="14"/>
          <w:szCs w:val="14"/>
          <w:color w:val="auto"/>
        </w:rPr>
        <w:t>THIS FILO NOTE AND ANY CLAIMS, CONTROVERSY, DISPUTE OR CAUSE OF ACTION (WHETHER IN CONTRACT OR TORT OR OTHERWISE) BASED UPON, ARISING OUT OF OR RELATING TO THIS FILO NOTE AND THE TRANSACTIONS CONTEMPLATED HEREBY AND THEREBY SHALL BE GOVERNED BY, AND CONSTRUED IN ACCORDANCE WITH, THE LAW OF THE STATE OF NEW YORK.</w:t>
      </w:r>
    </w:p>
    <w:p>
      <w:pPr>
        <w:spacing w:after="0" w:line="113" w:lineRule="exact"/>
        <w:rPr>
          <w:sz w:val="20"/>
          <w:szCs w:val="20"/>
          <w:color w:val="auto"/>
        </w:rPr>
      </w:pPr>
    </w:p>
    <w:p>
      <w:pPr>
        <w:jc w:val="both"/>
        <w:ind w:left="700" w:firstLine="1350"/>
        <w:spacing w:after="0" w:line="244" w:lineRule="auto"/>
        <w:rPr>
          <w:sz w:val="20"/>
          <w:szCs w:val="20"/>
          <w:color w:val="auto"/>
        </w:rPr>
      </w:pPr>
      <w:r>
        <w:rPr>
          <w:rFonts w:ascii="Arial" w:cs="Arial" w:eastAsia="Arial" w:hAnsi="Arial"/>
          <w:sz w:val="14"/>
          <w:szCs w:val="14"/>
          <w:color w:val="auto"/>
        </w:rPr>
        <w:t>EACH BORROWER IRREVOCABLY AND UNCONDITIONALLY AGREES THAT IT WILL NOT COMMENCE ANY ACTION, LITIGATION OR PROCEEDING OF ANY KIND OR DESCRIPTION, WHETHER IN LAW OR EQUITY, WHETHER IN CONTRACT OR IN TORT OR OTHERWISE, AGAINST THE AGENT, ANY LENDER OR ANY RELATED PARTY OF THE FOREGOING IN ANY WAY RELATING TO THIS FILO NOTE OR THE TRANSACTIONS RELATING HERETO, IN ANY FORUM OTHER THAN THE COURTS OF THE STATE OF NEW YORK SITTING IN NEW YORK COUNTY AND OF THE UNITED STATES DISTRICT COURT OF THE SOUTHERN DISTRICT OF NEW YORK, AND ANY APPELLATE COURT FROM ANY THEREOF, AND EACH BORROWER IRREVOCABLY AND UNCONDITIONALLY SUBMITS TO THE JURISDICTION OF SUCH COURTS AND AGREES THAT ALL CLAIMS IN RESPECT OF ANY SUCH ACTION, LITIGATION OR PROCEEDING MAY BE HEARD AND DETERMINED IN SUCH NEW YORK STATE COURT OR, TO THE FULLEST EXTENT PERMITTED BY LAW, IN SUCH FEDERAL COURT. EACH BORROWER AGREES THAT A FINAL JUDGMENT IN ANY SUCH ACTION, LITIGATION OR PROCEEDING SHALL BE CONCLUSIVE AND MAY BE ENFORCED IN OTHER JURISDICTIONS BY SUIT ON THE JUDGMENT OR IN ANY OTHER MANNER PROVIDED BY LAW. NOTHING IN THIS FILO NOTE OR IN ANY OTHER LOAN DOCUMENT SHALL AFFECT ANY RIGHT THAT ANY CREDIT PARTY MAY OTHERWISE HAVE TO BRING ANY ACTION OR PROCEEDING RELATING TO THIS FILO NOTE OR ANY OTHER LOAN DOCUMENT AGAINST ANY BORROWER OR ITS PROPERTIES IN THE COURTS OF ANY JURISDICTION.</w:t>
      </w:r>
    </w:p>
    <w:p>
      <w:pPr>
        <w:spacing w:after="0" w:line="289" w:lineRule="exact"/>
        <w:rPr>
          <w:sz w:val="20"/>
          <w:szCs w:val="20"/>
          <w:color w:val="auto"/>
        </w:rPr>
      </w:pPr>
    </w:p>
    <w:p>
      <w:pPr>
        <w:spacing w:after="0"/>
        <w:rPr>
          <w:sz w:val="20"/>
          <w:szCs w:val="20"/>
          <w:color w:val="auto"/>
        </w:rPr>
      </w:pPr>
      <w:r>
        <w:rPr>
          <w:rFonts w:ascii="Arial" w:cs="Arial" w:eastAsia="Arial" w:hAnsi="Arial"/>
          <w:sz w:val="10"/>
          <w:szCs w:val="10"/>
          <w:color w:val="auto"/>
        </w:rPr>
        <w:t>DB1/ 97581352.1</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288925</wp:posOffset>
            </wp:positionV>
            <wp:extent cx="7329170" cy="368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740"/>
          </w:cols>
          <w:pgMar w:left="240" w:top="305" w:right="919" w:bottom="1440" w:gutter="0" w:footer="0" w:header="0"/>
        </w:sectPr>
      </w:pPr>
    </w:p>
    <w:bookmarkStart w:id="206" w:name="page207"/>
    <w:bookmarkEnd w:id="206"/>
    <w:p>
      <w:pPr>
        <w:jc w:val="both"/>
        <w:ind w:left="700" w:firstLine="675"/>
        <w:spacing w:after="0" w:line="252" w:lineRule="auto"/>
        <w:rPr>
          <w:sz w:val="20"/>
          <w:szCs w:val="20"/>
          <w:color w:val="auto"/>
        </w:rPr>
      </w:pPr>
      <w:r>
        <w:rPr>
          <w:rFonts w:ascii="Arial" w:cs="Arial" w:eastAsia="Arial" w:hAnsi="Arial"/>
          <w:sz w:val="14"/>
          <w:szCs w:val="14"/>
          <w:color w:val="auto"/>
        </w:rPr>
        <w:t>EACH BORROWER IRREVOCABLY AND UNCONDITIONALLY WAIVES, TO THE FULLEST EXTENT PERMITTED BY LAW, ANY OBJECTION THAT IT MAY NOW OR HEREAFTER HAVE TO THE LAYING OF VENUE OF ANY ACTION OR PROCEEDING ARISING OUT OF OR RELATING TO THIS FILO IN ANY COURT REFERRED TO ABOVE. EACH BORROWER HEREBY IRREVOCABLY WAIVES, TO THE FULLEST EXTENT PERMITTED BY LAW, THE DEFENSE OF AN INCONVENIENT FORUM TO THE MAINTENANCE OF SUCH ACTION OR PROCEEDING IN ANY SUCH COURT.</w:t>
      </w:r>
    </w:p>
    <w:p>
      <w:pPr>
        <w:spacing w:after="0" w:line="116" w:lineRule="exact"/>
        <w:rPr>
          <w:sz w:val="20"/>
          <w:szCs w:val="20"/>
          <w:color w:val="auto"/>
        </w:rPr>
      </w:pPr>
    </w:p>
    <w:p>
      <w:pPr>
        <w:jc w:val="both"/>
        <w:ind w:left="700" w:firstLine="675"/>
        <w:spacing w:after="0" w:line="245" w:lineRule="auto"/>
        <w:rPr>
          <w:sz w:val="20"/>
          <w:szCs w:val="20"/>
          <w:color w:val="auto"/>
        </w:rPr>
      </w:pPr>
      <w:r>
        <w:rPr>
          <w:rFonts w:ascii="Arial" w:cs="Arial" w:eastAsia="Arial" w:hAnsi="Arial"/>
          <w:sz w:val="14"/>
          <w:szCs w:val="14"/>
          <w:color w:val="auto"/>
        </w:rPr>
        <w:t>Each Borrower makes the following waiver knowingly, voluntarily, and intentionally, and understands that the Agent and the Lender, in the establishment and maintenance of their respective relationship with each Borrower contemplated by this FILO Note, are each relying thereon. EACH BORROWER AND ENDORSER, AND THE LENDER, BY ITS ACCEPTANCE HEREOF, HEREBY IRREVOCABLY WAIVES, TO THE FULLEST EXTENT PERMITTED BY LAW, ANY RIGHT IT MAY HAVE TO A TRIAL BY JURY IN ANY LEGAL PROCEEDING DIRECTLY OR INDIRECTLY ARISING OUT OF OR RELATING TO THIS FILO NOTE OR THE TRANSACTIONS CONTEMPLATED HEREBY (WHETHER BASED ON CONTRACT, TORT OR ANY OTHER THEORY). EACH BORROWER AND THE LENDER, BY ITS ACCEPTANCE HEREOF (A) CERTIFIES THAT NO REPRESENTATIVE, AGENT OR ATTORNEY OF ANY OTHER PERSON HAS REPRESENTED, EXPRESSLY OR OTHERWISE, THAT SUCH OTHER PERSON WOULD NOT, IN THE EVENT OF LITIGATION, SEEK TO ENFORCE THE FOREGOING WAIVER AND (B) ACKNOWLEDGES THAT IT HAS BEEN INDUCED TO ENTER INTO THIS FILO NOTE BY, AMONG OTHER THINGS, THE MUTUAL WAIVERS AND CERTIFICATIONS HEREIN.</w:t>
      </w:r>
    </w:p>
    <w:p>
      <w:pPr>
        <w:spacing w:after="0" w:line="111" w:lineRule="exact"/>
        <w:rPr>
          <w:sz w:val="20"/>
          <w:szCs w:val="20"/>
          <w:color w:val="auto"/>
        </w:rPr>
      </w:pPr>
    </w:p>
    <w:p>
      <w:pPr>
        <w:ind w:left="38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SIGNATURE PAGES FOLLOW</w:t>
      </w:r>
      <w:r>
        <w:rPr>
          <w:rFonts w:ascii="Arial" w:cs="Arial" w:eastAsia="Arial" w:hAnsi="Arial"/>
          <w:sz w:val="14"/>
          <w:szCs w:val="14"/>
          <w:color w:val="auto"/>
        </w:rPr>
        <w:t>]</w:t>
      </w:r>
    </w:p>
    <w:p>
      <w:pPr>
        <w:spacing w:after="0" w:line="313" w:lineRule="exact"/>
        <w:rPr>
          <w:sz w:val="20"/>
          <w:szCs w:val="20"/>
          <w:color w:val="auto"/>
        </w:rPr>
      </w:pPr>
    </w:p>
    <w:p>
      <w:pPr>
        <w:spacing w:after="0"/>
        <w:rPr>
          <w:sz w:val="20"/>
          <w:szCs w:val="20"/>
          <w:color w:val="auto"/>
        </w:rPr>
      </w:pPr>
      <w:r>
        <w:rPr>
          <w:rFonts w:ascii="Arial" w:cs="Arial" w:eastAsia="Arial" w:hAnsi="Arial"/>
          <w:sz w:val="10"/>
          <w:szCs w:val="10"/>
          <w:color w:val="auto"/>
        </w:rPr>
        <w:t>DB1/ 97581352.1</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288925</wp:posOffset>
            </wp:positionV>
            <wp:extent cx="7329170" cy="368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740"/>
          </w:cols>
          <w:pgMar w:left="240" w:top="305" w:right="919" w:bottom="1440" w:gutter="0" w:footer="0" w:header="0"/>
        </w:sectPr>
      </w:pPr>
    </w:p>
    <w:bookmarkStart w:id="207" w:name="page208"/>
    <w:bookmarkEnd w:id="207"/>
    <w:p>
      <w:pPr>
        <w:jc w:val="right"/>
        <w:ind w:right="1939"/>
        <w:spacing w:after="0"/>
        <w:rPr>
          <w:sz w:val="20"/>
          <w:szCs w:val="20"/>
          <w:color w:val="auto"/>
        </w:rPr>
      </w:pPr>
      <w:r>
        <w:rPr>
          <w:rFonts w:ascii="Arial" w:cs="Arial" w:eastAsia="Arial" w:hAnsi="Arial"/>
          <w:sz w:val="14"/>
          <w:szCs w:val="14"/>
          <w:color w:val="auto"/>
        </w:rPr>
        <w:t>IN WITNESS WHEREOF, each Borrower has caused this FILO Note to be duly executed as of the date set forth above.</w:t>
      </w:r>
    </w:p>
    <w:p>
      <w:pPr>
        <w:spacing w:after="0" w:line="159" w:lineRule="exact"/>
        <w:rPr>
          <w:sz w:val="20"/>
          <w:szCs w:val="20"/>
          <w:color w:val="auto"/>
        </w:rPr>
      </w:pPr>
    </w:p>
    <w:p>
      <w:pPr>
        <w:ind w:left="5320"/>
        <w:spacing w:after="0"/>
        <w:rPr>
          <w:sz w:val="20"/>
          <w:szCs w:val="20"/>
          <w:color w:val="auto"/>
        </w:rPr>
      </w:pPr>
      <w:r>
        <w:rPr>
          <w:rFonts w:ascii="Arial" w:cs="Arial" w:eastAsia="Arial" w:hAnsi="Arial"/>
          <w:sz w:val="14"/>
          <w:szCs w:val="14"/>
          <w:b w:val="1"/>
          <w:bCs w:val="1"/>
          <w:color w:val="auto"/>
        </w:rPr>
        <w:t>BORROWERS:</w:t>
      </w:r>
    </w:p>
    <w:p>
      <w:pPr>
        <w:spacing w:after="0" w:line="334" w:lineRule="exact"/>
        <w:rPr>
          <w:sz w:val="20"/>
          <w:szCs w:val="20"/>
          <w:color w:val="auto"/>
        </w:rPr>
      </w:pPr>
    </w:p>
    <w:p>
      <w:pPr>
        <w:ind w:left="5320"/>
        <w:spacing w:after="0"/>
        <w:rPr>
          <w:sz w:val="20"/>
          <w:szCs w:val="20"/>
          <w:color w:val="auto"/>
        </w:rPr>
      </w:pPr>
      <w:r>
        <w:rPr>
          <w:rFonts w:ascii="Arial" w:cs="Arial" w:eastAsia="Arial" w:hAnsi="Arial"/>
          <w:sz w:val="14"/>
          <w:szCs w:val="14"/>
          <w:b w:val="1"/>
          <w:bCs w:val="1"/>
          <w:color w:val="auto"/>
        </w:rPr>
        <w:t>DESTINATION XL GROUP, INC.</w:t>
      </w:r>
    </w:p>
    <w:p>
      <w:pPr>
        <w:spacing w:after="0" w:line="167" w:lineRule="exact"/>
        <w:rPr>
          <w:sz w:val="20"/>
          <w:szCs w:val="20"/>
          <w:color w:val="auto"/>
        </w:rPr>
      </w:pPr>
    </w:p>
    <w:p>
      <w:pPr>
        <w:ind w:left="5320"/>
        <w:spacing w:after="0"/>
        <w:rPr>
          <w:sz w:val="20"/>
          <w:szCs w:val="20"/>
          <w:color w:val="auto"/>
        </w:rPr>
      </w:pPr>
      <w:r>
        <w:rPr>
          <w:rFonts w:ascii="Arial" w:cs="Arial" w:eastAsia="Arial" w:hAnsi="Arial"/>
          <w:sz w:val="14"/>
          <w:szCs w:val="14"/>
          <w:color w:val="auto"/>
        </w:rPr>
        <w:t>By:</w:t>
      </w:r>
    </w:p>
    <w:p>
      <w:pPr>
        <w:spacing w:after="0" w:line="13" w:lineRule="exact"/>
        <w:rPr>
          <w:sz w:val="20"/>
          <w:szCs w:val="20"/>
          <w:color w:val="auto"/>
        </w:rPr>
      </w:pPr>
    </w:p>
    <w:p>
      <w:pPr>
        <w:ind w:left="5320"/>
        <w:spacing w:after="0"/>
        <w:rPr>
          <w:sz w:val="20"/>
          <w:szCs w:val="20"/>
          <w:color w:val="auto"/>
        </w:rPr>
      </w:pPr>
      <w:r>
        <w:rPr>
          <w:rFonts w:ascii="Arial" w:cs="Arial" w:eastAsia="Arial" w:hAnsi="Arial"/>
          <w:sz w:val="14"/>
          <w:szCs w:val="14"/>
          <w:color w:val="auto"/>
        </w:rPr>
        <w:t>Name:</w:t>
      </w:r>
    </w:p>
    <w:p>
      <w:pPr>
        <w:spacing w:after="0" w:line="1" w:lineRule="exact"/>
        <w:rPr>
          <w:sz w:val="20"/>
          <w:szCs w:val="20"/>
          <w:color w:val="auto"/>
        </w:rPr>
      </w:pPr>
    </w:p>
    <w:p>
      <w:pPr>
        <w:ind w:left="5320"/>
        <w:spacing w:after="0"/>
        <w:rPr>
          <w:sz w:val="20"/>
          <w:szCs w:val="20"/>
          <w:color w:val="auto"/>
        </w:rPr>
      </w:pPr>
      <w:r>
        <w:rPr>
          <w:rFonts w:ascii="Arial" w:cs="Arial" w:eastAsia="Arial" w:hAnsi="Arial"/>
          <w:sz w:val="14"/>
          <w:szCs w:val="14"/>
          <w:color w:val="auto"/>
        </w:rPr>
        <w:t>Title:</w:t>
      </w:r>
    </w:p>
    <w:p>
      <w:pPr>
        <w:spacing w:after="0" w:line="138" w:lineRule="exact"/>
        <w:rPr>
          <w:sz w:val="20"/>
          <w:szCs w:val="20"/>
          <w:color w:val="auto"/>
        </w:rPr>
      </w:pPr>
    </w:p>
    <w:p>
      <w:pPr>
        <w:ind w:left="5320"/>
        <w:spacing w:after="0"/>
        <w:rPr>
          <w:sz w:val="20"/>
          <w:szCs w:val="20"/>
          <w:color w:val="auto"/>
        </w:rPr>
      </w:pPr>
      <w:r>
        <w:rPr>
          <w:rFonts w:ascii="Arial" w:cs="Arial" w:eastAsia="Arial" w:hAnsi="Arial"/>
          <w:sz w:val="14"/>
          <w:szCs w:val="14"/>
          <w:b w:val="1"/>
          <w:bCs w:val="1"/>
          <w:color w:val="auto"/>
        </w:rPr>
        <w:t>CMRG APPAREL, LLC</w:t>
      </w:r>
    </w:p>
    <w:p>
      <w:pPr>
        <w:spacing w:after="0" w:line="167" w:lineRule="exact"/>
        <w:rPr>
          <w:sz w:val="20"/>
          <w:szCs w:val="20"/>
          <w:color w:val="auto"/>
        </w:rPr>
      </w:pPr>
    </w:p>
    <w:p>
      <w:pPr>
        <w:ind w:left="5320"/>
        <w:spacing w:after="0"/>
        <w:rPr>
          <w:sz w:val="20"/>
          <w:szCs w:val="20"/>
          <w:color w:val="auto"/>
        </w:rPr>
      </w:pPr>
      <w:r>
        <w:rPr>
          <w:rFonts w:ascii="Arial" w:cs="Arial" w:eastAsia="Arial" w:hAnsi="Arial"/>
          <w:sz w:val="14"/>
          <w:szCs w:val="14"/>
          <w:color w:val="auto"/>
        </w:rPr>
        <w:t>By:</w:t>
      </w:r>
    </w:p>
    <w:p>
      <w:pPr>
        <w:spacing w:after="0" w:line="13" w:lineRule="exact"/>
        <w:rPr>
          <w:sz w:val="20"/>
          <w:szCs w:val="20"/>
          <w:color w:val="auto"/>
        </w:rPr>
      </w:pPr>
    </w:p>
    <w:p>
      <w:pPr>
        <w:ind w:left="5320"/>
        <w:spacing w:after="0"/>
        <w:rPr>
          <w:sz w:val="20"/>
          <w:szCs w:val="20"/>
          <w:color w:val="auto"/>
        </w:rPr>
      </w:pPr>
      <w:r>
        <w:rPr>
          <w:rFonts w:ascii="Arial" w:cs="Arial" w:eastAsia="Arial" w:hAnsi="Arial"/>
          <w:sz w:val="14"/>
          <w:szCs w:val="14"/>
          <w:color w:val="auto"/>
        </w:rPr>
        <w:t>Name:</w:t>
      </w:r>
    </w:p>
    <w:p>
      <w:pPr>
        <w:spacing w:after="0" w:line="1" w:lineRule="exact"/>
        <w:rPr>
          <w:sz w:val="20"/>
          <w:szCs w:val="20"/>
          <w:color w:val="auto"/>
        </w:rPr>
      </w:pPr>
    </w:p>
    <w:p>
      <w:pPr>
        <w:ind w:left="5320"/>
        <w:spacing w:after="0"/>
        <w:rPr>
          <w:sz w:val="20"/>
          <w:szCs w:val="20"/>
          <w:color w:val="auto"/>
        </w:rPr>
      </w:pPr>
      <w:r>
        <w:rPr>
          <w:rFonts w:ascii="Arial" w:cs="Arial" w:eastAsia="Arial" w:hAnsi="Arial"/>
          <w:sz w:val="14"/>
          <w:szCs w:val="14"/>
          <w:color w:val="auto"/>
        </w:rPr>
        <w:t>Title:</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color w:val="auto"/>
        </w:rPr>
        <w:t>Signature Page to FILO Note</w:t>
      </w:r>
    </w:p>
    <w:p>
      <w:pPr>
        <w:spacing w:after="0" w:line="165" w:lineRule="exact"/>
        <w:rPr>
          <w:sz w:val="20"/>
          <w:szCs w:val="20"/>
          <w:color w:val="auto"/>
        </w:rPr>
      </w:pPr>
    </w:p>
    <w:p>
      <w:pPr>
        <w:spacing w:after="0"/>
        <w:rPr>
          <w:sz w:val="20"/>
          <w:szCs w:val="20"/>
          <w:color w:val="auto"/>
        </w:rPr>
      </w:pPr>
      <w:r>
        <w:rPr>
          <w:rFonts w:ascii="Arial" w:cs="Arial" w:eastAsia="Arial" w:hAnsi="Arial"/>
          <w:sz w:val="10"/>
          <w:szCs w:val="10"/>
          <w:color w:val="auto"/>
        </w:rPr>
        <w:t>DB1/ 97581352.1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242570</wp:posOffset>
            </wp:positionV>
            <wp:extent cx="7329170" cy="368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19"/>
          </w:cols>
          <w:pgMar w:left="240" w:top="378" w:right="1440" w:bottom="1440" w:gutter="0" w:footer="0" w:header="0"/>
        </w:sectPr>
      </w:pPr>
    </w:p>
    <w:bookmarkStart w:id="208" w:name="page209"/>
    <w:bookmarkEnd w:id="208"/>
    <w:p>
      <w:pPr>
        <w:jc w:val="center"/>
        <w:ind w:right="-19"/>
        <w:spacing w:after="0"/>
        <w:rPr>
          <w:sz w:val="20"/>
          <w:szCs w:val="20"/>
          <w:color w:val="auto"/>
        </w:rPr>
      </w:pPr>
      <w:r>
        <w:rPr>
          <w:rFonts w:ascii="Arial" w:cs="Arial" w:eastAsia="Arial" w:hAnsi="Arial"/>
          <w:sz w:val="14"/>
          <w:szCs w:val="14"/>
          <w:b w:val="1"/>
          <w:bCs w:val="1"/>
          <w:color w:val="auto"/>
        </w:rPr>
        <w:t>EXHIBIT 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3"/>
          <w:szCs w:val="13"/>
          <w:u w:val="single" w:color="auto"/>
          <w:color w:val="auto"/>
        </w:rPr>
        <w:t>FORM OF COMPLIANCE CERTIFICATE</w:t>
      </w:r>
    </w:p>
    <w:p>
      <w:pPr>
        <w:spacing w:after="0" w:line="292" w:lineRule="exact"/>
        <w:rPr>
          <w:sz w:val="20"/>
          <w:szCs w:val="20"/>
          <w:color w:val="auto"/>
        </w:rPr>
      </w:pPr>
    </w:p>
    <w:p>
      <w:pPr>
        <w:ind w:left="6740"/>
        <w:spacing w:after="0"/>
        <w:rPr>
          <w:sz w:val="20"/>
          <w:szCs w:val="20"/>
          <w:color w:val="auto"/>
        </w:rPr>
      </w:pPr>
      <w:r>
        <w:rPr>
          <w:rFonts w:ascii="Arial" w:cs="Arial" w:eastAsia="Arial" w:hAnsi="Arial"/>
          <w:sz w:val="13"/>
          <w:szCs w:val="13"/>
          <w:color w:val="auto"/>
        </w:rPr>
        <w:t>Date of Certificate:</w:t>
      </w:r>
    </w:p>
    <w:p>
      <w:pPr>
        <w:sectPr>
          <w:pgSz w:w="11900" w:h="16838" w:orient="portrait"/>
          <w:cols w:equalWidth="0" w:num="1">
            <w:col w:w="11440"/>
          </w:cols>
          <w:pgMar w:left="240" w:top="301" w:right="219" w:bottom="1440" w:gutter="0" w:footer="0" w:header="0"/>
        </w:sectPr>
      </w:pPr>
    </w:p>
    <w:p>
      <w:pPr>
        <w:spacing w:after="0" w:line="130"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To:</w:t>
      </w:r>
    </w:p>
    <w:p>
      <w:pPr>
        <w:spacing w:after="0" w:line="13" w:lineRule="exact"/>
        <w:rPr>
          <w:sz w:val="20"/>
          <w:szCs w:val="20"/>
          <w:color w:val="auto"/>
        </w:rPr>
      </w:pPr>
    </w:p>
    <w:p>
      <w:pPr>
        <w:ind w:left="700"/>
        <w:spacing w:after="0"/>
        <w:rPr>
          <w:sz w:val="20"/>
          <w:szCs w:val="20"/>
          <w:color w:val="auto"/>
        </w:rPr>
      </w:pPr>
      <w:r>
        <w:rPr>
          <w:rFonts w:ascii="Arial" w:cs="Arial" w:eastAsia="Arial" w:hAnsi="Arial"/>
          <w:sz w:val="13"/>
          <w:szCs w:val="13"/>
          <w:color w:val="auto"/>
        </w:rPr>
        <w:t>Gentlemen:</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color w:val="auto"/>
        </w:rPr>
        <w:t>Bank of America, N.A., as Agent Ladies and</w:t>
      </w:r>
    </w:p>
    <w:p>
      <w:pPr>
        <w:spacing w:after="0" w:line="195" w:lineRule="exact"/>
        <w:rPr>
          <w:sz w:val="20"/>
          <w:szCs w:val="20"/>
          <w:color w:val="auto"/>
        </w:rPr>
      </w:pPr>
    </w:p>
    <w:p>
      <w:pPr>
        <w:sectPr>
          <w:pgSz w:w="11900" w:h="16838" w:orient="portrait"/>
          <w:cols w:equalWidth="0" w:num="2">
            <w:col w:w="1380" w:space="340"/>
            <w:col w:w="9720"/>
          </w:cols>
          <w:pgMar w:left="240" w:top="301" w:right="219" w:bottom="1440" w:gutter="0" w:footer="0" w:header="0"/>
          <w:type w:val="continuous"/>
        </w:sectPr>
      </w:pPr>
    </w:p>
    <w:p>
      <w:pPr>
        <w:jc w:val="both"/>
        <w:ind w:left="700" w:right="700" w:firstLine="675"/>
        <w:spacing w:after="0" w:line="264" w:lineRule="auto"/>
        <w:rPr>
          <w:sz w:val="20"/>
          <w:szCs w:val="20"/>
          <w:color w:val="auto"/>
        </w:rPr>
      </w:pPr>
      <w:r>
        <w:rPr>
          <w:rFonts w:ascii="Arial" w:cs="Arial" w:eastAsia="Arial" w:hAnsi="Arial"/>
          <w:sz w:val="13"/>
          <w:szCs w:val="13"/>
          <w:color w:val="auto"/>
        </w:rPr>
        <w:t>Reference is made to the Seventh Amended and Restated Credit Agreement dated as of May 24, 2018 (as amended, restated, supplemented or otherwise modified and in effect from time to time, the “</w:t>
      </w:r>
      <w:r>
        <w:rPr>
          <w:rFonts w:ascii="Arial" w:cs="Arial" w:eastAsia="Arial" w:hAnsi="Arial"/>
          <w:sz w:val="13"/>
          <w:szCs w:val="13"/>
          <w:u w:val="single" w:color="auto"/>
          <w:color w:val="auto"/>
        </w:rPr>
        <w:t>Credit Agreement</w:t>
      </w:r>
      <w:r>
        <w:rPr>
          <w:rFonts w:ascii="Arial" w:cs="Arial" w:eastAsia="Arial" w:hAnsi="Arial"/>
          <w:sz w:val="13"/>
          <w:szCs w:val="13"/>
          <w:color w:val="auto"/>
        </w:rPr>
        <w:t>”) by, among others, (i) DESTINATION XL GROUP, INC., a Delaware corporation, for itself and as Lead Borrower (in such capacity, the “</w:t>
      </w:r>
      <w:r>
        <w:rPr>
          <w:rFonts w:ascii="Arial" w:cs="Arial" w:eastAsia="Arial" w:hAnsi="Arial"/>
          <w:sz w:val="13"/>
          <w:szCs w:val="13"/>
          <w:u w:val="single" w:color="auto"/>
          <w:color w:val="auto"/>
        </w:rPr>
        <w:t>Lead Borrower</w:t>
      </w:r>
      <w:r>
        <w:rPr>
          <w:rFonts w:ascii="Arial" w:cs="Arial" w:eastAsia="Arial" w:hAnsi="Arial"/>
          <w:sz w:val="13"/>
          <w:szCs w:val="13"/>
          <w:color w:val="auto"/>
        </w:rPr>
        <w:t>”) for the other Borrowers party thereto from time to time (individually, a “</w:t>
      </w:r>
      <w:r>
        <w:rPr>
          <w:rFonts w:ascii="Arial" w:cs="Arial" w:eastAsia="Arial" w:hAnsi="Arial"/>
          <w:sz w:val="13"/>
          <w:szCs w:val="13"/>
          <w:u w:val="single" w:color="auto"/>
          <w:color w:val="auto"/>
        </w:rPr>
        <w:t>Borrower</w:t>
      </w:r>
      <w:r>
        <w:rPr>
          <w:rFonts w:ascii="Arial" w:cs="Arial" w:eastAsia="Arial" w:hAnsi="Arial"/>
          <w:sz w:val="13"/>
          <w:szCs w:val="13"/>
          <w:color w:val="auto"/>
        </w:rPr>
        <w:t>” and, collectively, the “</w:t>
      </w:r>
      <w:r>
        <w:rPr>
          <w:rFonts w:ascii="Arial" w:cs="Arial" w:eastAsia="Arial" w:hAnsi="Arial"/>
          <w:sz w:val="13"/>
          <w:szCs w:val="13"/>
          <w:u w:val="single" w:color="auto"/>
          <w:color w:val="auto"/>
        </w:rPr>
        <w:t>Borrowers</w:t>
      </w:r>
      <w:r>
        <w:rPr>
          <w:rFonts w:ascii="Arial" w:cs="Arial" w:eastAsia="Arial" w:hAnsi="Arial"/>
          <w:sz w:val="13"/>
          <w:szCs w:val="13"/>
          <w:color w:val="auto"/>
        </w:rPr>
        <w:t>”), (ii) the Borrowers party thereto from time to time, (iii) the Guarantors party thereto from time to time, (iv) Bank of America, N.A., as administrative agent and collateral agent (in such capacities, the “</w:t>
      </w:r>
      <w:r>
        <w:rPr>
          <w:rFonts w:ascii="Arial" w:cs="Arial" w:eastAsia="Arial" w:hAnsi="Arial"/>
          <w:sz w:val="13"/>
          <w:szCs w:val="13"/>
          <w:u w:val="single" w:color="auto"/>
          <w:color w:val="auto"/>
        </w:rPr>
        <w:t>Agent</w:t>
      </w:r>
      <w:r>
        <w:rPr>
          <w:rFonts w:ascii="Arial" w:cs="Arial" w:eastAsia="Arial" w:hAnsi="Arial"/>
          <w:sz w:val="13"/>
          <w:szCs w:val="13"/>
          <w:color w:val="auto"/>
        </w:rPr>
        <w:t>”) for its own benefit and the benefit of the other Credit Parties referred to therein, and (v) the lenders from time to time party thereto (individually, a “</w:t>
      </w:r>
      <w:r>
        <w:rPr>
          <w:rFonts w:ascii="Arial" w:cs="Arial" w:eastAsia="Arial" w:hAnsi="Arial"/>
          <w:sz w:val="13"/>
          <w:szCs w:val="13"/>
          <w:u w:val="single" w:color="auto"/>
          <w:color w:val="auto"/>
        </w:rPr>
        <w:t>Lender</w:t>
      </w:r>
      <w:r>
        <w:rPr>
          <w:rFonts w:ascii="Arial" w:cs="Arial" w:eastAsia="Arial" w:hAnsi="Arial"/>
          <w:sz w:val="13"/>
          <w:szCs w:val="13"/>
          <w:color w:val="auto"/>
        </w:rPr>
        <w:t>” and, collectively, the “</w:t>
      </w:r>
      <w:r>
        <w:rPr>
          <w:rFonts w:ascii="Arial" w:cs="Arial" w:eastAsia="Arial" w:hAnsi="Arial"/>
          <w:sz w:val="13"/>
          <w:szCs w:val="13"/>
          <w:u w:val="single" w:color="auto"/>
          <w:color w:val="auto"/>
        </w:rPr>
        <w:t>Lenders</w:t>
      </w:r>
      <w:r>
        <w:rPr>
          <w:rFonts w:ascii="Arial" w:cs="Arial" w:eastAsia="Arial" w:hAnsi="Arial"/>
          <w:sz w:val="13"/>
          <w:szCs w:val="13"/>
          <w:color w:val="auto"/>
        </w:rPr>
        <w:t>”). All capitalized terms used herein and not otherwise defined shall have the same meaning herein as in the Credit Agreement.</w:t>
      </w:r>
    </w:p>
    <w:p>
      <w:pPr>
        <w:spacing w:after="0" w:line="128" w:lineRule="exact"/>
        <w:rPr>
          <w:sz w:val="20"/>
          <w:szCs w:val="20"/>
          <w:color w:val="auto"/>
        </w:rPr>
      </w:pPr>
    </w:p>
    <w:p>
      <w:pPr>
        <w:jc w:val="both"/>
        <w:ind w:left="700" w:right="700" w:firstLine="675"/>
        <w:spacing w:after="0" w:line="273" w:lineRule="auto"/>
        <w:rPr>
          <w:sz w:val="20"/>
          <w:szCs w:val="20"/>
          <w:color w:val="auto"/>
        </w:rPr>
      </w:pPr>
      <w:r>
        <w:rPr>
          <w:rFonts w:ascii="Arial" w:cs="Arial" w:eastAsia="Arial" w:hAnsi="Arial"/>
          <w:sz w:val="14"/>
          <w:szCs w:val="14"/>
          <w:color w:val="auto"/>
        </w:rPr>
        <w:t>The undersigned, in his or her capacity as a duly authorized and acting Responsible Officer of the Lead Borrower, hereby certifies on behalf of itself and each of the other Loan Parties as of the date hereof the following:</w:t>
      </w:r>
    </w:p>
    <w:p>
      <w:pPr>
        <w:spacing w:after="0" w:line="120" w:lineRule="exact"/>
        <w:rPr>
          <w:sz w:val="20"/>
          <w:szCs w:val="20"/>
          <w:color w:val="auto"/>
        </w:rPr>
      </w:pPr>
    </w:p>
    <w:p>
      <w:pPr>
        <w:ind w:left="1460" w:hanging="767"/>
        <w:spacing w:after="0"/>
        <w:tabs>
          <w:tab w:leader="none" w:pos="1460" w:val="left"/>
        </w:tabs>
        <w:numPr>
          <w:ilvl w:val="0"/>
          <w:numId w:val="210"/>
        </w:numPr>
        <w:rPr>
          <w:rFonts w:ascii="Arial" w:cs="Arial" w:eastAsia="Arial" w:hAnsi="Arial"/>
          <w:sz w:val="14"/>
          <w:szCs w:val="14"/>
          <w:color w:val="auto"/>
        </w:rPr>
      </w:pPr>
      <w:r>
        <w:rPr>
          <w:rFonts w:ascii="Arial" w:cs="Arial" w:eastAsia="Arial" w:hAnsi="Arial"/>
          <w:sz w:val="14"/>
          <w:szCs w:val="14"/>
          <w:u w:val="single" w:color="auto"/>
          <w:color w:val="auto"/>
        </w:rPr>
        <w:t>No Defaults or Events of Default</w:t>
      </w:r>
      <w:r>
        <w:rPr>
          <w:rFonts w:ascii="Arial" w:cs="Arial" w:eastAsia="Arial" w:hAnsi="Arial"/>
          <w:sz w:val="14"/>
          <w:szCs w:val="14"/>
          <w:color w:val="auto"/>
        </w:rPr>
        <w:t>.</w:t>
      </w:r>
    </w:p>
    <w:p>
      <w:pPr>
        <w:spacing w:after="0" w:line="13" w:lineRule="exact"/>
        <w:rPr>
          <w:rFonts w:ascii="Arial" w:cs="Arial" w:eastAsia="Arial" w:hAnsi="Arial"/>
          <w:sz w:val="14"/>
          <w:szCs w:val="14"/>
          <w:color w:val="auto"/>
        </w:rPr>
      </w:pPr>
    </w:p>
    <w:p>
      <w:pPr>
        <w:ind w:left="1460" w:hanging="380"/>
        <w:spacing w:after="0"/>
        <w:tabs>
          <w:tab w:leader="none" w:pos="1460" w:val="left"/>
        </w:tabs>
        <w:numPr>
          <w:ilvl w:val="1"/>
          <w:numId w:val="210"/>
        </w:numPr>
        <w:rPr>
          <w:rFonts w:ascii="Arial" w:cs="Arial" w:eastAsia="Arial" w:hAnsi="Arial"/>
          <w:sz w:val="14"/>
          <w:szCs w:val="14"/>
          <w:color w:val="auto"/>
        </w:rPr>
      </w:pPr>
      <w:r>
        <w:rPr>
          <w:rFonts w:ascii="Arial" w:cs="Arial" w:eastAsia="Arial" w:hAnsi="Arial"/>
          <w:sz w:val="14"/>
          <w:szCs w:val="14"/>
          <w:color w:val="auto"/>
        </w:rPr>
        <w:t>Since _____,</w:t>
      </w:r>
      <w:r>
        <w:rPr>
          <w:rFonts w:ascii="Arial" w:cs="Arial" w:eastAsia="Arial" w:hAnsi="Arial"/>
          <w:sz w:val="12"/>
          <w:szCs w:val="12"/>
          <w:color w:val="auto"/>
        </w:rPr>
        <w:t>1</w:t>
      </w:r>
      <w:r>
        <w:rPr>
          <w:rFonts w:ascii="Arial" w:cs="Arial" w:eastAsia="Arial" w:hAnsi="Arial"/>
          <w:sz w:val="14"/>
          <w:szCs w:val="14"/>
          <w:color w:val="auto"/>
        </w:rPr>
        <w:t xml:space="preserve"> and except as set forth in </w:t>
      </w:r>
      <w:r>
        <w:rPr>
          <w:rFonts w:ascii="Arial" w:cs="Arial" w:eastAsia="Arial" w:hAnsi="Arial"/>
          <w:sz w:val="14"/>
          <w:szCs w:val="14"/>
          <w:u w:val="single" w:color="auto"/>
          <w:color w:val="auto"/>
        </w:rPr>
        <w:t>Appendix I</w:t>
      </w:r>
      <w:r>
        <w:rPr>
          <w:rFonts w:ascii="Arial" w:cs="Arial" w:eastAsia="Arial" w:hAnsi="Arial"/>
          <w:sz w:val="14"/>
          <w:szCs w:val="14"/>
          <w:color w:val="auto"/>
        </w:rPr>
        <w:t>, no Default or Event of Default has occurred.</w:t>
      </w:r>
    </w:p>
    <w:p>
      <w:pPr>
        <w:spacing w:after="0" w:line="151" w:lineRule="exact"/>
        <w:rPr>
          <w:rFonts w:ascii="Arial" w:cs="Arial" w:eastAsia="Arial" w:hAnsi="Arial"/>
          <w:sz w:val="14"/>
          <w:szCs w:val="14"/>
          <w:color w:val="auto"/>
        </w:rPr>
      </w:pPr>
    </w:p>
    <w:p>
      <w:pPr>
        <w:ind w:left="1460" w:hanging="380"/>
        <w:spacing w:after="0" w:line="273" w:lineRule="auto"/>
        <w:tabs>
          <w:tab w:leader="none" w:pos="1460" w:val="left"/>
        </w:tabs>
        <w:numPr>
          <w:ilvl w:val="1"/>
          <w:numId w:val="210"/>
        </w:numPr>
        <w:rPr>
          <w:rFonts w:ascii="Arial" w:cs="Arial" w:eastAsia="Arial" w:hAnsi="Arial"/>
          <w:sz w:val="14"/>
          <w:szCs w:val="14"/>
          <w:color w:val="auto"/>
        </w:rPr>
      </w:pPr>
      <w:r>
        <w:rPr>
          <w:rFonts w:ascii="Arial" w:cs="Arial" w:eastAsia="Arial" w:hAnsi="Arial"/>
          <w:sz w:val="14"/>
          <w:szCs w:val="14"/>
          <w:color w:val="auto"/>
        </w:rPr>
        <w:t>If a Default or Event of Default has occurred since _____,</w:t>
      </w:r>
      <w:r>
        <w:rPr>
          <w:rFonts w:ascii="Arial" w:cs="Arial" w:eastAsia="Arial" w:hAnsi="Arial"/>
          <w:sz w:val="12"/>
          <w:szCs w:val="12"/>
          <w:color w:val="auto"/>
        </w:rPr>
        <w:t>2</w:t>
      </w:r>
      <w:r>
        <w:rPr>
          <w:rFonts w:ascii="Arial" w:cs="Arial" w:eastAsia="Arial" w:hAnsi="Arial"/>
          <w:sz w:val="14"/>
          <w:szCs w:val="14"/>
          <w:color w:val="auto"/>
        </w:rPr>
        <w:t xml:space="preserve"> the Loan Parties have taken or propose to take those actions with respect to such Default or Event of Default as described on said </w:t>
      </w:r>
      <w:r>
        <w:rPr>
          <w:rFonts w:ascii="Arial" w:cs="Arial" w:eastAsia="Arial" w:hAnsi="Arial"/>
          <w:sz w:val="14"/>
          <w:szCs w:val="14"/>
          <w:u w:val="single" w:color="auto"/>
          <w:color w:val="auto"/>
        </w:rPr>
        <w:t>Appendix I</w:t>
      </w:r>
      <w:r>
        <w:rPr>
          <w:rFonts w:ascii="Arial" w:cs="Arial" w:eastAsia="Arial" w:hAnsi="Arial"/>
          <w:sz w:val="14"/>
          <w:szCs w:val="14"/>
          <w:color w:val="auto"/>
        </w:rPr>
        <w:t>.</w:t>
      </w:r>
    </w:p>
    <w:p>
      <w:pPr>
        <w:spacing w:after="0" w:line="120" w:lineRule="exact"/>
        <w:rPr>
          <w:rFonts w:ascii="Arial" w:cs="Arial" w:eastAsia="Arial" w:hAnsi="Arial"/>
          <w:sz w:val="14"/>
          <w:szCs w:val="14"/>
          <w:color w:val="auto"/>
        </w:rPr>
      </w:pPr>
    </w:p>
    <w:p>
      <w:pPr>
        <w:ind w:left="1460" w:hanging="767"/>
        <w:spacing w:after="0"/>
        <w:tabs>
          <w:tab w:leader="none" w:pos="1460" w:val="left"/>
        </w:tabs>
        <w:numPr>
          <w:ilvl w:val="0"/>
          <w:numId w:val="210"/>
        </w:numPr>
        <w:rPr>
          <w:rFonts w:ascii="Arial" w:cs="Arial" w:eastAsia="Arial" w:hAnsi="Arial"/>
          <w:sz w:val="14"/>
          <w:szCs w:val="14"/>
          <w:color w:val="auto"/>
        </w:rPr>
      </w:pPr>
      <w:r>
        <w:rPr>
          <w:rFonts w:ascii="Arial" w:cs="Arial" w:eastAsia="Arial" w:hAnsi="Arial"/>
          <w:sz w:val="14"/>
          <w:szCs w:val="14"/>
          <w:u w:val="single" w:color="auto"/>
          <w:color w:val="auto"/>
        </w:rPr>
        <w:t>Financial Covenants</w:t>
      </w:r>
      <w:r>
        <w:rPr>
          <w:rFonts w:ascii="Arial" w:cs="Arial" w:eastAsia="Arial" w:hAnsi="Arial"/>
          <w:sz w:val="14"/>
          <w:szCs w:val="14"/>
          <w:color w:val="auto"/>
        </w:rPr>
        <w:t>.</w:t>
      </w:r>
    </w:p>
    <w:p>
      <w:pPr>
        <w:spacing w:after="0" w:line="163" w:lineRule="exact"/>
        <w:rPr>
          <w:sz w:val="20"/>
          <w:szCs w:val="20"/>
          <w:color w:val="auto"/>
        </w:rPr>
      </w:pPr>
    </w:p>
    <w:p>
      <w:pPr>
        <w:ind w:left="1480" w:right="700"/>
        <w:spacing w:after="0" w:line="272" w:lineRule="auto"/>
        <w:rPr>
          <w:sz w:val="20"/>
          <w:szCs w:val="20"/>
          <w:color w:val="auto"/>
        </w:rPr>
      </w:pPr>
      <w:r>
        <w:rPr>
          <w:rFonts w:ascii="Arial" w:cs="Arial" w:eastAsia="Arial" w:hAnsi="Arial"/>
          <w:sz w:val="14"/>
          <w:szCs w:val="14"/>
          <w:color w:val="auto"/>
        </w:rPr>
        <w:t xml:space="preserve">Set forth in </w:t>
      </w:r>
      <w:r>
        <w:rPr>
          <w:rFonts w:ascii="Arial" w:cs="Arial" w:eastAsia="Arial" w:hAnsi="Arial"/>
          <w:sz w:val="14"/>
          <w:szCs w:val="14"/>
          <w:u w:val="single" w:color="auto"/>
          <w:color w:val="auto"/>
        </w:rPr>
        <w:t>Appendix II</w:t>
      </w:r>
      <w:r>
        <w:rPr>
          <w:rFonts w:ascii="Arial" w:cs="Arial" w:eastAsia="Arial" w:hAnsi="Arial"/>
          <w:sz w:val="14"/>
          <w:szCs w:val="14"/>
          <w:color w:val="auto"/>
        </w:rPr>
        <w:t>, in reasonable detail (whether or not compliance with the covenants set forth in Section 7.15 of the Credit Agreement is then required), are calculations demonstrating the Consolidated Fixed Charge Coverage Ratio.</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7"/>
          <w:szCs w:val="7"/>
          <w:color w:val="auto"/>
        </w:rPr>
        <w:t xml:space="preserve">1 </w:t>
      </w:r>
      <w:r>
        <w:rPr>
          <w:rFonts w:ascii="Arial" w:cs="Arial" w:eastAsia="Arial" w:hAnsi="Arial"/>
          <w:sz w:val="11"/>
          <w:szCs w:val="11"/>
          <w:color w:val="auto"/>
        </w:rPr>
        <w:t>The date of the last Compliance Certificate delivered pursuant to Section 6.02 of the Credit Agreement, or, in the case of the first Compliance Certificate delivered after the Closing Date, the Closing Date.</w:t>
      </w:r>
    </w:p>
    <w:p>
      <w:pPr>
        <w:spacing w:after="0" w:line="19" w:lineRule="exact"/>
        <w:rPr>
          <w:sz w:val="20"/>
          <w:szCs w:val="20"/>
          <w:color w:val="auto"/>
        </w:rPr>
      </w:pPr>
    </w:p>
    <w:p>
      <w:pPr>
        <w:ind w:left="700"/>
        <w:spacing w:after="0"/>
        <w:rPr>
          <w:sz w:val="20"/>
          <w:szCs w:val="20"/>
          <w:color w:val="auto"/>
        </w:rPr>
      </w:pPr>
      <w:r>
        <w:rPr>
          <w:rFonts w:ascii="Arial" w:cs="Arial" w:eastAsia="Arial" w:hAnsi="Arial"/>
          <w:sz w:val="8"/>
          <w:szCs w:val="8"/>
          <w:color w:val="auto"/>
        </w:rPr>
        <w:t xml:space="preserve">2 </w:t>
      </w:r>
      <w:r>
        <w:rPr>
          <w:rFonts w:ascii="Arial" w:cs="Arial" w:eastAsia="Arial" w:hAnsi="Arial"/>
          <w:sz w:val="12"/>
          <w:szCs w:val="12"/>
          <w:color w:val="auto"/>
        </w:rPr>
        <w:t>The date entered in paragraph 1(a) above.</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420370</wp:posOffset>
            </wp:positionV>
            <wp:extent cx="7329170" cy="368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40" w:top="301" w:right="219" w:bottom="1440" w:gutter="0" w:footer="0" w:header="0"/>
          <w:type w:val="continuous"/>
        </w:sectPr>
      </w:pPr>
    </w:p>
    <w:bookmarkStart w:id="209" w:name="page210"/>
    <w:bookmarkEnd w:id="209"/>
    <w:p>
      <w:pPr>
        <w:ind w:left="1460" w:hanging="767"/>
        <w:spacing w:after="0"/>
        <w:tabs>
          <w:tab w:leader="none" w:pos="1460" w:val="left"/>
        </w:tabs>
        <w:numPr>
          <w:ilvl w:val="0"/>
          <w:numId w:val="211"/>
        </w:numPr>
        <w:rPr>
          <w:rFonts w:ascii="Arial" w:cs="Arial" w:eastAsia="Arial" w:hAnsi="Arial"/>
          <w:sz w:val="14"/>
          <w:szCs w:val="14"/>
          <w:color w:val="auto"/>
        </w:rPr>
      </w:pPr>
      <w:r>
        <w:rPr>
          <w:rFonts w:ascii="Arial" w:cs="Arial" w:eastAsia="Arial" w:hAnsi="Arial"/>
          <w:sz w:val="14"/>
          <w:szCs w:val="14"/>
          <w:u w:val="single" w:color="auto"/>
          <w:color w:val="auto"/>
        </w:rPr>
        <w:t>Financial Statements</w:t>
      </w:r>
      <w:r>
        <w:rPr>
          <w:rFonts w:ascii="Arial" w:cs="Arial" w:eastAsia="Arial" w:hAnsi="Arial"/>
          <w:sz w:val="14"/>
          <w:szCs w:val="14"/>
          <w:color w:val="auto"/>
        </w:rPr>
        <w:t>.</w:t>
      </w:r>
    </w:p>
    <w:p>
      <w:pPr>
        <w:spacing w:after="0" w:line="163" w:lineRule="exact"/>
        <w:rPr>
          <w:rFonts w:ascii="Arial" w:cs="Arial" w:eastAsia="Arial" w:hAnsi="Arial"/>
          <w:sz w:val="14"/>
          <w:szCs w:val="14"/>
          <w:color w:val="auto"/>
        </w:rPr>
      </w:pPr>
    </w:p>
    <w:p>
      <w:pPr>
        <w:ind w:left="1480"/>
        <w:spacing w:after="0"/>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Use following paragraph (a) for Fiscal Year-end financial statements</w:t>
      </w:r>
      <w:r>
        <w:rPr>
          <w:rFonts w:ascii="Arial" w:cs="Arial" w:eastAsia="Arial" w:hAnsi="Arial"/>
          <w:sz w:val="14"/>
          <w:szCs w:val="14"/>
          <w:color w:val="auto"/>
        </w:rPr>
        <w:t>]</w:t>
      </w:r>
    </w:p>
    <w:p>
      <w:pPr>
        <w:spacing w:after="0" w:line="163" w:lineRule="exact"/>
        <w:rPr>
          <w:rFonts w:ascii="Arial" w:cs="Arial" w:eastAsia="Arial" w:hAnsi="Arial"/>
          <w:sz w:val="14"/>
          <w:szCs w:val="14"/>
          <w:color w:val="auto"/>
        </w:rPr>
      </w:pPr>
    </w:p>
    <w:p>
      <w:pPr>
        <w:jc w:val="both"/>
        <w:ind w:left="2280" w:hanging="768"/>
        <w:spacing w:after="0" w:line="257" w:lineRule="auto"/>
        <w:tabs>
          <w:tab w:leader="none" w:pos="2280" w:val="left"/>
        </w:tabs>
        <w:numPr>
          <w:ilvl w:val="1"/>
          <w:numId w:val="211"/>
        </w:numPr>
        <w:rPr>
          <w:rFonts w:ascii="Arial" w:cs="Arial" w:eastAsia="Arial" w:hAnsi="Arial"/>
          <w:sz w:val="14"/>
          <w:szCs w:val="14"/>
          <w:color w:val="auto"/>
        </w:rPr>
      </w:pPr>
      <w:r>
        <w:rPr>
          <w:rFonts w:ascii="Arial" w:cs="Arial" w:eastAsia="Arial" w:hAnsi="Arial"/>
          <w:sz w:val="14"/>
          <w:szCs w:val="14"/>
          <w:color w:val="auto"/>
        </w:rPr>
        <w:t xml:space="preserve">Attached hereto as </w:t>
      </w:r>
      <w:r>
        <w:rPr>
          <w:rFonts w:ascii="Arial" w:cs="Arial" w:eastAsia="Arial" w:hAnsi="Arial"/>
          <w:sz w:val="14"/>
          <w:szCs w:val="14"/>
          <w:u w:val="single" w:color="auto"/>
          <w:color w:val="auto"/>
        </w:rPr>
        <w:t>Appendix III</w:t>
      </w:r>
      <w:r>
        <w:rPr>
          <w:rFonts w:ascii="Arial" w:cs="Arial" w:eastAsia="Arial" w:hAnsi="Arial"/>
          <w:sz w:val="14"/>
          <w:szCs w:val="14"/>
          <w:color w:val="auto"/>
        </w:rPr>
        <w:t xml:space="preserve"> are the financial statements of the Lead Borrower and its Subsidiaries, as required by Section 6.01(a) of the Credit Agreement for such Fiscal Year ending ________, all in reasonable detail and accompanied by such materials as are required to be delivered pursuant to Section 6.01(a) of the Credit Agreement (all of the foregoing, collectively, the “</w:t>
      </w:r>
      <w:r>
        <w:rPr>
          <w:rFonts w:ascii="Arial" w:cs="Arial" w:eastAsia="Arial" w:hAnsi="Arial"/>
          <w:sz w:val="14"/>
          <w:szCs w:val="14"/>
          <w:u w:val="single" w:color="auto"/>
          <w:color w:val="auto"/>
        </w:rPr>
        <w:t>Annual Financial Statements</w:t>
      </w:r>
      <w:r>
        <w:rPr>
          <w:rFonts w:ascii="Arial" w:cs="Arial" w:eastAsia="Arial" w:hAnsi="Arial"/>
          <w:sz w:val="14"/>
          <w:szCs w:val="14"/>
          <w:color w:val="auto"/>
        </w:rPr>
        <w:t>”).</w:t>
      </w:r>
    </w:p>
    <w:p>
      <w:pPr>
        <w:spacing w:after="0" w:line="131"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Use following paragraph (b) for Fiscal Quarter-end financial statements</w:t>
      </w:r>
      <w:r>
        <w:rPr>
          <w:rFonts w:ascii="Arial" w:cs="Arial" w:eastAsia="Arial" w:hAnsi="Arial"/>
          <w:sz w:val="14"/>
          <w:szCs w:val="14"/>
          <w:color w:val="auto"/>
        </w:rPr>
        <w:t>]</w:t>
      </w:r>
    </w:p>
    <w:p>
      <w:pPr>
        <w:spacing w:after="0" w:line="163" w:lineRule="exact"/>
        <w:rPr>
          <w:sz w:val="20"/>
          <w:szCs w:val="20"/>
          <w:color w:val="auto"/>
        </w:rPr>
      </w:pPr>
    </w:p>
    <w:p>
      <w:pPr>
        <w:jc w:val="both"/>
        <w:ind w:left="2280" w:right="700" w:hanging="768"/>
        <w:spacing w:after="0" w:line="288" w:lineRule="auto"/>
        <w:tabs>
          <w:tab w:leader="none" w:pos="2280" w:val="left"/>
        </w:tabs>
        <w:numPr>
          <w:ilvl w:val="0"/>
          <w:numId w:val="212"/>
        </w:numPr>
        <w:rPr>
          <w:rFonts w:ascii="Arial" w:cs="Arial" w:eastAsia="Arial" w:hAnsi="Arial"/>
          <w:sz w:val="12"/>
          <w:szCs w:val="12"/>
          <w:color w:val="auto"/>
        </w:rPr>
      </w:pPr>
      <w:r>
        <w:rPr>
          <w:rFonts w:ascii="Arial" w:cs="Arial" w:eastAsia="Arial" w:hAnsi="Arial"/>
          <w:sz w:val="12"/>
          <w:szCs w:val="12"/>
          <w:color w:val="auto"/>
        </w:rPr>
        <w:t xml:space="preserve">Attached hereto as </w:t>
      </w:r>
      <w:r>
        <w:rPr>
          <w:rFonts w:ascii="Arial" w:cs="Arial" w:eastAsia="Arial" w:hAnsi="Arial"/>
          <w:sz w:val="12"/>
          <w:szCs w:val="12"/>
          <w:u w:val="single" w:color="auto"/>
          <w:color w:val="auto"/>
        </w:rPr>
        <w:t>Appendix III</w:t>
      </w:r>
      <w:r>
        <w:rPr>
          <w:rFonts w:ascii="Arial" w:cs="Arial" w:eastAsia="Arial" w:hAnsi="Arial"/>
          <w:sz w:val="12"/>
          <w:szCs w:val="12"/>
          <w:color w:val="auto"/>
        </w:rPr>
        <w:t xml:space="preserve"> are the Consolidated balance sheet of the Lead Borrower and its Subsidiaries, as required by Section 6.01(b) of the Credit Agreement for the Fiscal Quarter ending __________, and the related Consolidated statements of income or operations and cash flows for such Fiscal Quarter and for the portion of the Lead Borrower’s Fiscal Year then ended, setting forth in each case in comparative form the figures for</w:t>
      </w:r>
    </w:p>
    <w:p>
      <w:pPr>
        <w:spacing w:after="0" w:line="1" w:lineRule="exact"/>
        <w:rPr>
          <w:rFonts w:ascii="Arial" w:cs="Arial" w:eastAsia="Arial" w:hAnsi="Arial"/>
          <w:sz w:val="12"/>
          <w:szCs w:val="12"/>
          <w:color w:val="auto"/>
        </w:rPr>
      </w:pPr>
    </w:p>
    <w:p>
      <w:pPr>
        <w:jc w:val="both"/>
        <w:ind w:left="2280" w:right="720"/>
        <w:spacing w:after="0" w:line="310" w:lineRule="auto"/>
        <w:rPr>
          <w:rFonts w:ascii="Arial" w:cs="Arial" w:eastAsia="Arial" w:hAnsi="Arial"/>
          <w:sz w:val="12"/>
          <w:szCs w:val="12"/>
          <w:color w:val="auto"/>
        </w:rPr>
      </w:pPr>
      <w:r>
        <w:rPr>
          <w:rFonts w:ascii="Arial" w:cs="Arial" w:eastAsia="Arial" w:hAnsi="Arial"/>
          <w:sz w:val="12"/>
          <w:szCs w:val="12"/>
          <w:color w:val="auto"/>
        </w:rPr>
        <w:t>(A) such period set forth in the projections delivered pursuant to Section 6.01(d) of the Credit Agreement, (B) the corresponding Fiscal Quarter of the previous Fiscal Year and (C) the corresponding portion of the previous Fiscal Year, all in reasonable detail and accompanied by such materials as are required to be delivered pursuant to Section 6.01(b) of the Credit Agreement (all of the foregoing, collectively, the “</w:t>
      </w:r>
      <w:r>
        <w:rPr>
          <w:rFonts w:ascii="Arial" w:cs="Arial" w:eastAsia="Arial" w:hAnsi="Arial"/>
          <w:sz w:val="12"/>
          <w:szCs w:val="12"/>
          <w:u w:val="single" w:color="auto"/>
          <w:color w:val="auto"/>
        </w:rPr>
        <w:t>Quarterly Financial Statements</w:t>
      </w:r>
      <w:r>
        <w:rPr>
          <w:rFonts w:ascii="Arial" w:cs="Arial" w:eastAsia="Arial" w:hAnsi="Arial"/>
          <w:sz w:val="12"/>
          <w:szCs w:val="12"/>
          <w:color w:val="auto"/>
        </w:rPr>
        <w:t>”).</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Use following paragraph (c) for month-end financial statements</w:t>
      </w:r>
      <w:r>
        <w:rPr>
          <w:rFonts w:ascii="Arial" w:cs="Arial" w:eastAsia="Arial" w:hAnsi="Arial"/>
          <w:sz w:val="14"/>
          <w:szCs w:val="14"/>
          <w:color w:val="auto"/>
        </w:rPr>
        <w:t>]</w:t>
      </w:r>
    </w:p>
    <w:p>
      <w:pPr>
        <w:spacing w:after="0" w:line="163" w:lineRule="exact"/>
        <w:rPr>
          <w:sz w:val="20"/>
          <w:szCs w:val="20"/>
          <w:color w:val="auto"/>
        </w:rPr>
      </w:pPr>
    </w:p>
    <w:p>
      <w:pPr>
        <w:ind w:left="2240" w:right="680" w:hanging="773"/>
        <w:spacing w:after="0" w:line="373" w:lineRule="auto"/>
        <w:tabs>
          <w:tab w:leader="none" w:pos="2240" w:val="left"/>
        </w:tabs>
        <w:numPr>
          <w:ilvl w:val="1"/>
          <w:numId w:val="213"/>
        </w:numPr>
        <w:rPr>
          <w:rFonts w:ascii="Arial" w:cs="Arial" w:eastAsia="Arial" w:hAnsi="Arial"/>
          <w:sz w:val="10"/>
          <w:szCs w:val="10"/>
          <w:color w:val="auto"/>
        </w:rPr>
      </w:pPr>
      <w:r>
        <w:rPr>
          <w:rFonts w:ascii="Arial" w:cs="Arial" w:eastAsia="Arial" w:hAnsi="Arial"/>
          <w:sz w:val="10"/>
          <w:szCs w:val="10"/>
          <w:color w:val="auto"/>
        </w:rPr>
        <w:t xml:space="preserve">Attached hereto as </w:t>
      </w:r>
      <w:r>
        <w:rPr>
          <w:rFonts w:ascii="Arial" w:cs="Arial" w:eastAsia="Arial" w:hAnsi="Arial"/>
          <w:sz w:val="10"/>
          <w:szCs w:val="10"/>
          <w:u w:val="single" w:color="auto"/>
          <w:color w:val="auto"/>
        </w:rPr>
        <w:t>Appendix III</w:t>
      </w:r>
      <w:r>
        <w:rPr>
          <w:rFonts w:ascii="Arial" w:cs="Arial" w:eastAsia="Arial" w:hAnsi="Arial"/>
          <w:sz w:val="10"/>
          <w:szCs w:val="10"/>
          <w:color w:val="auto"/>
        </w:rPr>
        <w:t xml:space="preserve"> are the Consolidated balance sheet of the Lead Borrower and its Subsidiaries, as required by Section 6.01(c) of the Credit Agreement for the Fiscal Month ending _________, and the related Consolidated statements of income or operations and cash flows for such Fiscal Month and for the portion of the Lead Borrower’s Fiscal Year then ended, in each case with respect to clauses (i) and (ii) above, setting forth in each case in comparative form the figures for (A) such period set forth in the projections delivered pursuant to Section 6.01(d) hereof, (B) the corresponding month of the previous Fiscal Year and (C) the corresponding portion of the previous Fiscal Year, all in reasonable detail and accompanied by such materials as are required to be delivered pursuant to Section 6.01(c) of the Credit Agreement (all of the foregoing, collectively, the “</w:t>
      </w:r>
      <w:r>
        <w:rPr>
          <w:rFonts w:ascii="Arial" w:cs="Arial" w:eastAsia="Arial" w:hAnsi="Arial"/>
          <w:sz w:val="10"/>
          <w:szCs w:val="10"/>
          <w:u w:val="single" w:color="auto"/>
          <w:color w:val="auto"/>
        </w:rPr>
        <w:t>Monthly Financial Statements</w:t>
      </w:r>
      <w:r>
        <w:rPr>
          <w:rFonts w:ascii="Arial" w:cs="Arial" w:eastAsia="Arial" w:hAnsi="Arial"/>
          <w:sz w:val="10"/>
          <w:szCs w:val="10"/>
          <w:color w:val="auto"/>
        </w:rPr>
        <w:t>”).</w:t>
      </w:r>
    </w:p>
    <w:p>
      <w:pPr>
        <w:spacing w:after="0" w:line="79" w:lineRule="exact"/>
        <w:rPr>
          <w:rFonts w:ascii="Arial" w:cs="Arial" w:eastAsia="Arial" w:hAnsi="Arial"/>
          <w:sz w:val="10"/>
          <w:szCs w:val="10"/>
          <w:color w:val="auto"/>
        </w:rPr>
      </w:pPr>
    </w:p>
    <w:p>
      <w:pPr>
        <w:ind w:left="1460" w:hanging="767"/>
        <w:spacing w:after="0"/>
        <w:tabs>
          <w:tab w:leader="none" w:pos="1460" w:val="left"/>
        </w:tabs>
        <w:numPr>
          <w:ilvl w:val="0"/>
          <w:numId w:val="214"/>
        </w:numPr>
        <w:rPr>
          <w:rFonts w:ascii="Arial" w:cs="Arial" w:eastAsia="Arial" w:hAnsi="Arial"/>
          <w:sz w:val="14"/>
          <w:szCs w:val="14"/>
          <w:color w:val="auto"/>
        </w:rPr>
      </w:pPr>
      <w:r>
        <w:rPr>
          <w:rFonts w:ascii="Arial" w:cs="Arial" w:eastAsia="Arial" w:hAnsi="Arial"/>
          <w:sz w:val="14"/>
          <w:szCs w:val="14"/>
          <w:u w:val="single" w:color="auto"/>
          <w:color w:val="auto"/>
        </w:rPr>
        <w:t>No Material Accounting Changes, Etc</w:t>
      </w:r>
      <w:r>
        <w:rPr>
          <w:rFonts w:ascii="Arial" w:cs="Arial" w:eastAsia="Arial" w:hAnsi="Arial"/>
          <w:sz w:val="14"/>
          <w:szCs w:val="14"/>
          <w:color w:val="auto"/>
        </w:rPr>
        <w:t>.</w:t>
      </w: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420370</wp:posOffset>
            </wp:positionV>
            <wp:extent cx="7329170" cy="368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40" w:top="305" w:right="199" w:bottom="1440" w:gutter="0" w:footer="0" w:header="0"/>
        </w:sectPr>
      </w:pPr>
    </w:p>
    <w:bookmarkStart w:id="210" w:name="page211"/>
    <w:bookmarkEnd w:id="210"/>
    <w:p>
      <w:pPr>
        <w:ind w:left="2240" w:hanging="773"/>
        <w:spacing w:after="0" w:line="342" w:lineRule="auto"/>
        <w:tabs>
          <w:tab w:leader="none" w:pos="2240" w:val="left"/>
        </w:tabs>
        <w:numPr>
          <w:ilvl w:val="1"/>
          <w:numId w:val="215"/>
        </w:numPr>
        <w:rPr>
          <w:rFonts w:ascii="Arial" w:cs="Arial" w:eastAsia="Arial" w:hAnsi="Arial"/>
          <w:sz w:val="11"/>
          <w:szCs w:val="11"/>
          <w:color w:val="auto"/>
        </w:rPr>
      </w:pPr>
      <w:r>
        <w:rPr>
          <w:rFonts w:ascii="Arial" w:cs="Arial" w:eastAsia="Arial" w:hAnsi="Arial"/>
          <w:sz w:val="11"/>
          <w:szCs w:val="11"/>
          <w:color w:val="auto"/>
        </w:rPr>
        <w:t>The [Annual Financial Statements][Quarterly Financial Statements][Monthly Financial Statements] furnished to the Agent for the [Fiscal Year/Fiscal Quarter/Month] ended ___________were prepared in accordance with GAAP and fairly present the financial condition, results of operations and cash flows of the Lead Borrower and its Subsidiaries, as of the end of the period(s) covered, [subject only to normal year-end audit adjustments and the absence of footnotes],</w:t>
      </w:r>
      <w:r>
        <w:rPr>
          <w:rFonts w:ascii="Arial" w:cs="Arial" w:eastAsia="Arial" w:hAnsi="Arial"/>
          <w:sz w:val="9"/>
          <w:szCs w:val="9"/>
          <w:color w:val="auto"/>
        </w:rPr>
        <w:t>3</w:t>
      </w:r>
      <w:r>
        <w:rPr>
          <w:rFonts w:ascii="Arial" w:cs="Arial" w:eastAsia="Arial" w:hAnsi="Arial"/>
          <w:sz w:val="11"/>
          <w:szCs w:val="11"/>
          <w:color w:val="auto"/>
        </w:rPr>
        <w:t xml:space="preserve"> and such statements are fairly stated in all respects when considered in relation to the Consolidated financial statements of the Lead Borrower and its Subsidiaries.</w:t>
      </w:r>
    </w:p>
    <w:p>
      <w:pPr>
        <w:spacing w:after="0" w:line="89" w:lineRule="exact"/>
        <w:rPr>
          <w:rFonts w:ascii="Arial" w:cs="Arial" w:eastAsia="Arial" w:hAnsi="Arial"/>
          <w:sz w:val="11"/>
          <w:szCs w:val="11"/>
          <w:color w:val="auto"/>
        </w:rPr>
      </w:pPr>
    </w:p>
    <w:p>
      <w:pPr>
        <w:ind w:left="2240" w:right="120" w:hanging="773"/>
        <w:spacing w:after="0" w:line="320" w:lineRule="auto"/>
        <w:tabs>
          <w:tab w:leader="none" w:pos="2240" w:val="left"/>
        </w:tabs>
        <w:numPr>
          <w:ilvl w:val="1"/>
          <w:numId w:val="215"/>
        </w:numPr>
        <w:rPr>
          <w:rFonts w:ascii="Arial" w:cs="Arial" w:eastAsia="Arial" w:hAnsi="Arial"/>
          <w:sz w:val="12"/>
          <w:szCs w:val="12"/>
          <w:color w:val="auto"/>
        </w:rPr>
      </w:pPr>
      <w:r>
        <w:rPr>
          <w:rFonts w:ascii="Arial" w:cs="Arial" w:eastAsia="Arial" w:hAnsi="Arial"/>
          <w:sz w:val="12"/>
          <w:szCs w:val="12"/>
          <w:color w:val="auto"/>
        </w:rPr>
        <w:t xml:space="preserve">Except as set forth in </w:t>
      </w:r>
      <w:r>
        <w:rPr>
          <w:rFonts w:ascii="Arial" w:cs="Arial" w:eastAsia="Arial" w:hAnsi="Arial"/>
          <w:sz w:val="12"/>
          <w:szCs w:val="12"/>
          <w:u w:val="single" w:color="auto"/>
          <w:color w:val="auto"/>
        </w:rPr>
        <w:t>Appendix IV</w:t>
      </w:r>
      <w:r>
        <w:rPr>
          <w:rFonts w:ascii="Arial" w:cs="Arial" w:eastAsia="Arial" w:hAnsi="Arial"/>
          <w:sz w:val="12"/>
          <w:szCs w:val="12"/>
          <w:color w:val="auto"/>
        </w:rPr>
        <w:t xml:space="preserve">, there has been no change in generally accepted accounting principles used in the preparation of the [Annual Financial Statements][Quarterly Financial Statements] [Monthly Financial Statements] furnished to the Agent for the [Fiscal Year/Fiscal Quarter/Month] ended_______. If any such change has occurred, a statement of reconciliation conforming such financial statements to GAAP is attached hereto in </w:t>
      </w:r>
      <w:r>
        <w:rPr>
          <w:rFonts w:ascii="Arial" w:cs="Arial" w:eastAsia="Arial" w:hAnsi="Arial"/>
          <w:sz w:val="12"/>
          <w:szCs w:val="12"/>
          <w:u w:val="single" w:color="auto"/>
          <w:color w:val="auto"/>
        </w:rPr>
        <w:t>Appendix IV</w:t>
      </w:r>
      <w:r>
        <w:rPr>
          <w:rFonts w:ascii="Arial" w:cs="Arial" w:eastAsia="Arial" w:hAnsi="Arial"/>
          <w:sz w:val="12"/>
          <w:szCs w:val="12"/>
          <w:color w:val="auto"/>
        </w:rPr>
        <w:t>.</w:t>
      </w:r>
    </w:p>
    <w:p>
      <w:pPr>
        <w:spacing w:after="0" w:line="96" w:lineRule="exact"/>
        <w:rPr>
          <w:rFonts w:ascii="Arial" w:cs="Arial" w:eastAsia="Arial" w:hAnsi="Arial"/>
          <w:sz w:val="12"/>
          <w:szCs w:val="12"/>
          <w:color w:val="auto"/>
        </w:rPr>
      </w:pPr>
    </w:p>
    <w:p>
      <w:pPr>
        <w:ind w:left="1460" w:right="60" w:hanging="767"/>
        <w:spacing w:after="0" w:line="273" w:lineRule="auto"/>
        <w:tabs>
          <w:tab w:leader="none" w:pos="1460" w:val="left"/>
        </w:tabs>
        <w:numPr>
          <w:ilvl w:val="0"/>
          <w:numId w:val="216"/>
        </w:numPr>
        <w:rPr>
          <w:rFonts w:ascii="Arial" w:cs="Arial" w:eastAsia="Arial" w:hAnsi="Arial"/>
          <w:sz w:val="14"/>
          <w:szCs w:val="14"/>
          <w:color w:val="auto"/>
        </w:rPr>
      </w:pPr>
      <w:r>
        <w:rPr>
          <w:rFonts w:ascii="Arial" w:cs="Arial" w:eastAsia="Arial" w:hAnsi="Arial"/>
          <w:sz w:val="14"/>
          <w:szCs w:val="14"/>
          <w:u w:val="single" w:color="auto"/>
          <w:color w:val="auto"/>
        </w:rPr>
        <w:t>Management Discussion</w:t>
      </w:r>
      <w:r>
        <w:rPr>
          <w:rFonts w:ascii="Arial" w:cs="Arial" w:eastAsia="Arial" w:hAnsi="Arial"/>
          <w:sz w:val="14"/>
          <w:szCs w:val="14"/>
          <w:color w:val="auto"/>
        </w:rPr>
        <w:t xml:space="preserve">. Attached hereto as </w:t>
      </w:r>
      <w:r>
        <w:rPr>
          <w:rFonts w:ascii="Arial" w:cs="Arial" w:eastAsia="Arial" w:hAnsi="Arial"/>
          <w:sz w:val="14"/>
          <w:szCs w:val="14"/>
          <w:u w:val="single" w:color="auto"/>
          <w:color w:val="auto"/>
        </w:rPr>
        <w:t>Appendix V</w:t>
      </w:r>
      <w:r>
        <w:rPr>
          <w:rFonts w:ascii="Arial" w:cs="Arial" w:eastAsia="Arial" w:hAnsi="Arial"/>
          <w:sz w:val="14"/>
          <w:szCs w:val="14"/>
          <w:color w:val="auto"/>
        </w:rPr>
        <w:t xml:space="preserve"> is a discussion and analysis prepared by management of the Lead Borrower with respect to the financial statements furnished to the Agent for the [Fiscal Year/Fiscal Quarter] ending ___________.</w:t>
      </w:r>
    </w:p>
    <w:p>
      <w:pPr>
        <w:spacing w:after="0" w:line="363" w:lineRule="exact"/>
        <w:rPr>
          <w:sz w:val="20"/>
          <w:szCs w:val="20"/>
          <w:color w:val="auto"/>
        </w:rPr>
      </w:pPr>
    </w:p>
    <w:p>
      <w:pPr>
        <w:ind w:left="5060"/>
        <w:spacing w:after="0"/>
        <w:rPr>
          <w:sz w:val="20"/>
          <w:szCs w:val="20"/>
          <w:color w:val="auto"/>
        </w:rPr>
      </w:pPr>
      <w:r>
        <w:rPr>
          <w:rFonts w:ascii="Arial" w:cs="Arial" w:eastAsia="Arial" w:hAnsi="Arial"/>
          <w:sz w:val="14"/>
          <w:szCs w:val="14"/>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700"/>
        <w:spacing w:after="0"/>
        <w:rPr>
          <w:sz w:val="20"/>
          <w:szCs w:val="20"/>
          <w:color w:val="auto"/>
        </w:rPr>
      </w:pPr>
      <w:r>
        <w:rPr>
          <w:rFonts w:ascii="Arial" w:cs="Arial" w:eastAsia="Arial" w:hAnsi="Arial"/>
          <w:sz w:val="8"/>
          <w:szCs w:val="8"/>
          <w:color w:val="auto"/>
        </w:rPr>
        <w:t xml:space="preserve">3 </w:t>
      </w:r>
      <w:r>
        <w:rPr>
          <w:rFonts w:ascii="Arial" w:cs="Arial" w:eastAsia="Arial" w:hAnsi="Arial"/>
          <w:sz w:val="12"/>
          <w:szCs w:val="12"/>
          <w:color w:val="auto"/>
        </w:rPr>
        <w:t>Insert this bracketed text if this Compliance Certificate is being delivered with the Quarterly Financial Statements or Monthly Financial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420370</wp:posOffset>
            </wp:positionV>
            <wp:extent cx="7329170" cy="368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760"/>
          </w:cols>
          <w:pgMar w:left="240" w:top="305" w:right="899" w:bottom="1440" w:gutter="0" w:footer="0" w:header="0"/>
        </w:sectPr>
      </w:pPr>
    </w:p>
    <w:bookmarkStart w:id="211" w:name="page212"/>
    <w:bookmarkEnd w:id="211"/>
    <w:p>
      <w:pPr>
        <w:ind w:left="800"/>
        <w:spacing w:after="0"/>
        <w:rPr>
          <w:sz w:val="20"/>
          <w:szCs w:val="20"/>
          <w:color w:val="auto"/>
        </w:rPr>
      </w:pPr>
      <w:r>
        <w:rPr>
          <w:rFonts w:ascii="Arial" w:cs="Arial" w:eastAsia="Arial" w:hAnsi="Arial"/>
          <w:sz w:val="13"/>
          <w:szCs w:val="13"/>
          <w:color w:val="auto"/>
        </w:rPr>
        <w:t>IN WITNESS WHEREOF, a duly authorized and acting Responsible Officer of the Lead Borrower, on behalf of itself and each of the other Loan Parties, has duly</w:t>
      </w:r>
    </w:p>
    <w:p>
      <w:pPr>
        <w:spacing w:after="0" w:line="25" w:lineRule="exact"/>
        <w:rPr>
          <w:sz w:val="20"/>
          <w:szCs w:val="20"/>
          <w:color w:val="auto"/>
        </w:rPr>
      </w:pPr>
    </w:p>
    <w:tbl>
      <w:tblPr>
        <w:tblLayout w:type="fixed"/>
        <w:tblInd w:w="120" w:type="dxa"/>
        <w:tblCellMar>
          <w:top w:w="0" w:type="dxa"/>
          <w:left w:w="0" w:type="dxa"/>
          <w:bottom w:w="0" w:type="dxa"/>
          <w:right w:w="0" w:type="dxa"/>
        </w:tblCellMar>
      </w:tblPr>
      <w:tr>
        <w:trPr>
          <w:trHeight w:val="182"/>
        </w:trPr>
        <w:tc>
          <w:tcPr>
            <w:tcW w:w="3940" w:type="dxa"/>
            <w:vAlign w:val="bottom"/>
          </w:tcPr>
          <w:p>
            <w:pPr>
              <w:spacing w:after="0"/>
              <w:rPr>
                <w:sz w:val="20"/>
                <w:szCs w:val="20"/>
                <w:color w:val="auto"/>
              </w:rPr>
            </w:pPr>
            <w:r>
              <w:rPr>
                <w:rFonts w:ascii="Arial" w:cs="Arial" w:eastAsia="Arial" w:hAnsi="Arial"/>
                <w:sz w:val="14"/>
                <w:szCs w:val="14"/>
                <w:color w:val="auto"/>
              </w:rPr>
              <w:t>executed this Compliance Certificate as of</w:t>
            </w:r>
          </w:p>
        </w:tc>
        <w:tc>
          <w:tcPr>
            <w:tcW w:w="1880" w:type="dxa"/>
            <w:vAlign w:val="bottom"/>
          </w:tcPr>
          <w:p>
            <w:pPr>
              <w:jc w:val="right"/>
              <w:spacing w:after="0"/>
              <w:rPr>
                <w:sz w:val="20"/>
                <w:szCs w:val="20"/>
                <w:color w:val="auto"/>
              </w:rPr>
            </w:pPr>
            <w:r>
              <w:rPr>
                <w:rFonts w:ascii="Arial" w:cs="Arial" w:eastAsia="Arial" w:hAnsi="Arial"/>
                <w:sz w:val="14"/>
                <w:szCs w:val="14"/>
                <w:color w:val="auto"/>
              </w:rPr>
              <w:t>, 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1628140</wp:posOffset>
            </wp:positionH>
            <wp:positionV relativeFrom="paragraph">
              <wp:posOffset>-27940</wp:posOffset>
            </wp:positionV>
            <wp:extent cx="22860"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2860" cy="5715"/>
                    </a:xfrm>
                    <a:prstGeom prst="rect">
                      <a:avLst/>
                    </a:prstGeom>
                    <a:noFill/>
                  </pic:spPr>
                </pic:pic>
              </a:graphicData>
            </a:graphic>
          </wp:anchor>
        </w:drawing>
      </w:r>
    </w:p>
    <w:p>
      <w:pPr>
        <w:spacing w:after="0" w:line="110"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LEAD BORROWER:</w:t>
      </w:r>
    </w:p>
    <w:p>
      <w:pPr>
        <w:spacing w:after="0" w:line="141" w:lineRule="exact"/>
        <w:rPr>
          <w:sz w:val="20"/>
          <w:szCs w:val="20"/>
          <w:color w:val="auto"/>
        </w:rPr>
      </w:pPr>
    </w:p>
    <w:p>
      <w:pPr>
        <w:ind w:left="4740"/>
        <w:spacing w:after="0"/>
        <w:rPr>
          <w:sz w:val="20"/>
          <w:szCs w:val="20"/>
          <w:color w:val="auto"/>
        </w:rPr>
      </w:pPr>
      <w:r>
        <w:rPr>
          <w:rFonts w:ascii="Arial" w:cs="Arial" w:eastAsia="Arial" w:hAnsi="Arial"/>
          <w:sz w:val="14"/>
          <w:szCs w:val="14"/>
          <w:b w:val="1"/>
          <w:bCs w:val="1"/>
          <w:color w:val="auto"/>
        </w:rPr>
        <w:t>DESTINATION XL GROUP, INC.</w:t>
      </w:r>
    </w:p>
    <w:p>
      <w:pPr>
        <w:spacing w:after="0" w:line="167"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By:</w:t>
      </w:r>
    </w:p>
    <w:p>
      <w:pPr>
        <w:spacing w:after="0" w:line="13"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Name:</w:t>
      </w:r>
    </w:p>
    <w:p>
      <w:pPr>
        <w:spacing w:after="0" w:line="1" w:lineRule="exact"/>
        <w:rPr>
          <w:sz w:val="20"/>
          <w:szCs w:val="20"/>
          <w:color w:val="auto"/>
        </w:rPr>
      </w:pPr>
    </w:p>
    <w:p>
      <w:pPr>
        <w:jc w:val="center"/>
        <w:ind w:right="360"/>
        <w:spacing w:after="0"/>
        <w:rPr>
          <w:sz w:val="20"/>
          <w:szCs w:val="20"/>
          <w:color w:val="auto"/>
        </w:rPr>
      </w:pPr>
      <w:r>
        <w:rPr>
          <w:rFonts w:ascii="Arial" w:cs="Arial" w:eastAsia="Arial" w:hAnsi="Arial"/>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2700" w:val="left"/>
        </w:tabs>
        <w:rPr>
          <w:sz w:val="20"/>
          <w:szCs w:val="20"/>
          <w:color w:val="auto"/>
        </w:rPr>
      </w:pPr>
      <w:r>
        <w:rPr>
          <w:rFonts w:ascii="Arial" w:cs="Arial" w:eastAsia="Arial" w:hAnsi="Arial"/>
          <w:sz w:val="10"/>
          <w:szCs w:val="10"/>
          <w:color w:val="auto"/>
        </w:rPr>
        <w:t>DB1/ 97585183.1</w:t>
      </w:r>
      <w:r>
        <w:rPr>
          <w:sz w:val="20"/>
          <w:szCs w:val="20"/>
          <w:color w:val="auto"/>
        </w:rPr>
        <w:tab/>
      </w:r>
      <w:r>
        <w:rPr>
          <w:rFonts w:ascii="Arial" w:cs="Arial" w:eastAsia="Arial" w:hAnsi="Arial"/>
          <w:sz w:val="12"/>
          <w:szCs w:val="12"/>
          <w:color w:val="auto"/>
        </w:rPr>
        <w:t>Signature Page to Compliance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257810</wp:posOffset>
            </wp:positionV>
            <wp:extent cx="7329170" cy="368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160"/>
          </w:cols>
          <w:pgMar w:left="820" w:top="305" w:right="919" w:bottom="1440" w:gutter="0" w:footer="0" w:header="0"/>
        </w:sectPr>
      </w:pPr>
    </w:p>
    <w:bookmarkStart w:id="212" w:name="page213"/>
    <w:bookmarkEnd w:id="212"/>
    <w:p>
      <w:pPr>
        <w:jc w:val="center"/>
        <w:ind w:right="-59"/>
        <w:spacing w:after="0"/>
        <w:rPr>
          <w:sz w:val="20"/>
          <w:szCs w:val="20"/>
          <w:color w:val="auto"/>
        </w:rPr>
      </w:pPr>
      <w:r>
        <w:rPr>
          <w:rFonts w:ascii="Arial" w:cs="Arial" w:eastAsia="Arial" w:hAnsi="Arial"/>
          <w:sz w:val="14"/>
          <w:szCs w:val="14"/>
          <w:u w:val="single" w:color="auto"/>
          <w:color w:val="auto"/>
        </w:rPr>
        <w:t>APPENDIX I</w:t>
      </w:r>
    </w:p>
    <w:p>
      <w:pPr>
        <w:spacing w:after="0" w:line="145" w:lineRule="exact"/>
        <w:rPr>
          <w:sz w:val="20"/>
          <w:szCs w:val="20"/>
          <w:color w:val="auto"/>
        </w:rPr>
      </w:pPr>
    </w:p>
    <w:p>
      <w:pPr>
        <w:ind w:left="700" w:firstLine="675"/>
        <w:spacing w:after="0" w:line="273" w:lineRule="auto"/>
        <w:rPr>
          <w:sz w:val="20"/>
          <w:szCs w:val="20"/>
          <w:color w:val="auto"/>
        </w:rPr>
      </w:pPr>
      <w:r>
        <w:rPr>
          <w:rFonts w:ascii="Arial" w:cs="Arial" w:eastAsia="Arial" w:hAnsi="Arial"/>
          <w:sz w:val="14"/>
          <w:szCs w:val="14"/>
          <w:color w:val="auto"/>
        </w:rPr>
        <w:t>Except as set forth below, no Default or Event of Default has occurred. [If a Default or Event of Default has occurred, the following describes the nature of the Default or Event of Default in reasonable detail and the steps, if any, being taken or contemplated by the Loan Parties to be taken on account thereof.]</w:t>
      </w:r>
    </w:p>
    <w:p>
      <w:pPr>
        <w:spacing w:after="0" w:line="266" w:lineRule="exact"/>
        <w:rPr>
          <w:sz w:val="20"/>
          <w:szCs w:val="20"/>
          <w:color w:val="auto"/>
        </w:rPr>
      </w:pPr>
    </w:p>
    <w:p>
      <w:pPr>
        <w:spacing w:after="0"/>
        <w:rPr>
          <w:sz w:val="20"/>
          <w:szCs w:val="20"/>
          <w:color w:val="auto"/>
        </w:rPr>
      </w:pPr>
      <w:r>
        <w:rPr>
          <w:rFonts w:ascii="Arial" w:cs="Arial" w:eastAsia="Arial" w:hAnsi="Arial"/>
          <w:sz w:val="10"/>
          <w:szCs w:val="10"/>
          <w:color w:val="auto"/>
        </w:rPr>
        <w:t>DB1/ 97585183.1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242570</wp:posOffset>
            </wp:positionV>
            <wp:extent cx="7329170" cy="368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740"/>
          </w:cols>
          <w:pgMar w:left="240" w:top="306" w:right="919" w:bottom="1440" w:gutter="0" w:footer="0" w:header="0"/>
        </w:sectPr>
      </w:pPr>
    </w:p>
    <w:bookmarkStart w:id="213" w:name="page214"/>
    <w:bookmarkEnd w:id="213"/>
    <w:p>
      <w:pPr>
        <w:jc w:val="center"/>
        <w:ind w:right="-1220"/>
        <w:spacing w:after="0"/>
        <w:rPr>
          <w:sz w:val="20"/>
          <w:szCs w:val="20"/>
          <w:color w:val="auto"/>
        </w:rPr>
      </w:pPr>
      <w:r>
        <w:rPr>
          <w:rFonts w:ascii="Arial" w:cs="Arial" w:eastAsia="Arial" w:hAnsi="Arial"/>
          <w:sz w:val="14"/>
          <w:szCs w:val="14"/>
          <w:u w:val="single" w:color="auto"/>
          <w:color w:val="auto"/>
        </w:rPr>
        <w:t>APPENDIX II</w:t>
      </w:r>
    </w:p>
    <w:p>
      <w:pPr>
        <w:spacing w:after="0" w:line="145" w:lineRule="exact"/>
        <w:rPr>
          <w:sz w:val="20"/>
          <w:szCs w:val="20"/>
          <w:color w:val="auto"/>
        </w:rPr>
      </w:pPr>
    </w:p>
    <w:p>
      <w:pPr>
        <w:jc w:val="center"/>
        <w:ind w:right="-1220"/>
        <w:spacing w:after="0"/>
        <w:rPr>
          <w:sz w:val="20"/>
          <w:szCs w:val="20"/>
          <w:color w:val="auto"/>
        </w:rPr>
      </w:pPr>
      <w:r>
        <w:rPr>
          <w:rFonts w:ascii="Arial" w:cs="Arial" w:eastAsia="Arial" w:hAnsi="Arial"/>
          <w:sz w:val="14"/>
          <w:szCs w:val="14"/>
          <w:color w:val="auto"/>
        </w:rPr>
        <w:t>Financial Covenants</w:t>
      </w:r>
    </w:p>
    <w:p>
      <w:pPr>
        <w:spacing w:after="0" w:line="163" w:lineRule="exact"/>
        <w:rPr>
          <w:sz w:val="20"/>
          <w:szCs w:val="20"/>
          <w:color w:val="auto"/>
        </w:rPr>
      </w:pPr>
    </w:p>
    <w:p>
      <w:pPr>
        <w:ind w:left="700"/>
        <w:spacing w:after="0"/>
        <w:rPr>
          <w:sz w:val="20"/>
          <w:szCs w:val="20"/>
          <w:color w:val="auto"/>
        </w:rPr>
      </w:pPr>
      <w:r>
        <w:rPr>
          <w:rFonts w:ascii="Arial" w:cs="Arial" w:eastAsia="Arial" w:hAnsi="Arial"/>
          <w:sz w:val="13"/>
          <w:szCs w:val="13"/>
          <w:color w:val="auto"/>
        </w:rPr>
        <w:t xml:space="preserve">A. </w:t>
      </w:r>
      <w:r>
        <w:rPr>
          <w:rFonts w:ascii="Arial" w:cs="Arial" w:eastAsia="Arial" w:hAnsi="Arial"/>
          <w:sz w:val="13"/>
          <w:szCs w:val="13"/>
          <w:u w:val="single" w:color="auto"/>
          <w:color w:val="auto"/>
        </w:rPr>
        <w:t>Consolidated Fixed Charge Coverage Ratio</w:t>
      </w:r>
      <w:r>
        <w:rPr>
          <w:rFonts w:ascii="Arial" w:cs="Arial" w:eastAsia="Arial" w:hAnsi="Arial"/>
          <w:sz w:val="13"/>
          <w:szCs w:val="13"/>
          <w:color w:val="auto"/>
        </w:rPr>
        <w:t>. The following is a reasonably detailed calculation of the Consolidated Fixed Charge Coverage Ratio:</w:t>
      </w:r>
    </w:p>
    <w:p>
      <w:pPr>
        <w:spacing w:after="0" w:line="157" w:lineRule="exact"/>
        <w:rPr>
          <w:sz w:val="20"/>
          <w:szCs w:val="20"/>
          <w:color w:val="auto"/>
        </w:rPr>
      </w:pPr>
    </w:p>
    <w:p>
      <w:pPr>
        <w:ind w:left="1640" w:hanging="940"/>
        <w:spacing w:after="0"/>
        <w:tabs>
          <w:tab w:leader="none" w:pos="1640" w:val="left"/>
        </w:tabs>
        <w:numPr>
          <w:ilvl w:val="0"/>
          <w:numId w:val="217"/>
        </w:numPr>
        <w:rPr>
          <w:rFonts w:ascii="Arial" w:cs="Arial" w:eastAsia="Arial" w:hAnsi="Arial"/>
          <w:sz w:val="14"/>
          <w:szCs w:val="14"/>
          <w:color w:val="auto"/>
        </w:rPr>
      </w:pPr>
      <w:r>
        <w:rPr>
          <w:rFonts w:ascii="Arial" w:cs="Arial" w:eastAsia="Arial" w:hAnsi="Arial"/>
          <w:sz w:val="14"/>
          <w:szCs w:val="14"/>
          <w:color w:val="auto"/>
        </w:rPr>
        <w:t>Consolidated EBITDA for such period (all calculated on a Consolidated basis in accordance with GAAP)</w:t>
      </w:r>
      <w:r>
        <w:rPr>
          <w:rFonts w:ascii="Arial" w:cs="Arial" w:eastAsia="Arial" w:hAnsi="Arial"/>
          <w:sz w:val="9"/>
          <w:szCs w:val="9"/>
          <w:color w:val="auto"/>
        </w:rPr>
        <w:t>4</w:t>
      </w:r>
      <w:r>
        <w:rPr>
          <w:rFonts w:ascii="Arial" w:cs="Arial" w:eastAsia="Arial" w:hAnsi="Arial"/>
          <w:sz w:val="14"/>
          <w:szCs w:val="14"/>
          <w:color w:val="auto"/>
        </w:rPr>
        <w:t>:</w:t>
      </w:r>
    </w:p>
    <w:p>
      <w:pPr>
        <w:spacing w:after="0" w:line="145" w:lineRule="exact"/>
        <w:rPr>
          <w:rFonts w:ascii="Arial" w:cs="Arial" w:eastAsia="Arial" w:hAnsi="Arial"/>
          <w:sz w:val="14"/>
          <w:szCs w:val="14"/>
          <w:color w:val="auto"/>
        </w:rPr>
      </w:pPr>
    </w:p>
    <w:p>
      <w:pPr>
        <w:ind w:left="2240" w:hanging="773"/>
        <w:spacing w:after="0"/>
        <w:tabs>
          <w:tab w:leader="none" w:pos="2240" w:val="left"/>
        </w:tabs>
        <w:numPr>
          <w:ilvl w:val="1"/>
          <w:numId w:val="217"/>
        </w:numPr>
        <w:rPr>
          <w:rFonts w:ascii="Arial" w:cs="Arial" w:eastAsia="Arial" w:hAnsi="Arial"/>
          <w:sz w:val="14"/>
          <w:szCs w:val="14"/>
          <w:color w:val="auto"/>
        </w:rPr>
      </w:pPr>
      <w:r>
        <w:rPr>
          <w:rFonts w:ascii="Arial" w:cs="Arial" w:eastAsia="Arial" w:hAnsi="Arial"/>
          <w:sz w:val="14"/>
          <w:szCs w:val="14"/>
          <w:color w:val="auto"/>
        </w:rPr>
        <w:t>Consolidated Net Income of the Lead Borrower and its Subsidiaries:</w:t>
      </w:r>
    </w:p>
    <w:p>
      <w:pPr>
        <w:spacing w:after="0" w:line="100" w:lineRule="exact"/>
        <w:rPr>
          <w:rFonts w:ascii="Arial" w:cs="Arial" w:eastAsia="Arial" w:hAnsi="Arial"/>
          <w:sz w:val="14"/>
          <w:szCs w:val="14"/>
          <w:color w:val="auto"/>
        </w:rPr>
      </w:pPr>
    </w:p>
    <w:p>
      <w:pPr>
        <w:ind w:left="2240"/>
        <w:spacing w:after="0"/>
        <w:rPr>
          <w:rFonts w:ascii="Arial" w:cs="Arial" w:eastAsia="Arial" w:hAnsi="Arial"/>
          <w:sz w:val="14"/>
          <w:szCs w:val="14"/>
          <w:color w:val="auto"/>
        </w:rPr>
      </w:pPr>
      <w:r>
        <w:rPr>
          <w:rFonts w:ascii="Arial" w:cs="Arial" w:eastAsia="Arial" w:hAnsi="Arial"/>
          <w:sz w:val="14"/>
          <w:szCs w:val="14"/>
          <w:u w:val="single" w:color="auto"/>
          <w:color w:val="auto"/>
        </w:rPr>
        <w:t>Plus</w:t>
      </w:r>
      <w:r>
        <w:rPr>
          <w:rFonts w:ascii="Arial" w:cs="Arial" w:eastAsia="Arial" w:hAnsi="Arial"/>
          <w:sz w:val="14"/>
          <w:szCs w:val="14"/>
          <w:color w:val="auto"/>
        </w:rPr>
        <w:t xml:space="preserve"> the following, to the</w:t>
      </w:r>
    </w:p>
    <w:p>
      <w:pPr>
        <w:spacing w:after="0" w:line="4" w:lineRule="exact"/>
        <w:rPr>
          <w:rFonts w:ascii="Arial" w:cs="Arial" w:eastAsia="Arial" w:hAnsi="Arial"/>
          <w:sz w:val="14"/>
          <w:szCs w:val="14"/>
          <w:color w:val="auto"/>
        </w:rPr>
      </w:pPr>
    </w:p>
    <w:p>
      <w:pPr>
        <w:ind w:left="2240"/>
        <w:spacing w:after="0"/>
        <w:rPr>
          <w:rFonts w:ascii="Arial" w:cs="Arial" w:eastAsia="Arial" w:hAnsi="Arial"/>
          <w:sz w:val="14"/>
          <w:szCs w:val="14"/>
          <w:color w:val="auto"/>
        </w:rPr>
      </w:pPr>
      <w:r>
        <w:rPr>
          <w:rFonts w:ascii="Arial" w:cs="Arial" w:eastAsia="Arial" w:hAnsi="Arial"/>
          <w:sz w:val="14"/>
          <w:szCs w:val="14"/>
          <w:color w:val="auto"/>
        </w:rPr>
        <w:t>extent deducted in determining Consolidated Net Income:</w:t>
      </w:r>
    </w:p>
    <w:p>
      <w:pPr>
        <w:spacing w:after="0" w:line="106" w:lineRule="exact"/>
        <w:rPr>
          <w:rFonts w:ascii="Arial" w:cs="Arial" w:eastAsia="Arial" w:hAnsi="Arial"/>
          <w:sz w:val="14"/>
          <w:szCs w:val="14"/>
          <w:color w:val="auto"/>
        </w:rPr>
      </w:pPr>
    </w:p>
    <w:p>
      <w:pPr>
        <w:ind w:left="2240" w:hanging="773"/>
        <w:spacing w:after="0"/>
        <w:tabs>
          <w:tab w:leader="none" w:pos="2240" w:val="left"/>
        </w:tabs>
        <w:numPr>
          <w:ilvl w:val="1"/>
          <w:numId w:val="217"/>
        </w:numPr>
        <w:rPr>
          <w:rFonts w:ascii="Arial" w:cs="Arial" w:eastAsia="Arial" w:hAnsi="Arial"/>
          <w:sz w:val="14"/>
          <w:szCs w:val="14"/>
          <w:color w:val="auto"/>
        </w:rPr>
      </w:pPr>
      <w:r>
        <w:rPr>
          <w:rFonts w:ascii="Arial" w:cs="Arial" w:eastAsia="Arial" w:hAnsi="Arial"/>
          <w:sz w:val="14"/>
          <w:szCs w:val="14"/>
          <w:color w:val="auto"/>
        </w:rPr>
        <w:t>Consolidated Interest Charges:</w:t>
      </w:r>
    </w:p>
    <w:p>
      <w:pPr>
        <w:spacing w:after="0" w:line="118" w:lineRule="exact"/>
        <w:rPr>
          <w:rFonts w:ascii="Arial" w:cs="Arial" w:eastAsia="Arial" w:hAnsi="Arial"/>
          <w:sz w:val="14"/>
          <w:szCs w:val="14"/>
          <w:color w:val="auto"/>
        </w:rPr>
      </w:pPr>
    </w:p>
    <w:p>
      <w:pPr>
        <w:ind w:left="2240" w:right="4779" w:hanging="773"/>
        <w:spacing w:after="0" w:line="273" w:lineRule="auto"/>
        <w:tabs>
          <w:tab w:leader="none" w:pos="2240" w:val="left"/>
        </w:tabs>
        <w:numPr>
          <w:ilvl w:val="1"/>
          <w:numId w:val="217"/>
        </w:numPr>
        <w:rPr>
          <w:rFonts w:ascii="Arial" w:cs="Arial" w:eastAsia="Arial" w:hAnsi="Arial"/>
          <w:sz w:val="14"/>
          <w:szCs w:val="14"/>
          <w:color w:val="auto"/>
        </w:rPr>
      </w:pPr>
      <w:r>
        <w:rPr>
          <w:rFonts w:ascii="Arial" w:cs="Arial" w:eastAsia="Arial" w:hAnsi="Arial"/>
          <w:sz w:val="14"/>
          <w:szCs w:val="14"/>
          <w:color w:val="auto"/>
        </w:rPr>
        <w:t>the provision for Federal, state, local and foreign income Taxes:</w:t>
      </w:r>
    </w:p>
    <w:p>
      <w:pPr>
        <w:spacing w:after="0" w:line="66" w:lineRule="exact"/>
        <w:rPr>
          <w:rFonts w:ascii="Arial" w:cs="Arial" w:eastAsia="Arial" w:hAnsi="Arial"/>
          <w:sz w:val="14"/>
          <w:szCs w:val="14"/>
          <w:color w:val="auto"/>
        </w:rPr>
      </w:pPr>
    </w:p>
    <w:p>
      <w:pPr>
        <w:ind w:left="2240" w:hanging="773"/>
        <w:spacing w:after="0"/>
        <w:tabs>
          <w:tab w:leader="none" w:pos="2240" w:val="left"/>
        </w:tabs>
        <w:numPr>
          <w:ilvl w:val="1"/>
          <w:numId w:val="217"/>
        </w:numPr>
        <w:rPr>
          <w:rFonts w:ascii="Arial" w:cs="Arial" w:eastAsia="Arial" w:hAnsi="Arial"/>
          <w:sz w:val="14"/>
          <w:szCs w:val="14"/>
          <w:color w:val="auto"/>
        </w:rPr>
      </w:pPr>
      <w:r>
        <w:rPr>
          <w:rFonts w:ascii="Arial" w:cs="Arial" w:eastAsia="Arial" w:hAnsi="Arial"/>
          <w:sz w:val="14"/>
          <w:szCs w:val="14"/>
          <w:color w:val="auto"/>
        </w:rPr>
        <w:t>depreciation and amortization expense:</w:t>
      </w:r>
    </w:p>
    <w:p>
      <w:pPr>
        <w:spacing w:after="0" w:line="136" w:lineRule="exact"/>
        <w:rPr>
          <w:rFonts w:ascii="Arial" w:cs="Arial" w:eastAsia="Arial" w:hAnsi="Arial"/>
          <w:sz w:val="14"/>
          <w:szCs w:val="14"/>
          <w:color w:val="auto"/>
        </w:rPr>
      </w:pPr>
    </w:p>
    <w:p>
      <w:pPr>
        <w:ind w:left="2240" w:right="3259" w:hanging="773"/>
        <w:spacing w:after="0" w:line="243" w:lineRule="auto"/>
        <w:tabs>
          <w:tab w:leader="none" w:pos="2240" w:val="left"/>
        </w:tabs>
        <w:numPr>
          <w:ilvl w:val="1"/>
          <w:numId w:val="217"/>
        </w:numPr>
        <w:rPr>
          <w:rFonts w:ascii="Arial" w:cs="Arial" w:eastAsia="Arial" w:hAnsi="Arial"/>
          <w:sz w:val="14"/>
          <w:szCs w:val="14"/>
          <w:color w:val="auto"/>
        </w:rPr>
      </w:pPr>
      <w:r>
        <w:rPr>
          <w:rFonts w:ascii="Arial" w:cs="Arial" w:eastAsia="Arial" w:hAnsi="Arial"/>
          <w:sz w:val="14"/>
          <w:szCs w:val="14"/>
          <w:color w:val="auto"/>
        </w:rPr>
        <w:t>other non-recurring expenses reducing such Consolidated Net Income which do not represent</w:t>
      </w:r>
    </w:p>
    <w:p>
      <w:pPr>
        <w:spacing w:after="0" w:line="1" w:lineRule="exact"/>
        <w:rPr>
          <w:rFonts w:ascii="Arial" w:cs="Arial" w:eastAsia="Arial" w:hAnsi="Arial"/>
          <w:sz w:val="14"/>
          <w:szCs w:val="14"/>
          <w:color w:val="auto"/>
        </w:rPr>
      </w:pPr>
    </w:p>
    <w:p>
      <w:pPr>
        <w:ind w:left="2240"/>
        <w:spacing w:after="0"/>
        <w:rPr>
          <w:rFonts w:ascii="Arial" w:cs="Arial" w:eastAsia="Arial" w:hAnsi="Arial"/>
          <w:sz w:val="14"/>
          <w:szCs w:val="14"/>
          <w:color w:val="auto"/>
        </w:rPr>
      </w:pPr>
      <w:r>
        <w:rPr>
          <w:rFonts w:ascii="Arial" w:cs="Arial" w:eastAsia="Arial" w:hAnsi="Arial"/>
          <w:sz w:val="14"/>
          <w:szCs w:val="14"/>
          <w:color w:val="auto"/>
        </w:rPr>
        <w:t>a cash item in such period or any future period:</w:t>
      </w:r>
    </w:p>
    <w:p>
      <w:pPr>
        <w:spacing w:after="0" w:line="83" w:lineRule="exact"/>
        <w:rPr>
          <w:rFonts w:ascii="Arial" w:cs="Arial" w:eastAsia="Arial" w:hAnsi="Arial"/>
          <w:sz w:val="14"/>
          <w:szCs w:val="14"/>
          <w:color w:val="auto"/>
        </w:rPr>
      </w:pPr>
    </w:p>
    <w:p>
      <w:pPr>
        <w:ind w:left="2240"/>
        <w:spacing w:after="0"/>
        <w:rPr>
          <w:rFonts w:ascii="Arial" w:cs="Arial" w:eastAsia="Arial" w:hAnsi="Arial"/>
          <w:sz w:val="14"/>
          <w:szCs w:val="14"/>
          <w:color w:val="auto"/>
        </w:rPr>
      </w:pPr>
      <w:r>
        <w:rPr>
          <w:rFonts w:ascii="Arial" w:cs="Arial" w:eastAsia="Arial" w:hAnsi="Arial"/>
          <w:sz w:val="14"/>
          <w:szCs w:val="14"/>
          <w:u w:val="single" w:color="auto"/>
          <w:color w:val="auto"/>
        </w:rPr>
        <w:t>Minus</w:t>
      </w:r>
      <w:r>
        <w:rPr>
          <w:rFonts w:ascii="Arial" w:cs="Arial" w:eastAsia="Arial" w:hAnsi="Arial"/>
          <w:sz w:val="14"/>
          <w:szCs w:val="14"/>
          <w:color w:val="auto"/>
        </w:rPr>
        <w:t xml:space="preserve"> the following, to the</w:t>
      </w:r>
    </w:p>
    <w:p>
      <w:pPr>
        <w:ind w:left="2240"/>
        <w:spacing w:after="0"/>
        <w:rPr>
          <w:rFonts w:ascii="Arial" w:cs="Arial" w:eastAsia="Arial" w:hAnsi="Arial"/>
          <w:sz w:val="14"/>
          <w:szCs w:val="14"/>
          <w:color w:val="auto"/>
        </w:rPr>
      </w:pPr>
      <w:r>
        <w:rPr>
          <w:rFonts w:ascii="Arial" w:cs="Arial" w:eastAsia="Arial" w:hAnsi="Arial"/>
          <w:sz w:val="14"/>
          <w:szCs w:val="14"/>
          <w:color w:val="auto"/>
        </w:rPr>
        <w:t>extent included in Consolidated Net Income:</w:t>
      </w:r>
    </w:p>
    <w:p>
      <w:pPr>
        <w:spacing w:after="0" w:line="106" w:lineRule="exact"/>
        <w:rPr>
          <w:rFonts w:ascii="Arial" w:cs="Arial" w:eastAsia="Arial" w:hAnsi="Arial"/>
          <w:sz w:val="14"/>
          <w:szCs w:val="14"/>
          <w:color w:val="auto"/>
        </w:rPr>
      </w:pPr>
    </w:p>
    <w:p>
      <w:pPr>
        <w:ind w:left="2240" w:hanging="773"/>
        <w:spacing w:after="0"/>
        <w:tabs>
          <w:tab w:leader="none" w:pos="2240" w:val="left"/>
        </w:tabs>
        <w:numPr>
          <w:ilvl w:val="1"/>
          <w:numId w:val="217"/>
        </w:numPr>
        <w:rPr>
          <w:rFonts w:ascii="Arial" w:cs="Arial" w:eastAsia="Arial" w:hAnsi="Arial"/>
          <w:sz w:val="14"/>
          <w:szCs w:val="14"/>
          <w:color w:val="auto"/>
        </w:rPr>
      </w:pPr>
      <w:r>
        <w:rPr>
          <w:rFonts w:ascii="Arial" w:cs="Arial" w:eastAsia="Arial" w:hAnsi="Arial"/>
          <w:sz w:val="14"/>
          <w:szCs w:val="14"/>
          <w:color w:val="auto"/>
        </w:rPr>
        <w:t>Federal, state, local and foreign income tax credits:</w:t>
      </w:r>
    </w:p>
    <w:p>
      <w:pPr>
        <w:spacing w:after="0" w:line="118" w:lineRule="exact"/>
        <w:rPr>
          <w:rFonts w:ascii="Arial" w:cs="Arial" w:eastAsia="Arial" w:hAnsi="Arial"/>
          <w:sz w:val="14"/>
          <w:szCs w:val="14"/>
          <w:color w:val="auto"/>
        </w:rPr>
      </w:pPr>
    </w:p>
    <w:p>
      <w:pPr>
        <w:ind w:left="2240" w:hanging="773"/>
        <w:spacing w:after="0"/>
        <w:tabs>
          <w:tab w:leader="none" w:pos="2240" w:val="left"/>
        </w:tabs>
        <w:numPr>
          <w:ilvl w:val="1"/>
          <w:numId w:val="217"/>
        </w:numPr>
        <w:rPr>
          <w:rFonts w:ascii="Arial" w:cs="Arial" w:eastAsia="Arial" w:hAnsi="Arial"/>
          <w:sz w:val="14"/>
          <w:szCs w:val="14"/>
          <w:color w:val="auto"/>
        </w:rPr>
      </w:pPr>
      <w:r>
        <w:rPr>
          <w:rFonts w:ascii="Arial" w:cs="Arial" w:eastAsia="Arial" w:hAnsi="Arial"/>
          <w:sz w:val="14"/>
          <w:szCs w:val="14"/>
          <w:color w:val="auto"/>
        </w:rPr>
        <w:t>all non-cash items increasing Consolidated Net Income:</w:t>
      </w:r>
    </w:p>
    <w:p>
      <w:pPr>
        <w:spacing w:after="0" w:line="109" w:lineRule="exact"/>
        <w:rPr>
          <w:rFonts w:ascii="Arial" w:cs="Arial" w:eastAsia="Arial" w:hAnsi="Arial"/>
          <w:sz w:val="14"/>
          <w:szCs w:val="14"/>
          <w:color w:val="auto"/>
        </w:rPr>
      </w:pPr>
    </w:p>
    <w:p>
      <w:pPr>
        <w:ind w:left="2240" w:right="4739" w:hanging="773"/>
        <w:spacing w:after="0" w:line="269" w:lineRule="auto"/>
        <w:tabs>
          <w:tab w:leader="none" w:pos="2229" w:val="left"/>
        </w:tabs>
        <w:numPr>
          <w:ilvl w:val="1"/>
          <w:numId w:val="217"/>
        </w:numPr>
        <w:rPr>
          <w:rFonts w:ascii="Arial" w:cs="Arial" w:eastAsia="Arial" w:hAnsi="Arial"/>
          <w:sz w:val="13"/>
          <w:szCs w:val="13"/>
          <w:color w:val="auto"/>
        </w:rPr>
      </w:pPr>
      <w:r>
        <w:rPr>
          <w:rFonts w:ascii="Arial" w:cs="Arial" w:eastAsia="Arial" w:hAnsi="Arial"/>
          <w:sz w:val="13"/>
          <w:szCs w:val="13"/>
          <w:color w:val="auto"/>
        </w:rPr>
        <w:t>Consolidated EBITDA [The sum of Lines A.1(a) through A.1(e), minus the sum of Lines A.1(f) through A.1(g)]:</w:t>
      </w:r>
    </w:p>
    <w:p>
      <w:pPr>
        <w:spacing w:after="0" w:line="79" w:lineRule="exact"/>
        <w:rPr>
          <w:rFonts w:ascii="Arial" w:cs="Arial" w:eastAsia="Arial" w:hAnsi="Arial"/>
          <w:sz w:val="13"/>
          <w:szCs w:val="13"/>
          <w:color w:val="auto"/>
        </w:rPr>
      </w:pPr>
    </w:p>
    <w:p>
      <w:pPr>
        <w:ind w:left="1460" w:hanging="767"/>
        <w:spacing w:after="0"/>
        <w:tabs>
          <w:tab w:leader="none" w:pos="1460" w:val="left"/>
        </w:tabs>
        <w:numPr>
          <w:ilvl w:val="0"/>
          <w:numId w:val="217"/>
        </w:numPr>
        <w:rPr>
          <w:rFonts w:ascii="Arial" w:cs="Arial" w:eastAsia="Arial" w:hAnsi="Arial"/>
          <w:sz w:val="14"/>
          <w:szCs w:val="14"/>
          <w:color w:val="auto"/>
        </w:rPr>
      </w:pPr>
      <w:r>
        <w:rPr>
          <w:rFonts w:ascii="Arial" w:cs="Arial" w:eastAsia="Arial" w:hAnsi="Arial"/>
          <w:sz w:val="14"/>
          <w:szCs w:val="14"/>
          <w:u w:val="single" w:color="auto"/>
          <w:color w:val="auto"/>
        </w:rPr>
        <w:t>Minus the following</w:t>
      </w:r>
      <w:r>
        <w:rPr>
          <w:rFonts w:ascii="Arial" w:cs="Arial" w:eastAsia="Arial" w:hAnsi="Arial"/>
          <w:sz w:val="14"/>
          <w:szCs w:val="14"/>
          <w:color w:val="auto"/>
        </w:rPr>
        <w:t>:</w:t>
      </w:r>
    </w:p>
    <w:p>
      <w:pPr>
        <w:spacing w:after="0" w:line="136" w:lineRule="exact"/>
        <w:rPr>
          <w:rFonts w:ascii="Arial" w:cs="Arial" w:eastAsia="Arial" w:hAnsi="Arial"/>
          <w:sz w:val="14"/>
          <w:szCs w:val="14"/>
          <w:color w:val="auto"/>
        </w:rPr>
      </w:pPr>
    </w:p>
    <w:p>
      <w:pPr>
        <w:ind w:left="2240" w:right="5359" w:hanging="773"/>
        <w:spacing w:after="0" w:line="359" w:lineRule="auto"/>
        <w:tabs>
          <w:tab w:leader="none" w:pos="2229" w:val="left"/>
        </w:tabs>
        <w:numPr>
          <w:ilvl w:val="1"/>
          <w:numId w:val="217"/>
        </w:numPr>
        <w:rPr>
          <w:rFonts w:ascii="Arial" w:cs="Arial" w:eastAsia="Arial" w:hAnsi="Arial"/>
          <w:sz w:val="12"/>
          <w:szCs w:val="12"/>
          <w:color w:val="auto"/>
        </w:rPr>
      </w:pPr>
      <w:r>
        <w:rPr>
          <w:rFonts w:ascii="Arial" w:cs="Arial" w:eastAsia="Arial" w:hAnsi="Arial"/>
          <w:sz w:val="12"/>
          <w:szCs w:val="12"/>
          <w:color w:val="auto"/>
        </w:rPr>
        <w:t>Capital Expenditures made during such period (other than Financed Capital Expenditures):</w:t>
      </w:r>
    </w:p>
    <w:p>
      <w:pPr>
        <w:spacing w:after="0" w:line="55" w:lineRule="exact"/>
        <w:rPr>
          <w:rFonts w:ascii="Arial" w:cs="Arial" w:eastAsia="Arial" w:hAnsi="Arial"/>
          <w:sz w:val="12"/>
          <w:szCs w:val="12"/>
          <w:color w:val="auto"/>
        </w:rPr>
      </w:pPr>
    </w:p>
    <w:p>
      <w:pPr>
        <w:ind w:left="2240" w:right="3619" w:hanging="773"/>
        <w:spacing w:after="0" w:line="250" w:lineRule="auto"/>
        <w:tabs>
          <w:tab w:leader="none" w:pos="2240" w:val="left"/>
        </w:tabs>
        <w:numPr>
          <w:ilvl w:val="1"/>
          <w:numId w:val="217"/>
        </w:numPr>
        <w:rPr>
          <w:rFonts w:ascii="Arial" w:cs="Arial" w:eastAsia="Arial" w:hAnsi="Arial"/>
          <w:sz w:val="14"/>
          <w:szCs w:val="14"/>
          <w:color w:val="auto"/>
        </w:rPr>
      </w:pPr>
      <w:r>
        <w:rPr>
          <w:rFonts w:ascii="Arial" w:cs="Arial" w:eastAsia="Arial" w:hAnsi="Arial"/>
          <w:sz w:val="14"/>
          <w:szCs w:val="14"/>
          <w:color w:val="auto"/>
        </w:rPr>
        <w:t>the aggregate amount of Federal, state, local and foreign income taxes paid in cash</w:t>
      </w:r>
    </w:p>
    <w:p>
      <w:pPr>
        <w:ind w:left="2240"/>
        <w:spacing w:after="0"/>
        <w:rPr>
          <w:rFonts w:ascii="Arial" w:cs="Arial" w:eastAsia="Arial" w:hAnsi="Arial"/>
          <w:sz w:val="14"/>
          <w:szCs w:val="14"/>
          <w:color w:val="auto"/>
        </w:rPr>
      </w:pPr>
      <w:r>
        <w:rPr>
          <w:rFonts w:ascii="Arial" w:cs="Arial" w:eastAsia="Arial" w:hAnsi="Arial"/>
          <w:sz w:val="14"/>
          <w:szCs w:val="14"/>
          <w:color w:val="auto"/>
        </w:rPr>
        <w:t>(but not less than zero):</w:t>
      </w:r>
    </w:p>
    <w:p>
      <w:pPr>
        <w:spacing w:after="0" w:line="115" w:lineRule="exact"/>
        <w:rPr>
          <w:rFonts w:ascii="Arial" w:cs="Arial" w:eastAsia="Arial" w:hAnsi="Arial"/>
          <w:sz w:val="14"/>
          <w:szCs w:val="14"/>
          <w:color w:val="auto"/>
        </w:rPr>
      </w:pPr>
    </w:p>
    <w:p>
      <w:pPr>
        <w:ind w:left="1460" w:hanging="767"/>
        <w:spacing w:after="0"/>
        <w:tabs>
          <w:tab w:leader="none" w:pos="1460" w:val="left"/>
        </w:tabs>
        <w:numPr>
          <w:ilvl w:val="0"/>
          <w:numId w:val="217"/>
        </w:numPr>
        <w:rPr>
          <w:rFonts w:ascii="Arial" w:cs="Arial" w:eastAsia="Arial" w:hAnsi="Arial"/>
          <w:sz w:val="14"/>
          <w:szCs w:val="14"/>
          <w:color w:val="auto"/>
        </w:rPr>
      </w:pPr>
      <w:r>
        <w:rPr>
          <w:rFonts w:ascii="Arial" w:cs="Arial" w:eastAsia="Arial" w:hAnsi="Arial"/>
          <w:sz w:val="14"/>
          <w:szCs w:val="14"/>
          <w:color w:val="auto"/>
        </w:rPr>
        <w:t>Line A.1(h), minus the sum of Lines A.2(a) and A.2(b):</w:t>
      </w:r>
    </w:p>
    <w:p>
      <w:pPr>
        <w:spacing w:after="0" w:line="34" w:lineRule="exact"/>
        <w:rPr>
          <w:sz w:val="20"/>
          <w:szCs w:val="20"/>
          <w:color w:val="auto"/>
        </w:rPr>
      </w:pPr>
    </w:p>
    <w:p>
      <w:pPr>
        <w:ind w:left="700"/>
        <w:spacing w:after="0"/>
        <w:rPr>
          <w:sz w:val="20"/>
          <w:szCs w:val="20"/>
          <w:color w:val="auto"/>
        </w:rPr>
      </w:pPr>
      <w:r>
        <w:rPr>
          <w:rFonts w:ascii="Arial" w:cs="Arial" w:eastAsia="Arial" w:hAnsi="Arial"/>
          <w:sz w:val="8"/>
          <w:szCs w:val="8"/>
          <w:color w:val="auto"/>
        </w:rPr>
        <w:t xml:space="preserve">4 </w:t>
      </w:r>
      <w:r>
        <w:rPr>
          <w:rFonts w:ascii="Arial" w:cs="Arial" w:eastAsia="Arial" w:hAnsi="Arial"/>
          <w:sz w:val="12"/>
          <w:szCs w:val="12"/>
          <w:color w:val="auto"/>
        </w:rPr>
        <w:t>To be conformed to the final version of the Credit Agreement.</w:t>
      </w:r>
    </w:p>
    <w:p>
      <w:pPr>
        <w:spacing w:after="0" w:line="291" w:lineRule="exact"/>
        <w:rPr>
          <w:sz w:val="20"/>
          <w:szCs w:val="20"/>
          <w:color w:val="auto"/>
        </w:rPr>
      </w:pPr>
    </w:p>
    <w:p>
      <w:pPr>
        <w:spacing w:after="0"/>
        <w:rPr>
          <w:sz w:val="20"/>
          <w:szCs w:val="20"/>
          <w:color w:val="auto"/>
        </w:rPr>
      </w:pPr>
      <w:r>
        <w:rPr>
          <w:rFonts w:ascii="Arial" w:cs="Arial" w:eastAsia="Arial" w:hAnsi="Arial"/>
          <w:sz w:val="10"/>
          <w:szCs w:val="10"/>
          <w:color w:val="auto"/>
        </w:rPr>
        <w:t>DB1/ 97585183.1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242570</wp:posOffset>
            </wp:positionV>
            <wp:extent cx="7329170" cy="368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19"/>
          </w:cols>
          <w:pgMar w:left="240" w:top="305" w:right="1440" w:bottom="1440" w:gutter="0" w:footer="0" w:header="0"/>
        </w:sectPr>
      </w:pPr>
    </w:p>
    <w:bookmarkStart w:id="214" w:name="page215"/>
    <w:bookmarkEnd w:id="214"/>
    <w:p>
      <w:pPr>
        <w:ind w:left="1460" w:hanging="767"/>
        <w:spacing w:after="0"/>
        <w:tabs>
          <w:tab w:leader="none" w:pos="1460" w:val="left"/>
        </w:tabs>
        <w:numPr>
          <w:ilvl w:val="0"/>
          <w:numId w:val="218"/>
        </w:numPr>
        <w:rPr>
          <w:rFonts w:ascii="Arial" w:cs="Arial" w:eastAsia="Arial" w:hAnsi="Arial"/>
          <w:sz w:val="14"/>
          <w:szCs w:val="14"/>
          <w:color w:val="auto"/>
        </w:rPr>
      </w:pPr>
      <w:r>
        <w:rPr>
          <w:rFonts w:ascii="Arial" w:cs="Arial" w:eastAsia="Arial" w:hAnsi="Arial"/>
          <w:sz w:val="14"/>
          <w:szCs w:val="14"/>
          <w:color w:val="auto"/>
        </w:rPr>
        <w:t>Debt Service Charges:</w:t>
      </w:r>
    </w:p>
    <w:p>
      <w:pPr>
        <w:spacing w:after="0" w:line="118" w:lineRule="exact"/>
        <w:rPr>
          <w:rFonts w:ascii="Arial" w:cs="Arial" w:eastAsia="Arial" w:hAnsi="Arial"/>
          <w:sz w:val="14"/>
          <w:szCs w:val="14"/>
          <w:color w:val="auto"/>
        </w:rPr>
      </w:pPr>
    </w:p>
    <w:p>
      <w:pPr>
        <w:ind w:left="2240" w:right="5260" w:hanging="773"/>
        <w:spacing w:after="0" w:line="523" w:lineRule="auto"/>
        <w:tabs>
          <w:tab w:leader="none" w:pos="2229" w:val="left"/>
        </w:tabs>
        <w:numPr>
          <w:ilvl w:val="1"/>
          <w:numId w:val="218"/>
        </w:numPr>
        <w:rPr>
          <w:rFonts w:ascii="Arial" w:cs="Arial" w:eastAsia="Arial" w:hAnsi="Arial"/>
          <w:sz w:val="14"/>
          <w:szCs w:val="14"/>
          <w:color w:val="auto"/>
        </w:rPr>
      </w:pPr>
      <w:r>
        <w:rPr>
          <w:rFonts w:ascii="Arial" w:cs="Arial" w:eastAsia="Arial" w:hAnsi="Arial"/>
          <w:sz w:val="14"/>
          <w:szCs w:val="14"/>
          <w:color w:val="auto"/>
        </w:rPr>
        <w:t xml:space="preserve">Consolidated Interest Charges paid or required to be paid: </w:t>
      </w:r>
      <w:r>
        <w:rPr>
          <w:rFonts w:ascii="Arial" w:cs="Arial" w:eastAsia="Arial" w:hAnsi="Arial"/>
          <w:sz w:val="14"/>
          <w:szCs w:val="14"/>
          <w:u w:val="single" w:color="auto"/>
          <w:color w:val="auto"/>
        </w:rPr>
        <w:t>Plus</w:t>
      </w:r>
    </w:p>
    <w:p>
      <w:pPr>
        <w:ind w:left="2240" w:hanging="773"/>
        <w:spacing w:after="0"/>
        <w:tabs>
          <w:tab w:leader="none" w:pos="2240" w:val="left"/>
        </w:tabs>
        <w:numPr>
          <w:ilvl w:val="1"/>
          <w:numId w:val="218"/>
        </w:numPr>
        <w:rPr>
          <w:rFonts w:ascii="Arial" w:cs="Arial" w:eastAsia="Arial" w:hAnsi="Arial"/>
          <w:sz w:val="14"/>
          <w:szCs w:val="14"/>
          <w:color w:val="auto"/>
        </w:rPr>
      </w:pPr>
      <w:r>
        <w:rPr>
          <w:rFonts w:ascii="Arial" w:cs="Arial" w:eastAsia="Arial" w:hAnsi="Arial"/>
          <w:sz w:val="14"/>
          <w:szCs w:val="14"/>
          <w:color w:val="auto"/>
        </w:rPr>
        <w:t>principal payments made or required to be made</w:t>
      </w:r>
    </w:p>
    <w:p>
      <w:pPr>
        <w:ind w:left="2240" w:right="2980"/>
        <w:spacing w:after="0" w:line="234" w:lineRule="auto"/>
        <w:rPr>
          <w:rFonts w:ascii="Arial" w:cs="Arial" w:eastAsia="Arial" w:hAnsi="Arial"/>
          <w:sz w:val="14"/>
          <w:szCs w:val="14"/>
          <w:color w:val="auto"/>
        </w:rPr>
      </w:pPr>
      <w:r>
        <w:rPr>
          <w:rFonts w:ascii="Arial" w:cs="Arial" w:eastAsia="Arial" w:hAnsi="Arial"/>
          <w:sz w:val="14"/>
          <w:szCs w:val="14"/>
          <w:color w:val="auto"/>
        </w:rPr>
        <w:t>on account of Indebtedness (excluding the Obligations and any Synthetic Lease Obligations but including,</w:t>
      </w:r>
    </w:p>
    <w:p>
      <w:pPr>
        <w:spacing w:after="0" w:line="1" w:lineRule="exact"/>
        <w:rPr>
          <w:rFonts w:ascii="Arial" w:cs="Arial" w:eastAsia="Arial" w:hAnsi="Arial"/>
          <w:sz w:val="14"/>
          <w:szCs w:val="14"/>
          <w:color w:val="auto"/>
        </w:rPr>
      </w:pPr>
    </w:p>
    <w:p>
      <w:pPr>
        <w:ind w:left="2240"/>
        <w:spacing w:after="0"/>
        <w:rPr>
          <w:rFonts w:ascii="Arial" w:cs="Arial" w:eastAsia="Arial" w:hAnsi="Arial"/>
          <w:sz w:val="14"/>
          <w:szCs w:val="14"/>
          <w:color w:val="auto"/>
        </w:rPr>
      </w:pPr>
      <w:r>
        <w:rPr>
          <w:rFonts w:ascii="Arial" w:cs="Arial" w:eastAsia="Arial" w:hAnsi="Arial"/>
          <w:sz w:val="14"/>
          <w:szCs w:val="14"/>
          <w:color w:val="auto"/>
        </w:rPr>
        <w:t>without limitation, Capital Lease Obligations):</w:t>
      </w:r>
    </w:p>
    <w:p>
      <w:pPr>
        <w:spacing w:after="0" w:line="268" w:lineRule="exact"/>
        <w:rPr>
          <w:rFonts w:ascii="Arial" w:cs="Arial" w:eastAsia="Arial" w:hAnsi="Arial"/>
          <w:sz w:val="14"/>
          <w:szCs w:val="14"/>
          <w:color w:val="auto"/>
        </w:rPr>
      </w:pPr>
    </w:p>
    <w:p>
      <w:pPr>
        <w:ind w:left="2240" w:hanging="773"/>
        <w:spacing w:after="0"/>
        <w:tabs>
          <w:tab w:leader="none" w:pos="2240" w:val="left"/>
        </w:tabs>
        <w:numPr>
          <w:ilvl w:val="1"/>
          <w:numId w:val="218"/>
        </w:numPr>
        <w:rPr>
          <w:rFonts w:ascii="Arial" w:cs="Arial" w:eastAsia="Arial" w:hAnsi="Arial"/>
          <w:sz w:val="14"/>
          <w:szCs w:val="14"/>
          <w:color w:val="auto"/>
        </w:rPr>
      </w:pPr>
      <w:r>
        <w:rPr>
          <w:rFonts w:ascii="Arial" w:cs="Arial" w:eastAsia="Arial" w:hAnsi="Arial"/>
          <w:sz w:val="14"/>
          <w:szCs w:val="14"/>
          <w:color w:val="auto"/>
        </w:rPr>
        <w:t>Debt Service Charges [The sum of Lines A.4(a) and A.4(b)]:</w:t>
      </w:r>
    </w:p>
    <w:p>
      <w:pPr>
        <w:spacing w:after="0" w:line="100" w:lineRule="exact"/>
        <w:rPr>
          <w:rFonts w:ascii="Arial" w:cs="Arial" w:eastAsia="Arial" w:hAnsi="Arial"/>
          <w:sz w:val="14"/>
          <w:szCs w:val="14"/>
          <w:color w:val="auto"/>
        </w:rPr>
      </w:pPr>
    </w:p>
    <w:p>
      <w:pPr>
        <w:ind w:left="1480" w:right="5700" w:hanging="787"/>
        <w:spacing w:after="0" w:line="298" w:lineRule="auto"/>
        <w:tabs>
          <w:tab w:leader="none" w:pos="1466" w:val="left"/>
        </w:tabs>
        <w:numPr>
          <w:ilvl w:val="0"/>
          <w:numId w:val="218"/>
        </w:numPr>
        <w:rPr>
          <w:rFonts w:ascii="Arial" w:cs="Arial" w:eastAsia="Arial" w:hAnsi="Arial"/>
          <w:sz w:val="13"/>
          <w:szCs w:val="13"/>
          <w:color w:val="auto"/>
        </w:rPr>
      </w:pPr>
      <w:r>
        <w:rPr>
          <w:rFonts w:ascii="Arial" w:cs="Arial" w:eastAsia="Arial" w:hAnsi="Arial"/>
          <w:sz w:val="13"/>
          <w:szCs w:val="13"/>
          <w:color w:val="auto"/>
        </w:rPr>
        <w:t>[the amount of all Restricted Payments to be made at such time and previously made in reliance on the RP Conditions]</w:t>
      </w:r>
      <w:r>
        <w:rPr>
          <w:rFonts w:ascii="Arial" w:cs="Arial" w:eastAsia="Arial" w:hAnsi="Arial"/>
          <w:sz w:val="8"/>
          <w:szCs w:val="8"/>
          <w:color w:val="auto"/>
        </w:rPr>
        <w:t>5</w:t>
      </w:r>
      <w:r>
        <w:rPr>
          <w:rFonts w:ascii="Arial" w:cs="Arial" w:eastAsia="Arial" w:hAnsi="Arial"/>
          <w:sz w:val="13"/>
          <w:szCs w:val="13"/>
          <w:color w:val="auto"/>
        </w:rPr>
        <w:t>:</w:t>
      </w:r>
    </w:p>
    <w:p>
      <w:pPr>
        <w:spacing w:after="0" w:line="241" w:lineRule="exact"/>
        <w:rPr>
          <w:rFonts w:ascii="Arial" w:cs="Arial" w:eastAsia="Arial" w:hAnsi="Arial"/>
          <w:sz w:val="13"/>
          <w:szCs w:val="13"/>
          <w:color w:val="auto"/>
        </w:rPr>
      </w:pPr>
    </w:p>
    <w:p>
      <w:pPr>
        <w:ind w:left="1460" w:right="3220" w:hanging="767"/>
        <w:spacing w:after="0" w:line="243" w:lineRule="auto"/>
        <w:tabs>
          <w:tab w:leader="none" w:pos="1460" w:val="left"/>
        </w:tabs>
        <w:numPr>
          <w:ilvl w:val="0"/>
          <w:numId w:val="218"/>
        </w:numPr>
        <w:rPr>
          <w:rFonts w:ascii="Arial" w:cs="Arial" w:eastAsia="Arial" w:hAnsi="Arial"/>
          <w:sz w:val="14"/>
          <w:szCs w:val="14"/>
          <w:color w:val="auto"/>
        </w:rPr>
      </w:pPr>
      <w:r>
        <w:rPr>
          <w:rFonts w:ascii="Arial" w:cs="Arial" w:eastAsia="Arial" w:hAnsi="Arial"/>
          <w:sz w:val="14"/>
          <w:szCs w:val="14"/>
          <w:color w:val="auto"/>
        </w:rPr>
        <w:t>CONSOLIDATED FIXED CHARGE COVERAGE RATIO CALCULATED AS OF THE LAST DAY OF EACH MONTH ON A TRAILING TWELVE MONTH BASIS</w:t>
      </w:r>
    </w:p>
    <w:p>
      <w:pPr>
        <w:spacing w:after="0" w:line="1" w:lineRule="exact"/>
        <w:rPr>
          <w:rFonts w:ascii="Arial" w:cs="Arial" w:eastAsia="Arial" w:hAnsi="Arial"/>
          <w:sz w:val="14"/>
          <w:szCs w:val="14"/>
          <w:color w:val="auto"/>
        </w:rPr>
      </w:pPr>
    </w:p>
    <w:p>
      <w:pPr>
        <w:ind w:left="1480"/>
        <w:spacing w:after="0"/>
        <w:rPr>
          <w:rFonts w:ascii="Arial" w:cs="Arial" w:eastAsia="Arial" w:hAnsi="Arial"/>
          <w:sz w:val="14"/>
          <w:szCs w:val="14"/>
          <w:color w:val="auto"/>
        </w:rPr>
      </w:pPr>
      <w:r>
        <w:rPr>
          <w:rFonts w:ascii="Arial" w:cs="Arial" w:eastAsia="Arial" w:hAnsi="Arial"/>
          <w:sz w:val="14"/>
          <w:szCs w:val="14"/>
          <w:color w:val="auto"/>
        </w:rPr>
        <w:t>[Line A.3 divided by (Line A.4(c) [plus Line A.5])]:</w:t>
      </w:r>
    </w:p>
    <w:p>
      <w:pPr>
        <w:spacing w:after="0" w:line="268" w:lineRule="exact"/>
        <w:rPr>
          <w:sz w:val="20"/>
          <w:szCs w:val="20"/>
          <w:color w:val="auto"/>
        </w:rPr>
      </w:pPr>
    </w:p>
    <w:p>
      <w:pPr>
        <w:ind w:left="700"/>
        <w:spacing w:after="0" w:line="313" w:lineRule="auto"/>
        <w:rPr>
          <w:sz w:val="20"/>
          <w:szCs w:val="20"/>
          <w:color w:val="auto"/>
        </w:rPr>
      </w:pPr>
      <w:r>
        <w:rPr>
          <w:rFonts w:ascii="Arial" w:cs="Arial" w:eastAsia="Arial" w:hAnsi="Arial"/>
          <w:sz w:val="13"/>
          <w:szCs w:val="13"/>
          <w:u w:val="single" w:color="auto"/>
          <w:color w:val="auto"/>
        </w:rPr>
        <w:t>Covenant</w:t>
      </w:r>
      <w:r>
        <w:rPr>
          <w:rFonts w:ascii="Arial" w:cs="Arial" w:eastAsia="Arial" w:hAnsi="Arial"/>
          <w:sz w:val="13"/>
          <w:szCs w:val="13"/>
          <w:color w:val="auto"/>
        </w:rPr>
        <w:t>: During the continuance of a Covenant Compliance Event, permit the Consolidated Fixed Charge Coverage Ratio, tested monthly on a trailing twelve month basis commencing with the Fiscal Month immediately prior to the date that the Covenant Compliance Event occurs, during the Fiscal Years set forth below to be less than 1:0:1.0.</w:t>
      </w:r>
      <w:r>
        <w:rPr>
          <w:rFonts w:ascii="Arial" w:cs="Arial" w:eastAsia="Arial" w:hAnsi="Arial"/>
          <w:sz w:val="8"/>
          <w:szCs w:val="8"/>
          <w:color w:val="auto"/>
        </w:rPr>
        <w:t>6</w:t>
      </w:r>
    </w:p>
    <w:p>
      <w:pPr>
        <w:spacing w:after="0" w:line="98"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160" w:type="dxa"/>
            <w:vAlign w:val="bottom"/>
          </w:tcPr>
          <w:p>
            <w:pPr>
              <w:jc w:val="right"/>
              <w:spacing w:after="0"/>
              <w:rPr>
                <w:sz w:val="20"/>
                <w:szCs w:val="20"/>
                <w:color w:val="auto"/>
              </w:rPr>
            </w:pPr>
            <w:r>
              <w:rPr>
                <w:rFonts w:ascii="Arial" w:cs="Arial" w:eastAsia="Arial" w:hAnsi="Arial"/>
                <w:sz w:val="13"/>
                <w:szCs w:val="13"/>
                <w:color w:val="auto"/>
                <w:w w:val="73"/>
              </w:rPr>
              <w:t>1.</w:t>
            </w:r>
          </w:p>
        </w:tc>
        <w:tc>
          <w:tcPr>
            <w:tcW w:w="6080" w:type="dxa"/>
            <w:vAlign w:val="bottom"/>
          </w:tcPr>
          <w:p>
            <w:pPr>
              <w:ind w:left="40"/>
              <w:spacing w:after="0"/>
              <w:rPr>
                <w:sz w:val="20"/>
                <w:szCs w:val="20"/>
                <w:color w:val="auto"/>
              </w:rPr>
            </w:pPr>
            <w:r>
              <w:rPr>
                <w:rFonts w:ascii="Arial" w:cs="Arial" w:eastAsia="Arial" w:hAnsi="Arial"/>
                <w:sz w:val="14"/>
                <w:szCs w:val="14"/>
                <w:color w:val="auto"/>
              </w:rPr>
              <w:t>Is the Consolidated Fixed Charge Ratio required to be tested? Yes</w:t>
            </w:r>
          </w:p>
        </w:tc>
        <w:tc>
          <w:tcPr>
            <w:tcW w:w="2480" w:type="dxa"/>
            <w:vAlign w:val="bottom"/>
          </w:tcPr>
          <w:p>
            <w:pPr>
              <w:ind w:left="2300"/>
              <w:spacing w:after="0"/>
              <w:rPr>
                <w:sz w:val="20"/>
                <w:szCs w:val="20"/>
                <w:color w:val="auto"/>
              </w:rPr>
            </w:pPr>
            <w:r>
              <w:rPr>
                <w:rFonts w:ascii="Arial" w:cs="Arial" w:eastAsia="Arial" w:hAnsi="Arial"/>
                <w:sz w:val="14"/>
                <w:szCs w:val="14"/>
                <w:color w:val="auto"/>
                <w:w w:val="89"/>
              </w:rPr>
              <w:t>No</w:t>
            </w:r>
          </w:p>
        </w:tc>
      </w:tr>
      <w:tr>
        <w:trPr>
          <w:trHeight w:val="191"/>
        </w:trPr>
        <w:tc>
          <w:tcPr>
            <w:tcW w:w="160" w:type="dxa"/>
            <w:vAlign w:val="bottom"/>
          </w:tcPr>
          <w:p>
            <w:pPr>
              <w:jc w:val="right"/>
              <w:spacing w:after="0"/>
              <w:rPr>
                <w:sz w:val="20"/>
                <w:szCs w:val="20"/>
                <w:color w:val="auto"/>
              </w:rPr>
            </w:pPr>
            <w:r>
              <w:rPr>
                <w:rFonts w:ascii="Arial" w:cs="Arial" w:eastAsia="Arial" w:hAnsi="Arial"/>
                <w:sz w:val="13"/>
                <w:szCs w:val="13"/>
                <w:color w:val="auto"/>
                <w:w w:val="73"/>
              </w:rPr>
              <w:t>2.</w:t>
            </w:r>
          </w:p>
        </w:tc>
        <w:tc>
          <w:tcPr>
            <w:tcW w:w="6080" w:type="dxa"/>
            <w:vAlign w:val="bottom"/>
          </w:tcPr>
          <w:p>
            <w:pPr>
              <w:ind w:left="40"/>
              <w:spacing w:after="0"/>
              <w:rPr>
                <w:sz w:val="20"/>
                <w:szCs w:val="20"/>
                <w:color w:val="auto"/>
              </w:rPr>
            </w:pPr>
            <w:r>
              <w:rPr>
                <w:rFonts w:ascii="Arial" w:cs="Arial" w:eastAsia="Arial" w:hAnsi="Arial"/>
                <w:sz w:val="14"/>
                <w:szCs w:val="14"/>
                <w:color w:val="auto"/>
              </w:rPr>
              <w:t>If required to be tested, are the Loan Parties in compliance?Yes</w:t>
            </w:r>
          </w:p>
        </w:tc>
        <w:tc>
          <w:tcPr>
            <w:tcW w:w="2480" w:type="dxa"/>
            <w:vAlign w:val="bottom"/>
          </w:tcPr>
          <w:p>
            <w:pPr>
              <w:ind w:left="2300"/>
              <w:spacing w:after="0"/>
              <w:rPr>
                <w:sz w:val="20"/>
                <w:szCs w:val="20"/>
                <w:color w:val="auto"/>
              </w:rPr>
            </w:pPr>
            <w:r>
              <w:rPr>
                <w:rFonts w:ascii="Arial" w:cs="Arial" w:eastAsia="Arial" w:hAnsi="Arial"/>
                <w:sz w:val="14"/>
                <w:szCs w:val="14"/>
                <w:color w:val="auto"/>
                <w:w w:val="89"/>
              </w:rPr>
              <w:t>No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700"/>
        <w:spacing w:after="0"/>
        <w:rPr>
          <w:sz w:val="20"/>
          <w:szCs w:val="20"/>
          <w:color w:val="auto"/>
        </w:rPr>
      </w:pPr>
      <w:r>
        <w:rPr>
          <w:rFonts w:ascii="Arial" w:cs="Arial" w:eastAsia="Arial" w:hAnsi="Arial"/>
          <w:sz w:val="8"/>
          <w:szCs w:val="8"/>
          <w:color w:val="auto"/>
        </w:rPr>
        <w:t xml:space="preserve">5 </w:t>
      </w:r>
      <w:r>
        <w:rPr>
          <w:rFonts w:ascii="Arial" w:cs="Arial" w:eastAsia="Arial" w:hAnsi="Arial"/>
          <w:sz w:val="12"/>
          <w:szCs w:val="12"/>
          <w:color w:val="auto"/>
        </w:rPr>
        <w:t>For the purposes of calculating the Consolidated Fixed Charge Coverage Ratio when determining compliance with the RP Conditions for the making of any Restricted Payment.</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7"/>
          <w:szCs w:val="7"/>
          <w:color w:val="auto"/>
        </w:rPr>
        <w:t xml:space="preserve">6 </w:t>
      </w:r>
      <w:r>
        <w:rPr>
          <w:rFonts w:ascii="Arial" w:cs="Arial" w:eastAsia="Arial" w:hAnsi="Arial"/>
          <w:sz w:val="10"/>
          <w:szCs w:val="10"/>
          <w:color w:val="auto"/>
        </w:rPr>
        <w:t>Tested during Covenant Compliance Event. “Covenant Compliance Event” means either (a) that an Event of Default has occurred and is continuing, or (b) Availability at any time is less than the greater of (x)</w:t>
      </w:r>
    </w:p>
    <w:p>
      <w:pPr>
        <w:spacing w:after="0" w:line="29" w:lineRule="exact"/>
        <w:rPr>
          <w:sz w:val="20"/>
          <w:szCs w:val="20"/>
          <w:color w:val="auto"/>
        </w:rPr>
      </w:pPr>
    </w:p>
    <w:p>
      <w:pPr>
        <w:ind w:left="700"/>
        <w:spacing w:after="0"/>
        <w:rPr>
          <w:sz w:val="20"/>
          <w:szCs w:val="20"/>
          <w:color w:val="auto"/>
        </w:rPr>
      </w:pPr>
      <w:r>
        <w:rPr>
          <w:rFonts w:ascii="Arial" w:cs="Arial" w:eastAsia="Arial" w:hAnsi="Arial"/>
          <w:sz w:val="12"/>
          <w:szCs w:val="12"/>
          <w:color w:val="auto"/>
        </w:rPr>
        <w:t>ten percent (10%) of the Revolving Loan Cap (calculated without giving effect to the FILO Push Down Reserve) and (y)</w:t>
      </w:r>
    </w:p>
    <w:p>
      <w:pPr>
        <w:spacing w:after="0" w:line="6" w:lineRule="exact"/>
        <w:rPr>
          <w:sz w:val="20"/>
          <w:szCs w:val="20"/>
          <w:color w:val="auto"/>
        </w:rPr>
      </w:pPr>
    </w:p>
    <w:p>
      <w:pPr>
        <w:ind w:left="700"/>
        <w:spacing w:after="0" w:line="250" w:lineRule="auto"/>
        <w:rPr>
          <w:sz w:val="20"/>
          <w:szCs w:val="20"/>
          <w:color w:val="auto"/>
        </w:rPr>
      </w:pPr>
      <w:r>
        <w:rPr>
          <w:rFonts w:ascii="Arial" w:cs="Arial" w:eastAsia="Arial" w:hAnsi="Arial"/>
          <w:sz w:val="12"/>
          <w:szCs w:val="12"/>
          <w:color w:val="auto"/>
        </w:rPr>
        <w:t>$7,500,000. For purposes hereof, the occurrence of a Covenant Compliance Event shall be deemed continuing (i) so long as such Event of Default has not been waived, and/or (ii) if the Covenant Compliance Event arises as a result of the Borrowers’ failure to achieve Availability as required hereunder, until Availability has exceeded the greater of</w:t>
      </w:r>
    </w:p>
    <w:p>
      <w:pPr>
        <w:spacing w:after="0" w:line="1" w:lineRule="exact"/>
        <w:rPr>
          <w:sz w:val="20"/>
          <w:szCs w:val="20"/>
          <w:color w:val="auto"/>
        </w:rPr>
      </w:pPr>
    </w:p>
    <w:p>
      <w:pPr>
        <w:jc w:val="both"/>
        <w:ind w:left="700" w:hanging="1"/>
        <w:spacing w:after="0" w:line="255" w:lineRule="auto"/>
        <w:tabs>
          <w:tab w:leader="none" w:pos="872" w:val="left"/>
        </w:tabs>
        <w:numPr>
          <w:ilvl w:val="0"/>
          <w:numId w:val="219"/>
        </w:numPr>
        <w:rPr>
          <w:rFonts w:ascii="Arial" w:cs="Arial" w:eastAsia="Arial" w:hAnsi="Arial"/>
          <w:sz w:val="12"/>
          <w:szCs w:val="12"/>
          <w:color w:val="auto"/>
        </w:rPr>
      </w:pPr>
      <w:r>
        <w:rPr>
          <w:rFonts w:ascii="Arial" w:cs="Arial" w:eastAsia="Arial" w:hAnsi="Arial"/>
          <w:sz w:val="12"/>
          <w:szCs w:val="12"/>
          <w:color w:val="auto"/>
        </w:rPr>
        <w:t>ten percent (10%) of the Revolving Loan Cap (calculated without giving effect to the FILO Push Down Reserve) and (y) $7,500,000 for thirty (30) consecutive days, in which case a Covenant Compliance Event shall no longer be deemed to be continuing for purposes of this Agreement. The termination of a Covenant Compliance as provided herein shall in no way limit, waive or delay the occurrence of a subsequent Covenant Compliance Event in the event that the conditions set forth in this definition again arise.</w:t>
      </w:r>
    </w:p>
    <w:p>
      <w:pPr>
        <w:spacing w:after="0" w:line="268" w:lineRule="exact"/>
        <w:rPr>
          <w:sz w:val="20"/>
          <w:szCs w:val="20"/>
          <w:color w:val="auto"/>
        </w:rPr>
      </w:pPr>
    </w:p>
    <w:p>
      <w:pPr>
        <w:spacing w:after="0"/>
        <w:rPr>
          <w:sz w:val="20"/>
          <w:szCs w:val="20"/>
          <w:color w:val="auto"/>
        </w:rPr>
      </w:pPr>
      <w:r>
        <w:rPr>
          <w:rFonts w:ascii="Arial" w:cs="Arial" w:eastAsia="Arial" w:hAnsi="Arial"/>
          <w:sz w:val="10"/>
          <w:szCs w:val="10"/>
          <w:color w:val="auto"/>
        </w:rPr>
        <w:t>DB1/ 97585183.1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242570</wp:posOffset>
            </wp:positionV>
            <wp:extent cx="7329170" cy="368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740"/>
          </w:cols>
          <w:pgMar w:left="240" w:top="306" w:right="919" w:bottom="1440" w:gutter="0" w:footer="0" w:header="0"/>
        </w:sectPr>
      </w:pPr>
    </w:p>
    <w:bookmarkStart w:id="215" w:name="page216"/>
    <w:bookmarkEnd w:id="215"/>
    <w:p>
      <w:pPr>
        <w:ind w:left="5280"/>
        <w:spacing w:after="0"/>
        <w:rPr>
          <w:sz w:val="20"/>
          <w:szCs w:val="20"/>
          <w:color w:val="auto"/>
        </w:rPr>
      </w:pPr>
      <w:r>
        <w:rPr>
          <w:rFonts w:ascii="Arial" w:cs="Arial" w:eastAsia="Arial" w:hAnsi="Arial"/>
          <w:sz w:val="14"/>
          <w:szCs w:val="14"/>
          <w:u w:val="single" w:color="auto"/>
          <w:color w:val="auto"/>
        </w:rPr>
        <w:t>APPENDIX III</w:t>
      </w:r>
    </w:p>
    <w:p>
      <w:pPr>
        <w:spacing w:after="0" w:line="289" w:lineRule="exact"/>
        <w:rPr>
          <w:sz w:val="20"/>
          <w:szCs w:val="20"/>
          <w:color w:val="auto"/>
        </w:rPr>
      </w:pPr>
    </w:p>
    <w:p>
      <w:pPr>
        <w:jc w:val="right"/>
        <w:ind w:right="3839"/>
        <w:spacing w:after="0"/>
        <w:rPr>
          <w:sz w:val="20"/>
          <w:szCs w:val="20"/>
          <w:color w:val="auto"/>
        </w:rPr>
      </w:pPr>
      <w:r>
        <w:rPr>
          <w:rFonts w:ascii="Arial" w:cs="Arial" w:eastAsia="Arial" w:hAnsi="Arial"/>
          <w:sz w:val="14"/>
          <w:szCs w:val="14"/>
          <w:color w:val="auto"/>
        </w:rPr>
        <w:t>(Financial Statements)</w:t>
      </w:r>
    </w:p>
    <w:p>
      <w:pPr>
        <w:spacing w:after="0" w:line="200" w:lineRule="exact"/>
        <w:rPr>
          <w:sz w:val="20"/>
          <w:szCs w:val="20"/>
          <w:color w:val="auto"/>
        </w:rPr>
      </w:pPr>
    </w:p>
    <w:p>
      <w:pPr>
        <w:spacing w:after="0" w:line="242" w:lineRule="exact"/>
        <w:rPr>
          <w:sz w:val="20"/>
          <w:szCs w:val="20"/>
          <w:color w:val="auto"/>
        </w:rPr>
      </w:pPr>
    </w:p>
    <w:p>
      <w:pPr>
        <w:ind w:left="5320"/>
        <w:spacing w:after="0"/>
        <w:rPr>
          <w:sz w:val="20"/>
          <w:szCs w:val="20"/>
          <w:color w:val="auto"/>
        </w:rPr>
      </w:pPr>
      <w:r>
        <w:rPr>
          <w:rFonts w:ascii="Arial" w:cs="Arial" w:eastAsia="Arial" w:hAnsi="Arial"/>
          <w:sz w:val="14"/>
          <w:szCs w:val="14"/>
          <w:color w:val="auto"/>
        </w:rPr>
        <w:t>[see attached]</w:t>
      </w:r>
    </w:p>
    <w:p>
      <w:pPr>
        <w:spacing w:after="0" w:line="309" w:lineRule="exact"/>
        <w:rPr>
          <w:sz w:val="20"/>
          <w:szCs w:val="20"/>
          <w:color w:val="auto"/>
        </w:rPr>
      </w:pPr>
    </w:p>
    <w:p>
      <w:pPr>
        <w:spacing w:after="0"/>
        <w:rPr>
          <w:sz w:val="20"/>
          <w:szCs w:val="20"/>
          <w:color w:val="auto"/>
        </w:rPr>
      </w:pPr>
      <w:r>
        <w:rPr>
          <w:rFonts w:ascii="Arial" w:cs="Arial" w:eastAsia="Arial" w:hAnsi="Arial"/>
          <w:sz w:val="10"/>
          <w:szCs w:val="10"/>
          <w:color w:val="auto"/>
        </w:rPr>
        <w:t>DB1/ 97585183.1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242570</wp:posOffset>
            </wp:positionV>
            <wp:extent cx="7329170" cy="368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19"/>
          </w:cols>
          <w:pgMar w:left="240" w:top="306" w:right="1440" w:bottom="1440" w:gutter="0" w:footer="0" w:header="0"/>
        </w:sectPr>
      </w:pPr>
    </w:p>
    <w:bookmarkStart w:id="216" w:name="page217"/>
    <w:bookmarkEnd w:id="216"/>
    <w:p>
      <w:pPr>
        <w:jc w:val="right"/>
        <w:ind w:right="3779"/>
        <w:spacing w:after="0"/>
        <w:rPr>
          <w:sz w:val="20"/>
          <w:szCs w:val="20"/>
          <w:color w:val="auto"/>
        </w:rPr>
      </w:pPr>
      <w:r>
        <w:rPr>
          <w:rFonts w:ascii="Arial" w:cs="Arial" w:eastAsia="Arial" w:hAnsi="Arial"/>
          <w:sz w:val="14"/>
          <w:szCs w:val="14"/>
          <w:u w:val="single" w:color="auto"/>
          <w:color w:val="auto"/>
        </w:rPr>
        <w:t>APPENDIX IV</w:t>
      </w:r>
      <w:r>
        <w:rPr>
          <w:rFonts w:ascii="Arial" w:cs="Arial" w:eastAsia="Arial" w:hAnsi="Arial"/>
          <w:sz w:val="14"/>
          <w:szCs w:val="14"/>
          <w:color w:val="auto"/>
        </w:rPr>
        <w:t xml:space="preserve"> (GAAP)</w:t>
      </w:r>
    </w:p>
    <w:p>
      <w:pPr>
        <w:spacing w:after="0" w:line="361" w:lineRule="exact"/>
        <w:rPr>
          <w:sz w:val="20"/>
          <w:szCs w:val="20"/>
          <w:color w:val="auto"/>
        </w:rPr>
      </w:pPr>
    </w:p>
    <w:p>
      <w:pPr>
        <w:ind w:left="5320"/>
        <w:spacing w:after="0"/>
        <w:rPr>
          <w:sz w:val="20"/>
          <w:szCs w:val="20"/>
          <w:color w:val="auto"/>
        </w:rPr>
      </w:pPr>
      <w:r>
        <w:rPr>
          <w:rFonts w:ascii="Arial" w:cs="Arial" w:eastAsia="Arial" w:hAnsi="Arial"/>
          <w:sz w:val="14"/>
          <w:szCs w:val="14"/>
          <w:color w:val="auto"/>
        </w:rPr>
        <w:t>[see attached]</w:t>
      </w:r>
    </w:p>
    <w:p>
      <w:pPr>
        <w:spacing w:after="0" w:line="309" w:lineRule="exact"/>
        <w:rPr>
          <w:sz w:val="20"/>
          <w:szCs w:val="20"/>
          <w:color w:val="auto"/>
        </w:rPr>
      </w:pPr>
    </w:p>
    <w:p>
      <w:pPr>
        <w:spacing w:after="0"/>
        <w:rPr>
          <w:sz w:val="20"/>
          <w:szCs w:val="20"/>
          <w:color w:val="auto"/>
        </w:rPr>
      </w:pPr>
      <w:r>
        <w:rPr>
          <w:rFonts w:ascii="Arial" w:cs="Arial" w:eastAsia="Arial" w:hAnsi="Arial"/>
          <w:sz w:val="10"/>
          <w:szCs w:val="10"/>
          <w:color w:val="auto"/>
        </w:rPr>
        <w:t>DB1/ 97585183.1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242570</wp:posOffset>
            </wp:positionV>
            <wp:extent cx="7329170" cy="368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19"/>
          </w:cols>
          <w:pgMar w:left="240" w:top="306" w:right="1440" w:bottom="1440" w:gutter="0" w:footer="0" w:header="0"/>
        </w:sectPr>
      </w:pPr>
    </w:p>
    <w:bookmarkStart w:id="217" w:name="page218"/>
    <w:bookmarkEnd w:id="217"/>
    <w:p>
      <w:pPr>
        <w:jc w:val="right"/>
        <w:ind w:right="3779"/>
        <w:spacing w:after="0"/>
        <w:rPr>
          <w:sz w:val="20"/>
          <w:szCs w:val="20"/>
          <w:color w:val="auto"/>
        </w:rPr>
      </w:pPr>
      <w:r>
        <w:rPr>
          <w:rFonts w:ascii="Arial" w:cs="Arial" w:eastAsia="Arial" w:hAnsi="Arial"/>
          <w:sz w:val="14"/>
          <w:szCs w:val="14"/>
          <w:u w:val="single" w:color="auto"/>
          <w:color w:val="auto"/>
        </w:rPr>
        <w:t>APPENDIX V</w:t>
      </w:r>
      <w:r>
        <w:rPr>
          <w:rFonts w:ascii="Arial" w:cs="Arial" w:eastAsia="Arial" w:hAnsi="Arial"/>
          <w:sz w:val="14"/>
          <w:szCs w:val="14"/>
          <w:color w:val="auto"/>
        </w:rPr>
        <w:t xml:space="preserve"> (MD&amp;A)</w:t>
      </w:r>
    </w:p>
    <w:p>
      <w:pPr>
        <w:spacing w:after="0" w:line="361" w:lineRule="exact"/>
        <w:rPr>
          <w:sz w:val="20"/>
          <w:szCs w:val="20"/>
          <w:color w:val="auto"/>
        </w:rPr>
      </w:pPr>
    </w:p>
    <w:p>
      <w:pPr>
        <w:ind w:left="5320"/>
        <w:spacing w:after="0"/>
        <w:rPr>
          <w:sz w:val="20"/>
          <w:szCs w:val="20"/>
          <w:color w:val="auto"/>
        </w:rPr>
      </w:pPr>
      <w:r>
        <w:rPr>
          <w:rFonts w:ascii="Arial" w:cs="Arial" w:eastAsia="Arial" w:hAnsi="Arial"/>
          <w:sz w:val="14"/>
          <w:szCs w:val="14"/>
          <w:color w:val="auto"/>
        </w:rPr>
        <w:t>[see attached]</w:t>
      </w:r>
    </w:p>
    <w:p>
      <w:pPr>
        <w:spacing w:after="0" w:line="309" w:lineRule="exact"/>
        <w:rPr>
          <w:sz w:val="20"/>
          <w:szCs w:val="20"/>
          <w:color w:val="auto"/>
        </w:rPr>
      </w:pPr>
    </w:p>
    <w:p>
      <w:pPr>
        <w:spacing w:after="0"/>
        <w:rPr>
          <w:sz w:val="20"/>
          <w:szCs w:val="20"/>
          <w:color w:val="auto"/>
        </w:rPr>
      </w:pPr>
      <w:r>
        <w:rPr>
          <w:rFonts w:ascii="Arial" w:cs="Arial" w:eastAsia="Arial" w:hAnsi="Arial"/>
          <w:sz w:val="10"/>
          <w:szCs w:val="10"/>
          <w:color w:val="auto"/>
        </w:rPr>
        <w:t>DB1/ 97585183.1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242570</wp:posOffset>
            </wp:positionV>
            <wp:extent cx="7329170" cy="368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218" w:name="page219"/>
    <w:bookmarkEnd w:id="218"/>
    <w:p>
      <w:pPr>
        <w:ind w:left="5340"/>
        <w:spacing w:after="0"/>
        <w:rPr>
          <w:sz w:val="20"/>
          <w:szCs w:val="20"/>
          <w:color w:val="auto"/>
        </w:rPr>
      </w:pPr>
      <w:r>
        <w:rPr>
          <w:rFonts w:ascii="Arial" w:cs="Arial" w:eastAsia="Arial" w:hAnsi="Arial"/>
          <w:sz w:val="14"/>
          <w:szCs w:val="14"/>
          <w:b w:val="1"/>
          <w:bCs w:val="1"/>
          <w:color w:val="auto"/>
        </w:rPr>
        <w:t>EXHIBIT E</w:t>
      </w:r>
    </w:p>
    <w:p>
      <w:pPr>
        <w:spacing w:after="0" w:line="149" w:lineRule="exact"/>
        <w:rPr>
          <w:sz w:val="20"/>
          <w:szCs w:val="20"/>
          <w:color w:val="auto"/>
        </w:rPr>
      </w:pPr>
    </w:p>
    <w:p>
      <w:pPr>
        <w:ind w:left="3120"/>
        <w:spacing w:after="0"/>
        <w:rPr>
          <w:sz w:val="20"/>
          <w:szCs w:val="20"/>
          <w:color w:val="auto"/>
        </w:rPr>
      </w:pPr>
      <w:r>
        <w:rPr>
          <w:rFonts w:ascii="Arial" w:cs="Arial" w:eastAsia="Arial" w:hAnsi="Arial"/>
          <w:sz w:val="14"/>
          <w:szCs w:val="14"/>
          <w:u w:val="single" w:color="auto"/>
          <w:color w:val="auto"/>
        </w:rPr>
        <w:t>FORM OF ASSIGNMENT AND ASSUMPTION</w:t>
      </w:r>
    </w:p>
    <w:p>
      <w:pPr>
        <w:spacing w:after="0" w:line="145" w:lineRule="exact"/>
        <w:rPr>
          <w:sz w:val="20"/>
          <w:szCs w:val="20"/>
          <w:color w:val="auto"/>
        </w:rPr>
      </w:pPr>
    </w:p>
    <w:p>
      <w:pPr>
        <w:jc w:val="both"/>
        <w:ind w:left="700"/>
        <w:spacing w:after="0" w:line="248" w:lineRule="auto"/>
        <w:rPr>
          <w:sz w:val="20"/>
          <w:szCs w:val="20"/>
          <w:color w:val="auto"/>
        </w:rPr>
      </w:pPr>
      <w:r>
        <w:rPr>
          <w:rFonts w:ascii="Arial" w:cs="Arial" w:eastAsia="Arial" w:hAnsi="Arial"/>
          <w:sz w:val="14"/>
          <w:szCs w:val="14"/>
          <w:color w:val="auto"/>
        </w:rPr>
        <w:t>This Assignment and Assumption (this “</w:t>
      </w:r>
      <w:r>
        <w:rPr>
          <w:rFonts w:ascii="Arial" w:cs="Arial" w:eastAsia="Arial" w:hAnsi="Arial"/>
          <w:sz w:val="14"/>
          <w:szCs w:val="14"/>
          <w:u w:val="single" w:color="auto"/>
          <w:color w:val="auto"/>
        </w:rPr>
        <w:t>Assignment and Assumption</w:t>
      </w:r>
      <w:r>
        <w:rPr>
          <w:rFonts w:ascii="Arial" w:cs="Arial" w:eastAsia="Arial" w:hAnsi="Arial"/>
          <w:sz w:val="14"/>
          <w:szCs w:val="14"/>
          <w:color w:val="auto"/>
        </w:rPr>
        <w:t>”) is dated as of the Effective Date set forth below and is entered into by and between [the][each]</w:t>
      </w:r>
      <w:r>
        <w:rPr>
          <w:rFonts w:ascii="Arial" w:cs="Arial" w:eastAsia="Arial" w:hAnsi="Arial"/>
          <w:sz w:val="9"/>
          <w:szCs w:val="9"/>
          <w:color w:val="auto"/>
        </w:rPr>
        <w:t>1</w:t>
      </w:r>
      <w:r>
        <w:rPr>
          <w:rFonts w:ascii="Arial" w:cs="Arial" w:eastAsia="Arial" w:hAnsi="Arial"/>
          <w:sz w:val="14"/>
          <w:szCs w:val="14"/>
          <w:color w:val="auto"/>
        </w:rPr>
        <w:t xml:space="preserve"> Assignor identified in item 1 below ([the][each, an] “</w:t>
      </w:r>
      <w:r>
        <w:rPr>
          <w:rFonts w:ascii="Arial" w:cs="Arial" w:eastAsia="Arial" w:hAnsi="Arial"/>
          <w:sz w:val="14"/>
          <w:szCs w:val="14"/>
          <w:u w:val="single" w:color="auto"/>
          <w:color w:val="auto"/>
        </w:rPr>
        <w:t>Assignor</w:t>
      </w:r>
      <w:r>
        <w:rPr>
          <w:rFonts w:ascii="Arial" w:cs="Arial" w:eastAsia="Arial" w:hAnsi="Arial"/>
          <w:sz w:val="14"/>
          <w:szCs w:val="14"/>
          <w:color w:val="auto"/>
        </w:rPr>
        <w:t>”) and [the][each]</w:t>
      </w:r>
      <w:r>
        <w:rPr>
          <w:rFonts w:ascii="Arial" w:cs="Arial" w:eastAsia="Arial" w:hAnsi="Arial"/>
          <w:sz w:val="9"/>
          <w:szCs w:val="9"/>
          <w:color w:val="auto"/>
        </w:rPr>
        <w:t>2</w:t>
      </w:r>
      <w:r>
        <w:rPr>
          <w:rFonts w:ascii="Arial" w:cs="Arial" w:eastAsia="Arial" w:hAnsi="Arial"/>
          <w:sz w:val="14"/>
          <w:szCs w:val="14"/>
          <w:color w:val="auto"/>
        </w:rPr>
        <w:t xml:space="preserve"> Assignee identified in item 2 below ([the][each, an] “</w:t>
      </w:r>
      <w:r>
        <w:rPr>
          <w:rFonts w:ascii="Arial" w:cs="Arial" w:eastAsia="Arial" w:hAnsi="Arial"/>
          <w:sz w:val="14"/>
          <w:szCs w:val="14"/>
          <w:u w:val="single" w:color="auto"/>
          <w:color w:val="auto"/>
        </w:rPr>
        <w:t>Assignee</w:t>
      </w:r>
      <w:r>
        <w:rPr>
          <w:rFonts w:ascii="Arial" w:cs="Arial" w:eastAsia="Arial" w:hAnsi="Arial"/>
          <w:sz w:val="14"/>
          <w:szCs w:val="14"/>
          <w:color w:val="auto"/>
        </w:rPr>
        <w:t>”). [It is understood and agreed that the rights and obligations of [the Assignors][the Assignees]</w:t>
      </w:r>
      <w:r>
        <w:rPr>
          <w:rFonts w:ascii="Arial" w:cs="Arial" w:eastAsia="Arial" w:hAnsi="Arial"/>
          <w:sz w:val="9"/>
          <w:szCs w:val="9"/>
          <w:color w:val="auto"/>
        </w:rPr>
        <w:t>3</w:t>
      </w:r>
      <w:r>
        <w:rPr>
          <w:rFonts w:ascii="Arial" w:cs="Arial" w:eastAsia="Arial" w:hAnsi="Arial"/>
          <w:sz w:val="14"/>
          <w:szCs w:val="14"/>
          <w:color w:val="auto"/>
        </w:rPr>
        <w:t xml:space="preserve"> hereunder are several and not joint.]</w:t>
      </w:r>
      <w:r>
        <w:rPr>
          <w:rFonts w:ascii="Arial" w:cs="Arial" w:eastAsia="Arial" w:hAnsi="Arial"/>
          <w:sz w:val="9"/>
          <w:szCs w:val="9"/>
          <w:color w:val="auto"/>
        </w:rPr>
        <w:t>4</w:t>
      </w:r>
      <w:r>
        <w:rPr>
          <w:rFonts w:ascii="Arial" w:cs="Arial" w:eastAsia="Arial" w:hAnsi="Arial"/>
          <w:sz w:val="14"/>
          <w:szCs w:val="14"/>
          <w:color w:val="auto"/>
        </w:rPr>
        <w:t xml:space="preserve"> Capitalized terms used but not defined herein shall have the meanings given to them in the Credit Agreement (as defined below), receipt of a copy of which is hereby acknowledged by [the][each] Assignee. The Standard Terms and Conditions set forth in Annex 1 attached hereto (the “</w:t>
      </w:r>
      <w:r>
        <w:rPr>
          <w:rFonts w:ascii="Arial" w:cs="Arial" w:eastAsia="Arial" w:hAnsi="Arial"/>
          <w:sz w:val="14"/>
          <w:szCs w:val="14"/>
          <w:u w:val="single" w:color="auto"/>
          <w:color w:val="auto"/>
        </w:rPr>
        <w:t>Standard Terms and Conditions</w:t>
      </w:r>
      <w:r>
        <w:rPr>
          <w:rFonts w:ascii="Arial" w:cs="Arial" w:eastAsia="Arial" w:hAnsi="Arial"/>
          <w:sz w:val="14"/>
          <w:szCs w:val="14"/>
          <w:color w:val="auto"/>
        </w:rPr>
        <w:t>”) are hereby agreed to and incorporated herein by reference and made a part of this Assignment and Assumption as if set forth herein in full.</w:t>
      </w:r>
    </w:p>
    <w:p>
      <w:pPr>
        <w:spacing w:after="0" w:line="137" w:lineRule="exact"/>
        <w:rPr>
          <w:sz w:val="20"/>
          <w:szCs w:val="20"/>
          <w:color w:val="auto"/>
        </w:rPr>
      </w:pPr>
    </w:p>
    <w:p>
      <w:pPr>
        <w:jc w:val="both"/>
        <w:ind w:left="700"/>
        <w:spacing w:after="0" w:line="264" w:lineRule="auto"/>
        <w:rPr>
          <w:sz w:val="20"/>
          <w:szCs w:val="20"/>
          <w:color w:val="auto"/>
        </w:rPr>
      </w:pPr>
      <w:r>
        <w:rPr>
          <w:rFonts w:ascii="Arial" w:cs="Arial" w:eastAsia="Arial" w:hAnsi="Arial"/>
          <w:sz w:val="13"/>
          <w:szCs w:val="13"/>
          <w:color w:val="auto"/>
        </w:rPr>
        <w:t>For an agreed consideration, [the][each] Assignor hereby irrevocably sells and assigns to [the Assignee][the respective Assignees], and [the][each] Assignee hereby irrevocably purchases and assumes from [the Assignor][the respective Assignors], subject to and in accordance with the Standard Terms and Conditions and the Credit Agreement, as of the Effective Date inserted by the Agent as contemplated below, (i) all of [the Assignor’s][the respective Assignors’] rights and obligations in [its capacity as a [[Revolving][FILO] Lender][their respective capacities as [Revolving][FILO] Lenders] under the Credit Agreement and the other Loan Documents or instruments delivered pursuant thereto to the extent related to the amount and percentage interest identified below of all of such outstanding rights and obligations of [the Assignor][the respective Assignors] under the respective facilities identified below (including, without limitation, participations in L/C Obligations and Swing Line Loans included in such facilities) and (ii) to the extent permitted to be assigned under applicable Law, all claims, suits, causes of action and any other right of [the Assignor (in its capacity as a [Revolving][FILO] Lender)][the respective Assignors (in their respective capacities as [Revolving][FILO] Lenders)] against any Person, whether known or unknown, arising under or in connection with the Credit Agreement, any other Loan Documents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[the][any] Assignor to [the][any] Assignee pursuant to clauses (i) and (ii) above being referred to herein collectively as [the][an] “</w:t>
      </w:r>
      <w:r>
        <w:rPr>
          <w:rFonts w:ascii="Arial" w:cs="Arial" w:eastAsia="Arial" w:hAnsi="Arial"/>
          <w:sz w:val="13"/>
          <w:szCs w:val="13"/>
          <w:u w:val="single" w:color="auto"/>
          <w:color w:val="auto"/>
        </w:rPr>
        <w:t>Assigned Interest</w:t>
      </w:r>
      <w:r>
        <w:rPr>
          <w:rFonts w:ascii="Arial" w:cs="Arial" w:eastAsia="Arial" w:hAnsi="Arial"/>
          <w:sz w:val="13"/>
          <w:szCs w:val="13"/>
          <w:color w:val="auto"/>
        </w:rPr>
        <w:t>”). Each such sale and assignment is without recourse to [the][any] Assignor and, except as expressly provided in this Assignment and Assumption, without representation or warranty by [the][any] Assignor.</w:t>
      </w:r>
    </w:p>
    <w:p>
      <w:pPr>
        <w:spacing w:after="0" w:line="132" w:lineRule="exact"/>
        <w:rPr>
          <w:sz w:val="20"/>
          <w:szCs w:val="20"/>
          <w:color w:val="auto"/>
        </w:rPr>
      </w:pPr>
    </w:p>
    <w:p>
      <w:pPr>
        <w:ind w:left="1460" w:hanging="767"/>
        <w:spacing w:after="0"/>
        <w:tabs>
          <w:tab w:leader="none" w:pos="1460" w:val="left"/>
        </w:tabs>
        <w:numPr>
          <w:ilvl w:val="0"/>
          <w:numId w:val="220"/>
        </w:numPr>
        <w:rPr>
          <w:rFonts w:ascii="Arial" w:cs="Arial" w:eastAsia="Arial" w:hAnsi="Arial"/>
          <w:sz w:val="14"/>
          <w:szCs w:val="14"/>
          <w:color w:val="auto"/>
        </w:rPr>
      </w:pPr>
      <w:r>
        <w:rPr>
          <w:rFonts w:ascii="Arial" w:cs="Arial" w:eastAsia="Arial" w:hAnsi="Arial"/>
          <w:sz w:val="14"/>
          <w:szCs w:val="14"/>
          <w:u w:val="single" w:color="auto"/>
          <w:color w:val="auto"/>
        </w:rPr>
        <w:t>Assignor[s]</w:t>
      </w:r>
      <w:r>
        <w:rPr>
          <w:rFonts w:ascii="Arial" w:cs="Arial" w:eastAsia="Arial" w:hAnsi="Arial"/>
          <w:sz w:val="14"/>
          <w:szCs w:val="14"/>
          <w:color w:val="auto"/>
        </w:rPr>
        <w:t>:</w:t>
      </w:r>
    </w:p>
    <w:p>
      <w:pPr>
        <w:spacing w:after="0" w:line="331" w:lineRule="exact"/>
        <w:rPr>
          <w:sz w:val="20"/>
          <w:szCs w:val="20"/>
          <w:color w:val="auto"/>
        </w:rPr>
      </w:pPr>
    </w:p>
    <w:p>
      <w:pPr>
        <w:ind w:left="700" w:right="260"/>
        <w:spacing w:after="0" w:line="233" w:lineRule="auto"/>
        <w:rPr>
          <w:sz w:val="20"/>
          <w:szCs w:val="20"/>
          <w:color w:val="auto"/>
        </w:rPr>
      </w:pPr>
      <w:r>
        <w:rPr>
          <w:rFonts w:ascii="Arial" w:cs="Arial" w:eastAsia="Arial" w:hAnsi="Arial"/>
          <w:sz w:val="7"/>
          <w:szCs w:val="7"/>
          <w:color w:val="auto"/>
        </w:rPr>
        <w:t xml:space="preserve">1 </w:t>
      </w:r>
      <w:r>
        <w:rPr>
          <w:rFonts w:ascii="Arial" w:cs="Arial" w:eastAsia="Arial" w:hAnsi="Arial"/>
          <w:sz w:val="10"/>
          <w:szCs w:val="10"/>
          <w:color w:val="auto"/>
        </w:rPr>
        <w:t>For bracketed language here and elsewhere in this form relating to the Assignor(s), if the assignment is from a single Assignor, choose the first bracketed language. If the assignment is from multiple Assignors, choose the second bracketed</w:t>
      </w:r>
      <w:r>
        <w:rPr>
          <w:rFonts w:ascii="Arial" w:cs="Arial" w:eastAsia="Arial" w:hAnsi="Arial"/>
          <w:sz w:val="7"/>
          <w:szCs w:val="7"/>
          <w:color w:val="auto"/>
        </w:rPr>
        <w:t xml:space="preserve"> </w:t>
      </w:r>
      <w:r>
        <w:rPr>
          <w:rFonts w:ascii="Arial" w:cs="Arial" w:eastAsia="Arial" w:hAnsi="Arial"/>
          <w:sz w:val="10"/>
          <w:szCs w:val="10"/>
          <w:color w:val="auto"/>
        </w:rPr>
        <w:t>language.</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6"/>
          <w:szCs w:val="6"/>
          <w:color w:val="auto"/>
        </w:rPr>
        <w:t xml:space="preserve">2 </w:t>
      </w:r>
      <w:r>
        <w:rPr>
          <w:rFonts w:ascii="Arial" w:cs="Arial" w:eastAsia="Arial" w:hAnsi="Arial"/>
          <w:sz w:val="9"/>
          <w:szCs w:val="9"/>
          <w:color w:val="auto"/>
        </w:rPr>
        <w:t>For bracketed language here and elsewhere in this form relating to the Assignee(s), if the assignment is to a single Assignee, choose the first bracketed language. If the assignment is to multiple Assignees, choose the second bracketed language.</w:t>
      </w:r>
    </w:p>
    <w:p>
      <w:pPr>
        <w:spacing w:after="0" w:line="5" w:lineRule="exact"/>
        <w:rPr>
          <w:sz w:val="20"/>
          <w:szCs w:val="20"/>
          <w:color w:val="auto"/>
        </w:rPr>
      </w:pPr>
    </w:p>
    <w:p>
      <w:pPr>
        <w:ind w:left="700"/>
        <w:spacing w:after="0"/>
        <w:rPr>
          <w:sz w:val="20"/>
          <w:szCs w:val="20"/>
          <w:color w:val="auto"/>
        </w:rPr>
      </w:pPr>
      <w:r>
        <w:rPr>
          <w:rFonts w:ascii="Arial" w:cs="Arial" w:eastAsia="Arial" w:hAnsi="Arial"/>
          <w:sz w:val="7"/>
          <w:szCs w:val="7"/>
          <w:color w:val="auto"/>
        </w:rPr>
        <w:t xml:space="preserve">3 </w:t>
      </w:r>
      <w:r>
        <w:rPr>
          <w:rFonts w:ascii="Arial" w:cs="Arial" w:eastAsia="Arial" w:hAnsi="Arial"/>
          <w:sz w:val="10"/>
          <w:szCs w:val="10"/>
          <w:color w:val="auto"/>
        </w:rPr>
        <w:t>Select as appropriate.</w:t>
      </w:r>
    </w:p>
    <w:p>
      <w:pPr>
        <w:spacing w:after="0" w:line="6" w:lineRule="exact"/>
        <w:rPr>
          <w:sz w:val="20"/>
          <w:szCs w:val="20"/>
          <w:color w:val="auto"/>
        </w:rPr>
      </w:pPr>
    </w:p>
    <w:p>
      <w:pPr>
        <w:ind w:left="700"/>
        <w:spacing w:after="0"/>
        <w:rPr>
          <w:sz w:val="20"/>
          <w:szCs w:val="20"/>
          <w:color w:val="auto"/>
        </w:rPr>
      </w:pPr>
      <w:r>
        <w:rPr>
          <w:rFonts w:ascii="Arial" w:cs="Arial" w:eastAsia="Arial" w:hAnsi="Arial"/>
          <w:sz w:val="7"/>
          <w:szCs w:val="7"/>
          <w:color w:val="auto"/>
        </w:rPr>
        <w:t xml:space="preserve">4 </w:t>
      </w:r>
      <w:r>
        <w:rPr>
          <w:rFonts w:ascii="Arial" w:cs="Arial" w:eastAsia="Arial" w:hAnsi="Arial"/>
          <w:sz w:val="10"/>
          <w:szCs w:val="10"/>
          <w:color w:val="auto"/>
        </w:rPr>
        <w:t>Include bracketed language if there are either multiple Assignors or multiple Assignees.</w:t>
      </w:r>
    </w:p>
    <w:p>
      <w:pPr>
        <w:spacing w:after="0" w:line="257" w:lineRule="exact"/>
        <w:rPr>
          <w:sz w:val="20"/>
          <w:szCs w:val="20"/>
          <w:color w:val="auto"/>
        </w:rPr>
      </w:pPr>
    </w:p>
    <w:p>
      <w:pPr>
        <w:spacing w:after="0"/>
        <w:rPr>
          <w:sz w:val="20"/>
          <w:szCs w:val="20"/>
          <w:color w:val="auto"/>
        </w:rPr>
      </w:pPr>
      <w:r>
        <w:rPr>
          <w:rFonts w:ascii="Arial" w:cs="Arial" w:eastAsia="Arial" w:hAnsi="Arial"/>
          <w:sz w:val="10"/>
          <w:szCs w:val="10"/>
          <w:color w:val="auto"/>
        </w:rPr>
        <w:t>DB1/ 97584532.1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242570</wp:posOffset>
            </wp:positionV>
            <wp:extent cx="7329170" cy="368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740"/>
          </w:cols>
          <w:pgMar w:left="240" w:top="301" w:right="919" w:bottom="1440" w:gutter="0" w:footer="0" w:header="0"/>
        </w:sectPr>
      </w:pPr>
    </w:p>
    <w:bookmarkStart w:id="219" w:name="page220"/>
    <w:bookmarkEnd w:id="219"/>
    <w:p>
      <w:pPr>
        <w:ind w:left="1460" w:hanging="767"/>
        <w:spacing w:after="0"/>
        <w:tabs>
          <w:tab w:leader="none" w:pos="1460" w:val="left"/>
        </w:tabs>
        <w:numPr>
          <w:ilvl w:val="0"/>
          <w:numId w:val="221"/>
        </w:numPr>
        <w:rPr>
          <w:rFonts w:ascii="Arial" w:cs="Arial" w:eastAsia="Arial" w:hAnsi="Arial"/>
          <w:sz w:val="14"/>
          <w:szCs w:val="14"/>
          <w:color w:val="auto"/>
        </w:rPr>
      </w:pPr>
      <w:r>
        <w:rPr>
          <w:rFonts w:ascii="Arial" w:cs="Arial" w:eastAsia="Arial" w:hAnsi="Arial"/>
          <w:sz w:val="14"/>
          <w:szCs w:val="14"/>
          <w:u w:val="single" w:color="auto"/>
          <w:color w:val="auto"/>
        </w:rPr>
        <w:t>Assignee[s]</w:t>
      </w:r>
      <w:r>
        <w:rPr>
          <w:rFonts w:ascii="Arial" w:cs="Arial" w:eastAsia="Arial" w:hAnsi="Arial"/>
          <w:sz w:val="14"/>
          <w:szCs w:val="14"/>
          <w:color w:val="auto"/>
        </w:rPr>
        <w:t>:</w:t>
      </w:r>
    </w:p>
    <w:p>
      <w:pPr>
        <w:spacing w:after="0" w:line="136" w:lineRule="exact"/>
        <w:rPr>
          <w:sz w:val="20"/>
          <w:szCs w:val="20"/>
          <w:color w:val="auto"/>
        </w:rPr>
      </w:pPr>
    </w:p>
    <w:p>
      <w:pPr>
        <w:ind w:left="700"/>
        <w:spacing w:after="0"/>
        <w:rPr>
          <w:sz w:val="20"/>
          <w:szCs w:val="20"/>
          <w:color w:val="auto"/>
        </w:rPr>
      </w:pPr>
      <w:r>
        <w:rPr>
          <w:rFonts w:ascii="Arial" w:cs="Arial" w:eastAsia="Arial" w:hAnsi="Arial"/>
          <w:sz w:val="14"/>
          <w:szCs w:val="14"/>
          <w:color w:val="auto"/>
        </w:rPr>
        <w:t>[for each Assignee, indicate if [Affiliate][Approved Fund] of [identify Lender]]</w:t>
      </w:r>
    </w:p>
    <w:p>
      <w:pPr>
        <w:spacing w:after="0" w:line="154" w:lineRule="exact"/>
        <w:rPr>
          <w:sz w:val="20"/>
          <w:szCs w:val="20"/>
          <w:color w:val="auto"/>
        </w:rPr>
      </w:pPr>
    </w:p>
    <w:p>
      <w:pPr>
        <w:ind w:left="1460" w:hanging="767"/>
        <w:spacing w:after="0"/>
        <w:tabs>
          <w:tab w:leader="none" w:pos="1460" w:val="left"/>
        </w:tabs>
        <w:numPr>
          <w:ilvl w:val="0"/>
          <w:numId w:val="222"/>
        </w:numPr>
        <w:rPr>
          <w:rFonts w:ascii="Arial" w:cs="Arial" w:eastAsia="Arial" w:hAnsi="Arial"/>
          <w:sz w:val="14"/>
          <w:szCs w:val="14"/>
          <w:color w:val="auto"/>
        </w:rPr>
      </w:pPr>
      <w:r>
        <w:rPr>
          <w:rFonts w:ascii="Arial" w:cs="Arial" w:eastAsia="Arial" w:hAnsi="Arial"/>
          <w:sz w:val="14"/>
          <w:szCs w:val="14"/>
          <w:u w:val="single" w:color="auto"/>
          <w:color w:val="auto"/>
        </w:rPr>
        <w:t>Borrowers</w:t>
      </w:r>
      <w:r>
        <w:rPr>
          <w:rFonts w:ascii="Arial" w:cs="Arial" w:eastAsia="Arial" w:hAnsi="Arial"/>
          <w:sz w:val="14"/>
          <w:szCs w:val="14"/>
          <w:color w:val="auto"/>
        </w:rPr>
        <w:t>:Destination XL Group, Inc. and CMRG Apparel, LLC.</w:t>
      </w:r>
    </w:p>
    <w:p>
      <w:pPr>
        <w:spacing w:after="0" w:line="145" w:lineRule="exact"/>
        <w:rPr>
          <w:rFonts w:ascii="Arial" w:cs="Arial" w:eastAsia="Arial" w:hAnsi="Arial"/>
          <w:sz w:val="14"/>
          <w:szCs w:val="14"/>
          <w:color w:val="auto"/>
        </w:rPr>
      </w:pPr>
    </w:p>
    <w:p>
      <w:pPr>
        <w:ind w:left="1460" w:hanging="767"/>
        <w:spacing w:after="0"/>
        <w:tabs>
          <w:tab w:leader="none" w:pos="1460" w:val="left"/>
        </w:tabs>
        <w:numPr>
          <w:ilvl w:val="0"/>
          <w:numId w:val="222"/>
        </w:numPr>
        <w:rPr>
          <w:rFonts w:ascii="Arial" w:cs="Arial" w:eastAsia="Arial" w:hAnsi="Arial"/>
          <w:sz w:val="14"/>
          <w:szCs w:val="14"/>
          <w:color w:val="auto"/>
        </w:rPr>
      </w:pPr>
      <w:r>
        <w:rPr>
          <w:rFonts w:ascii="Arial" w:cs="Arial" w:eastAsia="Arial" w:hAnsi="Arial"/>
          <w:sz w:val="14"/>
          <w:szCs w:val="14"/>
          <w:u w:val="single" w:color="auto"/>
          <w:color w:val="auto"/>
        </w:rPr>
        <w:t>Agent</w:t>
      </w:r>
      <w:r>
        <w:rPr>
          <w:rFonts w:ascii="Arial" w:cs="Arial" w:eastAsia="Arial" w:hAnsi="Arial"/>
          <w:sz w:val="14"/>
          <w:szCs w:val="14"/>
          <w:color w:val="auto"/>
        </w:rPr>
        <w:t>: Bank of America, N.A., as the Agent under the Credit Agreement.</w:t>
      </w:r>
    </w:p>
    <w:p>
      <w:pPr>
        <w:spacing w:after="0" w:line="145" w:lineRule="exact"/>
        <w:rPr>
          <w:rFonts w:ascii="Arial" w:cs="Arial" w:eastAsia="Arial" w:hAnsi="Arial"/>
          <w:sz w:val="14"/>
          <w:szCs w:val="14"/>
          <w:color w:val="auto"/>
        </w:rPr>
      </w:pPr>
    </w:p>
    <w:p>
      <w:pPr>
        <w:jc w:val="both"/>
        <w:ind w:left="1460" w:hanging="767"/>
        <w:spacing w:after="0" w:line="257" w:lineRule="auto"/>
        <w:tabs>
          <w:tab w:leader="none" w:pos="1460" w:val="left"/>
        </w:tabs>
        <w:numPr>
          <w:ilvl w:val="0"/>
          <w:numId w:val="222"/>
        </w:numPr>
        <w:rPr>
          <w:rFonts w:ascii="Arial" w:cs="Arial" w:eastAsia="Arial" w:hAnsi="Arial"/>
          <w:sz w:val="14"/>
          <w:szCs w:val="14"/>
          <w:color w:val="auto"/>
        </w:rPr>
      </w:pPr>
      <w:r>
        <w:rPr>
          <w:rFonts w:ascii="Arial" w:cs="Arial" w:eastAsia="Arial" w:hAnsi="Arial"/>
          <w:sz w:val="14"/>
          <w:szCs w:val="14"/>
          <w:u w:val="single" w:color="auto"/>
          <w:color w:val="auto"/>
        </w:rPr>
        <w:t>Credit Agreement</w:t>
      </w:r>
      <w:r>
        <w:rPr>
          <w:rFonts w:ascii="Arial" w:cs="Arial" w:eastAsia="Arial" w:hAnsi="Arial"/>
          <w:sz w:val="14"/>
          <w:szCs w:val="14"/>
          <w:color w:val="auto"/>
        </w:rPr>
        <w:t>: Seventh Amended and Restated Credit Agreement dated as of May 24, 2018 (as amended, restated, supplemented or otherwise modified and in effect from time to time), by and among (i) the Borrowers, (ii) the Guarantors party thereto from time to time, (iii) the Lenders from time to time party thereto, and (iv) the Agent.</w:t>
      </w:r>
    </w:p>
    <w:p>
      <w:pPr>
        <w:spacing w:after="0" w:line="131" w:lineRule="exact"/>
        <w:rPr>
          <w:rFonts w:ascii="Arial" w:cs="Arial" w:eastAsia="Arial" w:hAnsi="Arial"/>
          <w:sz w:val="14"/>
          <w:szCs w:val="14"/>
          <w:color w:val="auto"/>
        </w:rPr>
      </w:pPr>
    </w:p>
    <w:p>
      <w:pPr>
        <w:ind w:left="1460" w:hanging="767"/>
        <w:spacing w:after="0"/>
        <w:tabs>
          <w:tab w:leader="none" w:pos="1460" w:val="left"/>
        </w:tabs>
        <w:numPr>
          <w:ilvl w:val="0"/>
          <w:numId w:val="222"/>
        </w:numPr>
        <w:rPr>
          <w:rFonts w:ascii="Arial" w:cs="Arial" w:eastAsia="Arial" w:hAnsi="Arial"/>
          <w:sz w:val="14"/>
          <w:szCs w:val="14"/>
          <w:color w:val="auto"/>
        </w:rPr>
      </w:pPr>
      <w:r>
        <w:rPr>
          <w:rFonts w:ascii="Arial" w:cs="Arial" w:eastAsia="Arial" w:hAnsi="Arial"/>
          <w:sz w:val="14"/>
          <w:szCs w:val="14"/>
          <w:u w:val="single" w:color="auto"/>
          <w:color w:val="auto"/>
        </w:rPr>
        <w:t>Assigned Interest[s]</w:t>
      </w:r>
      <w:r>
        <w:rPr>
          <w:rFonts w:ascii="Arial" w:cs="Arial" w:eastAsia="Arial" w:hAnsi="Arial"/>
          <w:sz w:val="14"/>
          <w:szCs w:val="14"/>
          <w:color w:val="auto"/>
        </w:rPr>
        <w:t>:</w:t>
      </w:r>
    </w:p>
    <w:p>
      <w:pPr>
        <w:spacing w:after="0" w:line="158" w:lineRule="exact"/>
        <w:rPr>
          <w:sz w:val="20"/>
          <w:szCs w:val="20"/>
          <w:color w:val="auto"/>
        </w:rPr>
      </w:pPr>
    </w:p>
    <w:tbl>
      <w:tblPr>
        <w:tblLayout w:type="fixed"/>
        <w:tblInd w:w="590" w:type="dxa"/>
        <w:tblCellMar>
          <w:top w:w="0" w:type="dxa"/>
          <w:left w:w="0" w:type="dxa"/>
          <w:bottom w:w="0" w:type="dxa"/>
          <w:right w:w="0" w:type="dxa"/>
        </w:tblCellMar>
      </w:tblPr>
      <w:tr>
        <w:trPr>
          <w:trHeight w:val="139"/>
        </w:trPr>
        <w:tc>
          <w:tcPr>
            <w:tcW w:w="100" w:type="dxa"/>
            <w:vAlign w:val="bottom"/>
            <w:tcBorders>
              <w:top w:val="single" w:sz="8" w:color="auto"/>
              <w:left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Borders>
              <w:top w:val="single" w:sz="8" w:color="auto"/>
              <w:right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right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right w:val="single" w:sz="8" w:color="auto"/>
            </w:tcBorders>
          </w:tcPr>
          <w:p>
            <w:pPr>
              <w:spacing w:after="0"/>
              <w:rPr>
                <w:sz w:val="12"/>
                <w:szCs w:val="12"/>
                <w:color w:val="auto"/>
              </w:rPr>
            </w:pPr>
          </w:p>
        </w:tc>
        <w:tc>
          <w:tcPr>
            <w:tcW w:w="1300" w:type="dxa"/>
            <w:vAlign w:val="bottom"/>
            <w:tcBorders>
              <w:top w:val="single" w:sz="8" w:color="auto"/>
              <w:right w:val="single" w:sz="8" w:color="auto"/>
            </w:tcBorders>
            <w:gridSpan w:val="6"/>
          </w:tcPr>
          <w:p>
            <w:pPr>
              <w:jc w:val="center"/>
              <w:ind w:left="2"/>
              <w:spacing w:after="0"/>
              <w:rPr>
                <w:sz w:val="20"/>
                <w:szCs w:val="20"/>
                <w:color w:val="auto"/>
              </w:rPr>
            </w:pPr>
            <w:r>
              <w:rPr>
                <w:rFonts w:ascii="Arial" w:cs="Arial" w:eastAsia="Arial" w:hAnsi="Arial"/>
                <w:sz w:val="11"/>
                <w:szCs w:val="11"/>
                <w:color w:val="auto"/>
                <w:w w:val="92"/>
              </w:rPr>
              <w:t>Amount of Assignor’s</w:t>
            </w:r>
          </w:p>
        </w:tc>
        <w:tc>
          <w:tcPr>
            <w:tcW w:w="6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Amount  of</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right w:val="single" w:sz="8" w:color="auto"/>
            </w:tcBorders>
            <w:gridSpan w:val="2"/>
          </w:tcPr>
          <w:p>
            <w:pPr>
              <w:jc w:val="center"/>
              <w:ind w:right="160"/>
              <w:spacing w:after="0"/>
              <w:rPr>
                <w:sz w:val="20"/>
                <w:szCs w:val="20"/>
                <w:color w:val="auto"/>
              </w:rPr>
            </w:pPr>
            <w:r>
              <w:rPr>
                <w:rFonts w:ascii="Arial" w:cs="Arial" w:eastAsia="Arial" w:hAnsi="Arial"/>
                <w:sz w:val="11"/>
                <w:szCs w:val="11"/>
                <w:color w:val="auto"/>
                <w:w w:val="94"/>
              </w:rPr>
              <w:t>Applicable</w:t>
            </w: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right w:val="single" w:sz="8" w:color="auto"/>
            </w:tcBorders>
            <w:gridSpan w:val="2"/>
          </w:tcPr>
          <w:p>
            <w:pPr>
              <w:ind w:left="40"/>
              <w:spacing w:after="0"/>
              <w:rPr>
                <w:sz w:val="20"/>
                <w:szCs w:val="20"/>
                <w:color w:val="auto"/>
              </w:rPr>
            </w:pPr>
            <w:r>
              <w:rPr>
                <w:rFonts w:ascii="Arial" w:cs="Arial" w:eastAsia="Arial" w:hAnsi="Arial"/>
                <w:sz w:val="11"/>
                <w:szCs w:val="11"/>
                <w:color w:val="auto"/>
              </w:rPr>
              <w:t>Resulting</w:t>
            </w: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right w:val="single" w:sz="8" w:color="auto"/>
            </w:tcBorders>
            <w:gridSpan w:val="2"/>
          </w:tcPr>
          <w:p>
            <w:pPr>
              <w:ind w:left="60"/>
              <w:spacing w:after="0"/>
              <w:rPr>
                <w:sz w:val="20"/>
                <w:szCs w:val="20"/>
                <w:color w:val="auto"/>
              </w:rPr>
            </w:pPr>
            <w:r>
              <w:rPr>
                <w:rFonts w:ascii="Arial" w:cs="Arial" w:eastAsia="Arial" w:hAnsi="Arial"/>
                <w:sz w:val="11"/>
                <w:szCs w:val="11"/>
                <w:color w:val="auto"/>
              </w:rPr>
              <w:t>Resulting</w:t>
            </w:r>
          </w:p>
        </w:tc>
        <w:tc>
          <w:tcPr>
            <w:tcW w:w="0" w:type="dxa"/>
            <w:vAlign w:val="bottom"/>
          </w:tcPr>
          <w:p>
            <w:pPr>
              <w:spacing w:after="0"/>
              <w:rPr>
                <w:sz w:val="1"/>
                <w:szCs w:val="1"/>
                <w:color w:val="auto"/>
              </w:rPr>
            </w:pPr>
          </w:p>
        </w:tc>
      </w:tr>
      <w:tr>
        <w:trPr>
          <w:trHeight w:val="135"/>
        </w:trPr>
        <w:tc>
          <w:tcPr>
            <w:tcW w:w="100" w:type="dxa"/>
            <w:vAlign w:val="bottom"/>
            <w:tcBorders>
              <w:lef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Borders>
              <w:right w:val="single" w:sz="8" w:color="auto"/>
            </w:tcBorders>
            <w:gridSpan w:val="4"/>
          </w:tcPr>
          <w:p>
            <w:pPr>
              <w:jc w:val="center"/>
              <w:ind w:right="360"/>
              <w:spacing w:after="0"/>
              <w:rPr>
                <w:sz w:val="20"/>
                <w:szCs w:val="20"/>
                <w:color w:val="auto"/>
              </w:rPr>
            </w:pPr>
            <w:r>
              <w:rPr>
                <w:rFonts w:ascii="Arial" w:cs="Arial" w:eastAsia="Arial" w:hAnsi="Arial"/>
                <w:sz w:val="11"/>
                <w:szCs w:val="11"/>
                <w:color w:val="auto"/>
                <w:w w:val="91"/>
              </w:rPr>
              <w:t>Revolving</w:t>
            </w:r>
          </w:p>
        </w:tc>
        <w:tc>
          <w:tcPr>
            <w:tcW w:w="68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rPr>
              <w:t>Revolving</w:t>
            </w:r>
          </w:p>
        </w:tc>
        <w:tc>
          <w:tcPr>
            <w:tcW w:w="100" w:type="dxa"/>
            <w:vAlign w:val="bottom"/>
          </w:tcPr>
          <w:p>
            <w:pPr>
              <w:spacing w:after="0"/>
              <w:rPr>
                <w:sz w:val="11"/>
                <w:szCs w:val="11"/>
                <w:color w:val="auto"/>
              </w:rPr>
            </w:pPr>
          </w:p>
        </w:tc>
        <w:tc>
          <w:tcPr>
            <w:tcW w:w="760" w:type="dxa"/>
            <w:vAlign w:val="bottom"/>
            <w:tcBorders>
              <w:right w:val="single" w:sz="8" w:color="auto"/>
            </w:tcBorders>
            <w:gridSpan w:val="3"/>
          </w:tcPr>
          <w:p>
            <w:pPr>
              <w:jc w:val="center"/>
              <w:ind w:right="80"/>
              <w:spacing w:after="0"/>
              <w:rPr>
                <w:sz w:val="20"/>
                <w:szCs w:val="20"/>
                <w:color w:val="auto"/>
              </w:rPr>
            </w:pPr>
            <w:r>
              <w:rPr>
                <w:rFonts w:ascii="Arial" w:cs="Arial" w:eastAsia="Arial" w:hAnsi="Arial"/>
                <w:sz w:val="11"/>
                <w:szCs w:val="11"/>
                <w:color w:val="auto"/>
                <w:w w:val="87"/>
              </w:rPr>
              <w:t>Percentage of</w:t>
            </w:r>
          </w:p>
        </w:tc>
        <w:tc>
          <w:tcPr>
            <w:tcW w:w="660" w:type="dxa"/>
            <w:vAlign w:val="bottom"/>
            <w:tcBorders>
              <w:right w:val="single" w:sz="8" w:color="auto"/>
            </w:tcBorders>
            <w:gridSpan w:val="3"/>
          </w:tcPr>
          <w:p>
            <w:pPr>
              <w:ind w:left="60"/>
              <w:spacing w:after="0"/>
              <w:rPr>
                <w:sz w:val="20"/>
                <w:szCs w:val="20"/>
                <w:color w:val="auto"/>
              </w:rPr>
            </w:pPr>
            <w:r>
              <w:rPr>
                <w:rFonts w:ascii="Arial" w:cs="Arial" w:eastAsia="Arial" w:hAnsi="Arial"/>
                <w:sz w:val="11"/>
                <w:szCs w:val="11"/>
                <w:color w:val="auto"/>
              </w:rPr>
              <w:t>Revolving</w:t>
            </w:r>
          </w:p>
        </w:tc>
        <w:tc>
          <w:tcPr>
            <w:tcW w:w="680" w:type="dxa"/>
            <w:vAlign w:val="bottom"/>
            <w:tcBorders>
              <w:right w:val="single" w:sz="8" w:color="auto"/>
            </w:tcBorders>
            <w:gridSpan w:val="3"/>
          </w:tcPr>
          <w:p>
            <w:pPr>
              <w:ind w:left="60"/>
              <w:spacing w:after="0"/>
              <w:rPr>
                <w:sz w:val="20"/>
                <w:szCs w:val="20"/>
                <w:color w:val="auto"/>
              </w:rPr>
            </w:pPr>
            <w:r>
              <w:rPr>
                <w:rFonts w:ascii="Arial" w:cs="Arial" w:eastAsia="Arial" w:hAnsi="Arial"/>
                <w:sz w:val="11"/>
                <w:szCs w:val="11"/>
                <w:color w:val="auto"/>
              </w:rPr>
              <w:t>Revolving</w:t>
            </w:r>
          </w:p>
        </w:tc>
        <w:tc>
          <w:tcPr>
            <w:tcW w:w="0" w:type="dxa"/>
            <w:vAlign w:val="bottom"/>
          </w:tcPr>
          <w:p>
            <w:pPr>
              <w:spacing w:after="0"/>
              <w:rPr>
                <w:sz w:val="1"/>
                <w:szCs w:val="1"/>
                <w:color w:val="auto"/>
              </w:rPr>
            </w:pPr>
          </w:p>
        </w:tc>
      </w:tr>
      <w:tr>
        <w:trPr>
          <w:trHeight w:val="113"/>
        </w:trPr>
        <w:tc>
          <w:tcPr>
            <w:tcW w:w="100" w:type="dxa"/>
            <w:vAlign w:val="bottom"/>
            <w:tcBorders>
              <w:left w:val="single" w:sz="8" w:color="auto"/>
            </w:tcBorders>
            <w:vMerge w:val="restart"/>
          </w:tcPr>
          <w:p>
            <w:pPr>
              <w:spacing w:after="0"/>
              <w:rPr>
                <w:sz w:val="9"/>
                <w:szCs w:val="9"/>
                <w:color w:val="auto"/>
              </w:rPr>
            </w:pPr>
          </w:p>
        </w:tc>
        <w:tc>
          <w:tcPr>
            <w:tcW w:w="56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1"/>
                <w:szCs w:val="11"/>
                <w:color w:val="auto"/>
                <w:w w:val="95"/>
              </w:rPr>
              <w:t>Assignor[s]</w:t>
            </w:r>
          </w:p>
        </w:tc>
        <w:tc>
          <w:tcPr>
            <w:tcW w:w="60" w:type="dxa"/>
            <w:vAlign w:val="bottom"/>
          </w:tcPr>
          <w:p>
            <w:pPr>
              <w:spacing w:after="0"/>
              <w:rPr>
                <w:sz w:val="9"/>
                <w:szCs w:val="9"/>
                <w:color w:val="auto"/>
              </w:rPr>
            </w:pPr>
          </w:p>
        </w:tc>
        <w:tc>
          <w:tcPr>
            <w:tcW w:w="380" w:type="dxa"/>
            <w:vAlign w:val="bottom"/>
            <w:tcBorders>
              <w:right w:val="single" w:sz="8" w:color="auto"/>
            </w:tcBorders>
            <w:gridSpan w:val="3"/>
            <w:vMerge w:val="restart"/>
          </w:tcPr>
          <w:p>
            <w:pPr>
              <w:jc w:val="center"/>
              <w:ind w:right="20"/>
              <w:spacing w:after="0"/>
              <w:rPr>
                <w:sz w:val="20"/>
                <w:szCs w:val="20"/>
                <w:color w:val="auto"/>
              </w:rPr>
            </w:pPr>
            <w:r>
              <w:rPr>
                <w:rFonts w:ascii="Arial" w:cs="Arial" w:eastAsia="Arial" w:hAnsi="Arial"/>
                <w:sz w:val="11"/>
                <w:szCs w:val="11"/>
                <w:color w:val="auto"/>
                <w:w w:val="91"/>
              </w:rPr>
              <w:t>Assigne</w:t>
            </w:r>
          </w:p>
        </w:tc>
        <w:tc>
          <w:tcPr>
            <w:tcW w:w="40" w:type="dxa"/>
            <w:vAlign w:val="bottom"/>
          </w:tcPr>
          <w:p>
            <w:pPr>
              <w:spacing w:after="0"/>
              <w:rPr>
                <w:sz w:val="9"/>
                <w:szCs w:val="9"/>
                <w:color w:val="auto"/>
              </w:rPr>
            </w:pPr>
          </w:p>
        </w:tc>
        <w:tc>
          <w:tcPr>
            <w:tcW w:w="340" w:type="dxa"/>
            <w:vAlign w:val="bottom"/>
            <w:gridSpan w:val="2"/>
            <w:vMerge w:val="restart"/>
          </w:tcPr>
          <w:p>
            <w:pPr>
              <w:spacing w:after="0"/>
              <w:rPr>
                <w:sz w:val="20"/>
                <w:szCs w:val="20"/>
                <w:color w:val="auto"/>
              </w:rPr>
            </w:pPr>
            <w:r>
              <w:rPr>
                <w:rFonts w:ascii="Arial" w:cs="Arial" w:eastAsia="Arial" w:hAnsi="Arial"/>
                <w:sz w:val="11"/>
                <w:szCs w:val="11"/>
                <w:color w:val="auto"/>
                <w:w w:val="93"/>
              </w:rPr>
              <w:t>Facility</w:t>
            </w: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300" w:type="dxa"/>
            <w:vAlign w:val="bottom"/>
            <w:tcBorders>
              <w:right w:val="single" w:sz="8" w:color="auto"/>
            </w:tcBorders>
            <w:gridSpan w:val="6"/>
          </w:tcPr>
          <w:p>
            <w:pPr>
              <w:jc w:val="center"/>
              <w:ind w:left="2"/>
              <w:spacing w:after="0" w:line="114" w:lineRule="exact"/>
              <w:rPr>
                <w:sz w:val="20"/>
                <w:szCs w:val="20"/>
                <w:color w:val="auto"/>
              </w:rPr>
            </w:pPr>
            <w:r>
              <w:rPr>
                <w:rFonts w:ascii="Arial" w:cs="Arial" w:eastAsia="Arial" w:hAnsi="Arial"/>
                <w:sz w:val="11"/>
                <w:szCs w:val="11"/>
                <w:color w:val="auto"/>
                <w:w w:val="93"/>
              </w:rPr>
              <w:t>Commitment/Amount of</w:t>
            </w:r>
          </w:p>
        </w:tc>
        <w:tc>
          <w:tcPr>
            <w:tcW w:w="680" w:type="dxa"/>
            <w:vAlign w:val="bottom"/>
            <w:tcBorders>
              <w:right w:val="single" w:sz="8" w:color="auto"/>
            </w:tcBorders>
          </w:tcPr>
          <w:p>
            <w:pPr>
              <w:ind w:left="60"/>
              <w:spacing w:after="0" w:line="114" w:lineRule="exact"/>
              <w:rPr>
                <w:sz w:val="20"/>
                <w:szCs w:val="20"/>
                <w:color w:val="auto"/>
              </w:rPr>
            </w:pPr>
            <w:r>
              <w:rPr>
                <w:rFonts w:ascii="Arial" w:cs="Arial" w:eastAsia="Arial" w:hAnsi="Arial"/>
                <w:sz w:val="11"/>
                <w:szCs w:val="11"/>
                <w:color w:val="auto"/>
                <w:w w:val="92"/>
              </w:rPr>
              <w:t>Commitment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Borders>
              <w:right w:val="single" w:sz="8" w:color="auto"/>
            </w:tcBorders>
            <w:gridSpan w:val="2"/>
          </w:tcPr>
          <w:p>
            <w:pPr>
              <w:jc w:val="center"/>
              <w:ind w:right="140"/>
              <w:spacing w:after="0" w:line="114" w:lineRule="exact"/>
              <w:rPr>
                <w:sz w:val="20"/>
                <w:szCs w:val="20"/>
                <w:color w:val="auto"/>
              </w:rPr>
            </w:pPr>
            <w:r>
              <w:rPr>
                <w:rFonts w:ascii="Arial" w:cs="Arial" w:eastAsia="Arial" w:hAnsi="Arial"/>
                <w:sz w:val="11"/>
                <w:szCs w:val="11"/>
                <w:color w:val="auto"/>
                <w:w w:val="90"/>
              </w:rPr>
              <w:t>Assignor’s</w:t>
            </w:r>
          </w:p>
        </w:tc>
        <w:tc>
          <w:tcPr>
            <w:tcW w:w="660" w:type="dxa"/>
            <w:vAlign w:val="bottom"/>
            <w:tcBorders>
              <w:right w:val="single" w:sz="8" w:color="auto"/>
            </w:tcBorders>
            <w:gridSpan w:val="3"/>
          </w:tcPr>
          <w:p>
            <w:pPr>
              <w:ind w:left="60"/>
              <w:spacing w:after="0" w:line="114" w:lineRule="exact"/>
              <w:rPr>
                <w:sz w:val="20"/>
                <w:szCs w:val="20"/>
                <w:color w:val="auto"/>
              </w:rPr>
            </w:pPr>
            <w:r>
              <w:rPr>
                <w:rFonts w:ascii="Arial" w:cs="Arial" w:eastAsia="Arial" w:hAnsi="Arial"/>
                <w:sz w:val="11"/>
                <w:szCs w:val="11"/>
                <w:color w:val="auto"/>
                <w:w w:val="89"/>
              </w:rPr>
              <w:t>Commitment</w:t>
            </w:r>
          </w:p>
        </w:tc>
        <w:tc>
          <w:tcPr>
            <w:tcW w:w="680" w:type="dxa"/>
            <w:vAlign w:val="bottom"/>
            <w:tcBorders>
              <w:right w:val="single" w:sz="8" w:color="auto"/>
            </w:tcBorders>
            <w:gridSpan w:val="3"/>
          </w:tcPr>
          <w:p>
            <w:pPr>
              <w:ind w:left="60"/>
              <w:spacing w:after="0" w:line="114" w:lineRule="exact"/>
              <w:rPr>
                <w:sz w:val="20"/>
                <w:szCs w:val="20"/>
                <w:color w:val="auto"/>
              </w:rPr>
            </w:pPr>
            <w:r>
              <w:rPr>
                <w:rFonts w:ascii="Arial" w:cs="Arial" w:eastAsia="Arial" w:hAnsi="Arial"/>
                <w:sz w:val="11"/>
                <w:szCs w:val="11"/>
                <w:color w:val="auto"/>
                <w:w w:val="92"/>
              </w:rPr>
              <w:t>Commitment</w:t>
            </w:r>
          </w:p>
        </w:tc>
        <w:tc>
          <w:tcPr>
            <w:tcW w:w="0" w:type="dxa"/>
            <w:vAlign w:val="bottom"/>
          </w:tcPr>
          <w:p>
            <w:pPr>
              <w:spacing w:after="0"/>
              <w:rPr>
                <w:sz w:val="1"/>
                <w:szCs w:val="1"/>
                <w:color w:val="auto"/>
              </w:rPr>
            </w:pPr>
          </w:p>
        </w:tc>
      </w:tr>
      <w:tr>
        <w:trPr>
          <w:trHeight w:val="48"/>
        </w:trPr>
        <w:tc>
          <w:tcPr>
            <w:tcW w:w="100" w:type="dxa"/>
            <w:vAlign w:val="bottom"/>
            <w:tcBorders>
              <w:left w:val="single" w:sz="8" w:color="auto"/>
            </w:tcBorders>
            <w:vMerge w:val="continue"/>
          </w:tcPr>
          <w:p>
            <w:pPr>
              <w:spacing w:after="0"/>
              <w:rPr>
                <w:sz w:val="3"/>
                <w:szCs w:val="3"/>
                <w:color w:val="auto"/>
              </w:rPr>
            </w:pPr>
          </w:p>
        </w:tc>
        <w:tc>
          <w:tcPr>
            <w:tcW w:w="56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Borders>
              <w:right w:val="single" w:sz="8" w:color="auto"/>
            </w:tcBorders>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Borders>
              <w:bottom w:val="single" w:sz="8" w:color="auto"/>
            </w:tcBorders>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gridSpan w:val="2"/>
            <w:vMerge w:val="restart"/>
          </w:tcPr>
          <w:p>
            <w:pPr>
              <w:jc w:val="center"/>
              <w:ind w:right="180"/>
              <w:spacing w:after="0"/>
              <w:rPr>
                <w:sz w:val="20"/>
                <w:szCs w:val="20"/>
                <w:color w:val="auto"/>
              </w:rPr>
            </w:pPr>
            <w:r>
              <w:rPr>
                <w:rFonts w:ascii="Arial" w:cs="Arial" w:eastAsia="Arial" w:hAnsi="Arial"/>
                <w:sz w:val="11"/>
                <w:szCs w:val="11"/>
                <w:color w:val="auto"/>
                <w:w w:val="92"/>
              </w:rPr>
              <w:t>FILO Loan</w:t>
            </w:r>
            <w:r>
              <w:rPr>
                <w:rFonts w:ascii="Arial" w:cs="Arial" w:eastAsia="Arial" w:hAnsi="Arial"/>
                <w:sz w:val="7"/>
                <w:szCs w:val="7"/>
                <w:color w:val="auto"/>
                <w:w w:val="92"/>
              </w:rPr>
              <w:t>8</w:t>
            </w:r>
          </w:p>
        </w:tc>
        <w:tc>
          <w:tcPr>
            <w:tcW w:w="100" w:type="dxa"/>
            <w:vAlign w:val="bottom"/>
            <w:tcBorders>
              <w:top w:val="single" w:sz="8" w:color="auto"/>
              <w:bottom w:val="single" w:sz="8" w:color="auto"/>
            </w:tcBorders>
            <w:vMerge w:val="restart"/>
          </w:tcPr>
          <w:p>
            <w:pPr>
              <w:spacing w:after="0"/>
              <w:rPr>
                <w:sz w:val="3"/>
                <w:szCs w:val="3"/>
                <w:color w:val="auto"/>
              </w:rPr>
            </w:pPr>
          </w:p>
        </w:tc>
        <w:tc>
          <w:tcPr>
            <w:tcW w:w="80" w:type="dxa"/>
            <w:vAlign w:val="bottom"/>
            <w:tcBorders>
              <w:right w:val="single" w:sz="8" w:color="auto"/>
            </w:tcBorders>
            <w:vMerge w:val="restart"/>
          </w:tcPr>
          <w:p>
            <w:pPr>
              <w:spacing w:after="0"/>
              <w:rPr>
                <w:sz w:val="3"/>
                <w:szCs w:val="3"/>
                <w:color w:val="auto"/>
              </w:rPr>
            </w:pPr>
          </w:p>
        </w:tc>
        <w:tc>
          <w:tcPr>
            <w:tcW w:w="6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 Amount of</w:t>
            </w: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Borders>
              <w:right w:val="single" w:sz="8" w:color="auto"/>
            </w:tcBorders>
            <w:gridSpan w:val="2"/>
            <w:vMerge w:val="restart"/>
          </w:tcPr>
          <w:p>
            <w:pPr>
              <w:jc w:val="center"/>
              <w:ind w:right="160"/>
              <w:spacing w:after="0"/>
              <w:rPr>
                <w:sz w:val="20"/>
                <w:szCs w:val="20"/>
                <w:color w:val="auto"/>
              </w:rPr>
            </w:pPr>
            <w:r>
              <w:rPr>
                <w:rFonts w:ascii="Arial" w:cs="Arial" w:eastAsia="Arial" w:hAnsi="Arial"/>
                <w:sz w:val="11"/>
                <w:szCs w:val="11"/>
                <w:color w:val="auto"/>
                <w:w w:val="91"/>
              </w:rPr>
              <w:t>Revolving</w:t>
            </w:r>
          </w:p>
        </w:tc>
        <w:tc>
          <w:tcPr>
            <w:tcW w:w="66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1"/>
                <w:szCs w:val="11"/>
                <w:color w:val="auto"/>
                <w:w w:val="96"/>
              </w:rPr>
              <w:t>/ FILO Loan</w:t>
            </w:r>
          </w:p>
        </w:tc>
        <w:tc>
          <w:tcPr>
            <w:tcW w:w="68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1"/>
                <w:szCs w:val="11"/>
                <w:color w:val="auto"/>
                <w:w w:val="99"/>
              </w:rPr>
              <w:t>/ FILO Loan</w:t>
            </w:r>
          </w:p>
        </w:tc>
        <w:tc>
          <w:tcPr>
            <w:tcW w:w="0" w:type="dxa"/>
            <w:vAlign w:val="bottom"/>
          </w:tcPr>
          <w:p>
            <w:pPr>
              <w:spacing w:after="0"/>
              <w:rPr>
                <w:sz w:val="1"/>
                <w:szCs w:val="1"/>
                <w:color w:val="auto"/>
              </w:rPr>
            </w:pPr>
          </w:p>
        </w:tc>
      </w:tr>
      <w:tr>
        <w:trPr>
          <w:trHeight w:val="40"/>
        </w:trPr>
        <w:tc>
          <w:tcPr>
            <w:tcW w:w="100" w:type="dxa"/>
            <w:vAlign w:val="bottom"/>
            <w:tcBorders>
              <w:left w:val="single" w:sz="8" w:color="auto"/>
            </w:tcBorders>
            <w:vMerge w:val="continue"/>
          </w:tcPr>
          <w:p>
            <w:pPr>
              <w:spacing w:after="0"/>
              <w:rPr>
                <w:sz w:val="3"/>
                <w:szCs w:val="3"/>
                <w:color w:val="auto"/>
              </w:rPr>
            </w:pPr>
          </w:p>
        </w:tc>
        <w:tc>
          <w:tcPr>
            <w:tcW w:w="56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Borders>
              <w:right w:val="single" w:sz="8" w:color="auto"/>
            </w:tcBorders>
            <w:gridSpan w:val="3"/>
            <w:vMerge w:val="continue"/>
          </w:tcPr>
          <w:p>
            <w:pPr>
              <w:spacing w:after="0"/>
              <w:rPr>
                <w:sz w:val="3"/>
                <w:szCs w:val="3"/>
                <w:color w:val="auto"/>
              </w:rPr>
            </w:pPr>
          </w:p>
        </w:tc>
        <w:tc>
          <w:tcPr>
            <w:tcW w:w="500" w:type="dxa"/>
            <w:vAlign w:val="bottom"/>
            <w:tcBorders>
              <w:right w:val="single" w:sz="8" w:color="auto"/>
            </w:tcBorders>
            <w:gridSpan w:val="5"/>
            <w:vMerge w:val="restart"/>
          </w:tcPr>
          <w:p>
            <w:pPr>
              <w:ind w:left="40"/>
              <w:spacing w:after="0" w:line="120" w:lineRule="exact"/>
              <w:rPr>
                <w:sz w:val="20"/>
                <w:szCs w:val="20"/>
                <w:color w:val="auto"/>
              </w:rPr>
            </w:pPr>
            <w:r>
              <w:rPr>
                <w:rFonts w:ascii="Arial" w:cs="Arial" w:eastAsia="Arial" w:hAnsi="Arial"/>
                <w:sz w:val="11"/>
                <w:szCs w:val="11"/>
                <w:color w:val="auto"/>
                <w:w w:val="85"/>
              </w:rPr>
              <w:t>Assigned</w:t>
            </w:r>
            <w:r>
              <w:rPr>
                <w:rFonts w:ascii="Arial" w:cs="Arial" w:eastAsia="Arial" w:hAnsi="Arial"/>
                <w:sz w:val="7"/>
                <w:szCs w:val="7"/>
                <w:color w:val="auto"/>
                <w:w w:val="85"/>
              </w:rPr>
              <w:t>7</w:t>
            </w: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80" w:type="dxa"/>
            <w:vAlign w:val="bottom"/>
            <w:tcBorders>
              <w:right w:val="single" w:sz="8" w:color="auto"/>
            </w:tcBorders>
            <w:vMerge w:val="continue"/>
          </w:tcPr>
          <w:p>
            <w:pPr>
              <w:spacing w:after="0"/>
              <w:rPr>
                <w:sz w:val="3"/>
                <w:szCs w:val="3"/>
                <w:color w:val="auto"/>
              </w:rPr>
            </w:pPr>
          </w:p>
        </w:tc>
        <w:tc>
          <w:tcPr>
            <w:tcW w:w="680" w:type="dxa"/>
            <w:vAlign w:val="bottom"/>
            <w:tcBorders>
              <w:right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Borders>
              <w:right w:val="single" w:sz="8" w:color="auto"/>
            </w:tcBorders>
            <w:gridSpan w:val="2"/>
            <w:vMerge w:val="continue"/>
          </w:tcPr>
          <w:p>
            <w:pPr>
              <w:spacing w:after="0"/>
              <w:rPr>
                <w:sz w:val="3"/>
                <w:szCs w:val="3"/>
                <w:color w:val="auto"/>
              </w:rPr>
            </w:pPr>
          </w:p>
        </w:tc>
        <w:tc>
          <w:tcPr>
            <w:tcW w:w="660" w:type="dxa"/>
            <w:vAlign w:val="bottom"/>
            <w:tcBorders>
              <w:right w:val="single" w:sz="8" w:color="auto"/>
            </w:tcBorders>
            <w:gridSpan w:val="3"/>
            <w:vMerge w:val="continue"/>
          </w:tcPr>
          <w:p>
            <w:pPr>
              <w:spacing w:after="0"/>
              <w:rPr>
                <w:sz w:val="3"/>
                <w:szCs w:val="3"/>
                <w:color w:val="auto"/>
              </w:rPr>
            </w:pPr>
          </w:p>
        </w:tc>
        <w:tc>
          <w:tcPr>
            <w:tcW w:w="680" w:type="dxa"/>
            <w:vAlign w:val="bottom"/>
            <w:tcBorders>
              <w:right w:val="single" w:sz="8" w:color="auto"/>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0" w:type="dxa"/>
            <w:vAlign w:val="bottom"/>
            <w:tcBorders>
              <w:left w:val="single" w:sz="8" w:color="auto"/>
            </w:tcBorders>
            <w:vMerge w:val="restart"/>
          </w:tcPr>
          <w:p>
            <w:pPr>
              <w:spacing w:after="0" w:line="20" w:lineRule="exact"/>
              <w:rPr>
                <w:sz w:val="1"/>
                <w:szCs w:val="1"/>
                <w:color w:val="auto"/>
              </w:rPr>
            </w:pPr>
          </w:p>
        </w:tc>
        <w:tc>
          <w:tcPr>
            <w:tcW w:w="500" w:type="dxa"/>
            <w:vAlign w:val="bottom"/>
            <w:tcBorders>
              <w:top w:val="single" w:sz="8" w:color="auto"/>
            </w:tcBorders>
            <w:vMerge w:val="restart"/>
          </w:tcPr>
          <w:p>
            <w:pPr>
              <w:jc w:val="right"/>
              <w:ind w:right="198"/>
              <w:spacing w:after="0" w:line="60" w:lineRule="exact"/>
              <w:rPr>
                <w:sz w:val="20"/>
                <w:szCs w:val="20"/>
                <w:color w:val="auto"/>
              </w:rPr>
            </w:pPr>
            <w:r>
              <w:rPr>
                <w:rFonts w:ascii="Arial" w:cs="Arial" w:eastAsia="Arial" w:hAnsi="Arial"/>
                <w:sz w:val="6"/>
                <w:szCs w:val="6"/>
                <w:color w:val="auto"/>
              </w:rPr>
              <w:t>5</w:t>
            </w:r>
          </w:p>
        </w:tc>
        <w:tc>
          <w:tcPr>
            <w:tcW w:w="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right w:val="single" w:sz="8" w:color="auto"/>
            </w:tcBorders>
            <w:gridSpan w:val="2"/>
            <w:vMerge w:val="restart"/>
          </w:tcPr>
          <w:p>
            <w:pPr>
              <w:jc w:val="center"/>
              <w:ind w:right="100"/>
              <w:spacing w:after="0" w:line="100" w:lineRule="exact"/>
              <w:rPr>
                <w:sz w:val="20"/>
                <w:szCs w:val="20"/>
                <w:color w:val="auto"/>
              </w:rPr>
            </w:pPr>
            <w:r>
              <w:rPr>
                <w:rFonts w:ascii="Arial" w:cs="Arial" w:eastAsia="Arial" w:hAnsi="Arial"/>
                <w:sz w:val="11"/>
                <w:szCs w:val="11"/>
                <w:color w:val="auto"/>
                <w:w w:val="92"/>
              </w:rPr>
              <w:t>e[s]</w:t>
            </w:r>
            <w:r>
              <w:rPr>
                <w:rFonts w:ascii="Arial" w:cs="Arial" w:eastAsia="Arial" w:hAnsi="Arial"/>
                <w:sz w:val="7"/>
                <w:szCs w:val="7"/>
                <w:color w:val="auto"/>
                <w:w w:val="92"/>
              </w:rPr>
              <w:t>6</w:t>
            </w:r>
          </w:p>
        </w:tc>
        <w:tc>
          <w:tcPr>
            <w:tcW w:w="500" w:type="dxa"/>
            <w:vAlign w:val="bottom"/>
            <w:tcBorders>
              <w:right w:val="single" w:sz="8" w:color="auto"/>
            </w:tcBorders>
            <w:gridSpan w:val="5"/>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100" w:type="dxa"/>
            <w:vAlign w:val="bottom"/>
            <w:tcBorders>
              <w:top w:val="single" w:sz="8" w:color="auto"/>
            </w:tcBorders>
            <w:vMerge w:val="continue"/>
          </w:tcPr>
          <w:p>
            <w:pPr>
              <w:spacing w:after="0" w:line="20" w:lineRule="exact"/>
              <w:rPr>
                <w:sz w:val="1"/>
                <w:szCs w:val="1"/>
                <w:color w:val="auto"/>
              </w:rPr>
            </w:pPr>
          </w:p>
        </w:tc>
        <w:tc>
          <w:tcPr>
            <w:tcW w:w="80" w:type="dxa"/>
            <w:vAlign w:val="bottom"/>
            <w:tcBorders>
              <w:right w:val="single" w:sz="8" w:color="auto"/>
            </w:tcBorders>
            <w:vMerge w:val="continue"/>
          </w:tcPr>
          <w:p>
            <w:pPr>
              <w:spacing w:after="0" w:line="20" w:lineRule="exact"/>
              <w:rPr>
                <w:sz w:val="1"/>
                <w:szCs w:val="1"/>
                <w:color w:val="auto"/>
              </w:rPr>
            </w:pPr>
          </w:p>
        </w:tc>
        <w:tc>
          <w:tcPr>
            <w:tcW w:w="680" w:type="dxa"/>
            <w:vAlign w:val="bottom"/>
            <w:tcBorders>
              <w:right w:val="single" w:sz="8" w:color="auto"/>
            </w:tcBorders>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right w:val="single" w:sz="8" w:color="auto"/>
            </w:tcBorders>
            <w:gridSpan w:val="2"/>
            <w:vMerge w:val="continue"/>
          </w:tcPr>
          <w:p>
            <w:pPr>
              <w:spacing w:after="0" w:line="20" w:lineRule="exact"/>
              <w:rPr>
                <w:sz w:val="1"/>
                <w:szCs w:val="1"/>
                <w:color w:val="auto"/>
              </w:rPr>
            </w:pPr>
          </w:p>
        </w:tc>
        <w:tc>
          <w:tcPr>
            <w:tcW w:w="660" w:type="dxa"/>
            <w:vAlign w:val="bottom"/>
            <w:tcBorders>
              <w:right w:val="single" w:sz="8" w:color="auto"/>
            </w:tcBorders>
            <w:gridSpan w:val="3"/>
            <w:vMerge w:val="continue"/>
          </w:tcPr>
          <w:p>
            <w:pPr>
              <w:spacing w:after="0" w:line="20" w:lineRule="exact"/>
              <w:rPr>
                <w:sz w:val="1"/>
                <w:szCs w:val="1"/>
                <w:color w:val="auto"/>
              </w:rPr>
            </w:pPr>
          </w:p>
        </w:tc>
        <w:tc>
          <w:tcPr>
            <w:tcW w:w="680" w:type="dxa"/>
            <w:vAlign w:val="bottom"/>
            <w:tcBorders>
              <w:right w:val="single" w:sz="8" w:color="auto"/>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00" w:type="dxa"/>
            <w:vAlign w:val="bottom"/>
            <w:tcBorders>
              <w:left w:val="single" w:sz="8" w:color="auto"/>
            </w:tcBorders>
            <w:vMerge w:val="continue"/>
          </w:tcPr>
          <w:p>
            <w:pPr>
              <w:spacing w:after="0" w:line="20" w:lineRule="exact"/>
              <w:rPr>
                <w:sz w:val="1"/>
                <w:szCs w:val="1"/>
                <w:color w:val="auto"/>
              </w:rPr>
            </w:pPr>
          </w:p>
        </w:tc>
        <w:tc>
          <w:tcPr>
            <w:tcW w:w="500" w:type="dxa"/>
            <w:vAlign w:val="bottom"/>
            <w:tcBorders>
              <w:top w:val="single" w:sz="8" w:color="auto"/>
            </w:tcBorders>
            <w:vMerge w:val="continue"/>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right w:val="single" w:sz="8" w:color="auto"/>
            </w:tcBorders>
            <w:gridSpan w:val="2"/>
            <w:vMerge w:val="continue"/>
          </w:tcPr>
          <w:p>
            <w:pPr>
              <w:spacing w:after="0" w:line="20" w:lineRule="exact"/>
              <w:rPr>
                <w:sz w:val="1"/>
                <w:szCs w:val="1"/>
                <w:color w:val="auto"/>
              </w:rPr>
            </w:pPr>
          </w:p>
        </w:tc>
        <w:tc>
          <w:tcPr>
            <w:tcW w:w="500" w:type="dxa"/>
            <w:vAlign w:val="bottom"/>
            <w:tcBorders>
              <w:right w:val="single" w:sz="8" w:color="auto"/>
            </w:tcBorders>
            <w:gridSpan w:val="5"/>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80" w:type="dxa"/>
            <w:vAlign w:val="bottom"/>
            <w:tcBorders>
              <w:right w:val="single" w:sz="8" w:color="auto"/>
            </w:tcBorders>
            <w:vMerge w:val="restart"/>
          </w:tcPr>
          <w:p>
            <w:pPr>
              <w:jc w:val="right"/>
              <w:spacing w:after="0" w:line="109" w:lineRule="exact"/>
              <w:rPr>
                <w:sz w:val="20"/>
                <w:szCs w:val="20"/>
                <w:color w:val="auto"/>
              </w:rPr>
            </w:pPr>
            <w:r>
              <w:rPr>
                <w:rFonts w:ascii="Arial" w:cs="Arial" w:eastAsia="Arial" w:hAnsi="Arial"/>
                <w:sz w:val="11"/>
                <w:szCs w:val="11"/>
                <w:color w:val="auto"/>
              </w:rPr>
              <w:t>FILO  Loan</w:t>
            </w:r>
          </w:p>
        </w:tc>
        <w:tc>
          <w:tcPr>
            <w:tcW w:w="100" w:type="dxa"/>
            <w:vAlign w:val="bottom"/>
          </w:tcPr>
          <w:p>
            <w:pPr>
              <w:spacing w:after="0" w:line="20" w:lineRule="exact"/>
              <w:rPr>
                <w:sz w:val="1"/>
                <w:szCs w:val="1"/>
                <w:color w:val="auto"/>
              </w:rPr>
            </w:pPr>
          </w:p>
        </w:tc>
        <w:tc>
          <w:tcPr>
            <w:tcW w:w="760" w:type="dxa"/>
            <w:vAlign w:val="bottom"/>
            <w:tcBorders>
              <w:right w:val="single" w:sz="8" w:color="auto"/>
            </w:tcBorders>
            <w:gridSpan w:val="3"/>
            <w:vMerge w:val="restart"/>
          </w:tcPr>
          <w:p>
            <w:pPr>
              <w:jc w:val="center"/>
              <w:ind w:right="120"/>
              <w:spacing w:after="0" w:line="109" w:lineRule="exact"/>
              <w:rPr>
                <w:sz w:val="20"/>
                <w:szCs w:val="20"/>
                <w:color w:val="auto"/>
              </w:rPr>
            </w:pPr>
            <w:r>
              <w:rPr>
                <w:rFonts w:ascii="Arial" w:cs="Arial" w:eastAsia="Arial" w:hAnsi="Arial"/>
                <w:sz w:val="11"/>
                <w:szCs w:val="11"/>
                <w:color w:val="auto"/>
                <w:w w:val="91"/>
              </w:rPr>
              <w:t>Commitment/</w:t>
            </w:r>
          </w:p>
        </w:tc>
        <w:tc>
          <w:tcPr>
            <w:tcW w:w="80" w:type="dxa"/>
            <w:vAlign w:val="bottom"/>
          </w:tcPr>
          <w:p>
            <w:pPr>
              <w:spacing w:after="0" w:line="20" w:lineRule="exact"/>
              <w:rPr>
                <w:sz w:val="1"/>
                <w:szCs w:val="1"/>
                <w:color w:val="auto"/>
              </w:rPr>
            </w:pPr>
          </w:p>
        </w:tc>
        <w:tc>
          <w:tcPr>
            <w:tcW w:w="580" w:type="dxa"/>
            <w:vAlign w:val="bottom"/>
            <w:tcBorders>
              <w:right w:val="single" w:sz="8" w:color="auto"/>
            </w:tcBorders>
            <w:gridSpan w:val="2"/>
            <w:vMerge w:val="restart"/>
          </w:tcPr>
          <w:p>
            <w:pPr>
              <w:spacing w:after="0" w:line="109" w:lineRule="exact"/>
              <w:rPr>
                <w:sz w:val="20"/>
                <w:szCs w:val="20"/>
                <w:color w:val="auto"/>
              </w:rPr>
            </w:pPr>
            <w:r>
              <w:rPr>
                <w:rFonts w:ascii="Arial" w:cs="Arial" w:eastAsia="Arial" w:hAnsi="Arial"/>
                <w:sz w:val="11"/>
                <w:szCs w:val="11"/>
                <w:color w:val="auto"/>
                <w:w w:val="94"/>
              </w:rPr>
              <w:t>Amount  for</w:t>
            </w:r>
          </w:p>
        </w:tc>
        <w:tc>
          <w:tcPr>
            <w:tcW w:w="80" w:type="dxa"/>
            <w:vAlign w:val="bottom"/>
          </w:tcPr>
          <w:p>
            <w:pPr>
              <w:spacing w:after="0" w:line="20" w:lineRule="exact"/>
              <w:rPr>
                <w:sz w:val="1"/>
                <w:szCs w:val="1"/>
                <w:color w:val="auto"/>
              </w:rPr>
            </w:pPr>
          </w:p>
        </w:tc>
        <w:tc>
          <w:tcPr>
            <w:tcW w:w="600" w:type="dxa"/>
            <w:vAlign w:val="bottom"/>
            <w:tcBorders>
              <w:right w:val="single" w:sz="8" w:color="auto"/>
            </w:tcBorders>
            <w:gridSpan w:val="2"/>
            <w:vMerge w:val="restart"/>
          </w:tcPr>
          <w:p>
            <w:pPr>
              <w:spacing w:after="0" w:line="109" w:lineRule="exact"/>
              <w:rPr>
                <w:sz w:val="20"/>
                <w:szCs w:val="20"/>
                <w:color w:val="auto"/>
              </w:rPr>
            </w:pPr>
            <w:r>
              <w:rPr>
                <w:rFonts w:ascii="Arial" w:cs="Arial" w:eastAsia="Arial" w:hAnsi="Arial"/>
                <w:sz w:val="11"/>
                <w:szCs w:val="11"/>
                <w:color w:val="auto"/>
                <w:w w:val="98"/>
              </w:rPr>
              <w:t>Amount  for</w:t>
            </w:r>
          </w:p>
        </w:tc>
        <w:tc>
          <w:tcPr>
            <w:tcW w:w="0" w:type="dxa"/>
            <w:vAlign w:val="bottom"/>
          </w:tcPr>
          <w:p>
            <w:pPr>
              <w:spacing w:after="0" w:line="20" w:lineRule="exact"/>
              <w:rPr>
                <w:sz w:val="1"/>
                <w:szCs w:val="1"/>
                <w:color w:val="auto"/>
              </w:rPr>
            </w:pPr>
          </w:p>
        </w:tc>
      </w:tr>
      <w:tr>
        <w:trPr>
          <w:trHeight w:val="20"/>
        </w:trPr>
        <w:tc>
          <w:tcPr>
            <w:tcW w:w="100" w:type="dxa"/>
            <w:vAlign w:val="bottom"/>
            <w:tcBorders>
              <w:lef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right w:val="single" w:sz="8" w:color="auto"/>
            </w:tcBorders>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80" w:type="dxa"/>
            <w:vAlign w:val="bottom"/>
            <w:tcBorders>
              <w:right w:val="single" w:sz="8" w:color="auto"/>
            </w:tcBorders>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right w:val="single" w:sz="8" w:color="auto"/>
            </w:tcBorders>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right w:val="single" w:sz="8" w:color="auto"/>
            </w:tcBorders>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auto"/>
            </w:tcBorders>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
        </w:trPr>
        <w:tc>
          <w:tcPr>
            <w:tcW w:w="100" w:type="dxa"/>
            <w:vAlign w:val="bottom"/>
            <w:tcBorders>
              <w:lef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680" w:type="dxa"/>
            <w:vAlign w:val="bottom"/>
            <w:tcBorders>
              <w:right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right w:val="single" w:sz="8" w:color="auto"/>
            </w:tcBorders>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right w:val="single" w:sz="8" w:color="auto"/>
            </w:tcBorders>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right w:val="single" w:sz="8" w:color="auto"/>
            </w:tcBorders>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3"/>
        </w:trPr>
        <w:tc>
          <w:tcPr>
            <w:tcW w:w="100" w:type="dxa"/>
            <w:vAlign w:val="bottom"/>
            <w:tcBorders>
              <w:lef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jc w:val="center"/>
              <w:spacing w:after="0" w:line="114" w:lineRule="exact"/>
              <w:rPr>
                <w:sz w:val="20"/>
                <w:szCs w:val="20"/>
                <w:color w:val="auto"/>
              </w:rPr>
            </w:pPr>
            <w:r>
              <w:rPr>
                <w:rFonts w:ascii="Arial" w:cs="Arial" w:eastAsia="Arial" w:hAnsi="Arial"/>
                <w:sz w:val="11"/>
                <w:szCs w:val="11"/>
                <w:color w:val="auto"/>
                <w:w w:val="89"/>
              </w:rPr>
              <w:t>Assigned</w:t>
            </w:r>
            <w:r>
              <w:rPr>
                <w:rFonts w:ascii="Arial" w:cs="Arial" w:eastAsia="Arial" w:hAnsi="Arial"/>
                <w:sz w:val="7"/>
                <w:szCs w:val="7"/>
                <w:color w:val="auto"/>
                <w:w w:val="89"/>
              </w:rPr>
              <w:t>9</w:t>
            </w:r>
          </w:p>
        </w:tc>
        <w:tc>
          <w:tcPr>
            <w:tcW w:w="100" w:type="dxa"/>
            <w:vAlign w:val="bottom"/>
          </w:tcPr>
          <w:p>
            <w:pPr>
              <w:spacing w:after="0"/>
              <w:rPr>
                <w:sz w:val="9"/>
                <w:szCs w:val="9"/>
                <w:color w:val="auto"/>
              </w:rPr>
            </w:pPr>
          </w:p>
        </w:tc>
        <w:tc>
          <w:tcPr>
            <w:tcW w:w="760" w:type="dxa"/>
            <w:vAlign w:val="bottom"/>
            <w:tcBorders>
              <w:right w:val="single" w:sz="8" w:color="auto"/>
            </w:tcBorders>
            <w:gridSpan w:val="3"/>
          </w:tcPr>
          <w:p>
            <w:pPr>
              <w:jc w:val="center"/>
              <w:ind w:right="140"/>
              <w:spacing w:after="0" w:line="114" w:lineRule="exact"/>
              <w:rPr>
                <w:sz w:val="20"/>
                <w:szCs w:val="20"/>
                <w:color w:val="auto"/>
              </w:rPr>
            </w:pPr>
            <w:r>
              <w:rPr>
                <w:rFonts w:ascii="Arial" w:cs="Arial" w:eastAsia="Arial" w:hAnsi="Arial"/>
                <w:sz w:val="11"/>
                <w:szCs w:val="11"/>
                <w:color w:val="auto"/>
                <w:w w:val="96"/>
              </w:rPr>
              <w:t>FILO Loan</w:t>
            </w:r>
          </w:p>
        </w:tc>
        <w:tc>
          <w:tcPr>
            <w:tcW w:w="80" w:type="dxa"/>
            <w:vAlign w:val="bottom"/>
          </w:tcPr>
          <w:p>
            <w:pPr>
              <w:spacing w:after="0"/>
              <w:rPr>
                <w:sz w:val="9"/>
                <w:szCs w:val="9"/>
                <w:color w:val="auto"/>
              </w:rPr>
            </w:pPr>
          </w:p>
        </w:tc>
        <w:tc>
          <w:tcPr>
            <w:tcW w:w="580" w:type="dxa"/>
            <w:vAlign w:val="bottom"/>
            <w:tcBorders>
              <w:right w:val="single" w:sz="8" w:color="auto"/>
            </w:tcBorders>
            <w:gridSpan w:val="2"/>
          </w:tcPr>
          <w:p>
            <w:pPr>
              <w:spacing w:after="0" w:line="114" w:lineRule="exact"/>
              <w:rPr>
                <w:sz w:val="20"/>
                <w:szCs w:val="20"/>
                <w:color w:val="auto"/>
              </w:rPr>
            </w:pPr>
            <w:r>
              <w:rPr>
                <w:rFonts w:ascii="Arial" w:cs="Arial" w:eastAsia="Arial" w:hAnsi="Arial"/>
                <w:sz w:val="11"/>
                <w:szCs w:val="11"/>
                <w:color w:val="auto"/>
              </w:rPr>
              <w:t>Assignor</w:t>
            </w:r>
          </w:p>
        </w:tc>
        <w:tc>
          <w:tcPr>
            <w:tcW w:w="80" w:type="dxa"/>
            <w:vAlign w:val="bottom"/>
          </w:tcPr>
          <w:p>
            <w:pPr>
              <w:spacing w:after="0"/>
              <w:rPr>
                <w:sz w:val="9"/>
                <w:szCs w:val="9"/>
                <w:color w:val="auto"/>
              </w:rPr>
            </w:pPr>
          </w:p>
        </w:tc>
        <w:tc>
          <w:tcPr>
            <w:tcW w:w="600" w:type="dxa"/>
            <w:vAlign w:val="bottom"/>
            <w:tcBorders>
              <w:right w:val="single" w:sz="8" w:color="auto"/>
            </w:tcBorders>
            <w:gridSpan w:val="2"/>
          </w:tcPr>
          <w:p>
            <w:pPr>
              <w:spacing w:after="0" w:line="114" w:lineRule="exact"/>
              <w:rPr>
                <w:sz w:val="20"/>
                <w:szCs w:val="20"/>
                <w:color w:val="auto"/>
              </w:rPr>
            </w:pPr>
            <w:r>
              <w:rPr>
                <w:rFonts w:ascii="Arial" w:cs="Arial" w:eastAsia="Arial" w:hAnsi="Arial"/>
                <w:sz w:val="11"/>
                <w:szCs w:val="11"/>
                <w:color w:val="auto"/>
              </w:rPr>
              <w:t>Assignee</w:t>
            </w:r>
          </w:p>
        </w:tc>
        <w:tc>
          <w:tcPr>
            <w:tcW w:w="0" w:type="dxa"/>
            <w:vAlign w:val="bottom"/>
          </w:tcPr>
          <w:p>
            <w:pPr>
              <w:spacing w:after="0"/>
              <w:rPr>
                <w:sz w:val="1"/>
                <w:szCs w:val="1"/>
                <w:color w:val="auto"/>
              </w:rPr>
            </w:pPr>
          </w:p>
        </w:tc>
      </w:tr>
      <w:tr>
        <w:trPr>
          <w:trHeight w:val="115"/>
        </w:trPr>
        <w:tc>
          <w:tcPr>
            <w:tcW w:w="100" w:type="dxa"/>
            <w:vAlign w:val="bottom"/>
            <w:tcBorders>
              <w:lef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right w:val="single" w:sz="8" w:color="auto"/>
            </w:tcBorders>
            <w:gridSpan w:val="3"/>
          </w:tcPr>
          <w:p>
            <w:pPr>
              <w:jc w:val="center"/>
              <w:ind w:right="120"/>
              <w:spacing w:after="0" w:line="115" w:lineRule="exact"/>
              <w:rPr>
                <w:sz w:val="20"/>
                <w:szCs w:val="20"/>
                <w:color w:val="auto"/>
              </w:rPr>
            </w:pPr>
            <w:r>
              <w:rPr>
                <w:rFonts w:ascii="Arial" w:cs="Arial" w:eastAsia="Arial" w:hAnsi="Arial"/>
                <w:sz w:val="11"/>
                <w:szCs w:val="11"/>
                <w:color w:val="auto"/>
                <w:w w:val="90"/>
              </w:rPr>
              <w:t>Assigned</w:t>
            </w:r>
            <w:r>
              <w:rPr>
                <w:rFonts w:ascii="Arial" w:cs="Arial" w:eastAsia="Arial" w:hAnsi="Arial"/>
                <w:sz w:val="7"/>
                <w:szCs w:val="7"/>
                <w:color w:val="auto"/>
                <w:w w:val="90"/>
              </w:rPr>
              <w:t>10</w:t>
            </w:r>
          </w:p>
        </w:tc>
        <w:tc>
          <w:tcPr>
            <w:tcW w:w="8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100" w:type="dxa"/>
            <w:vAlign w:val="bottom"/>
            <w:tcBorders>
              <w:left w:val="single" w:sz="8" w:color="auto"/>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0" w:type="dxa"/>
            <w:vAlign w:val="bottom"/>
            <w:tcBorders>
              <w:lef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900" w:type="dxa"/>
            <w:vAlign w:val="bottom"/>
            <w:gridSpan w:val="3"/>
          </w:tcPr>
          <w:p>
            <w:pPr>
              <w:jc w:val="right"/>
              <w:ind w:right="166"/>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100" w:type="dxa"/>
            <w:vAlign w:val="bottom"/>
          </w:tcPr>
          <w:p>
            <w:pPr>
              <w:spacing w:after="0"/>
              <w:rPr>
                <w:sz w:val="12"/>
                <w:szCs w:val="12"/>
                <w:color w:val="auto"/>
              </w:rPr>
            </w:pPr>
          </w:p>
        </w:tc>
        <w:tc>
          <w:tcPr>
            <w:tcW w:w="480" w:type="dxa"/>
            <w:vAlign w:val="bottom"/>
            <w:gridSpan w:val="2"/>
            <w:vMerge w:val="restart"/>
          </w:tcPr>
          <w:p>
            <w:pPr>
              <w:jc w:val="center"/>
              <w:ind w:left="83"/>
              <w:spacing w:after="0"/>
              <w:rPr>
                <w:sz w:val="20"/>
                <w:szCs w:val="20"/>
                <w:color w:val="auto"/>
              </w:rPr>
            </w:pPr>
            <w:r>
              <w:rPr>
                <w:rFonts w:ascii="Arial" w:cs="Arial" w:eastAsia="Arial" w:hAnsi="Arial"/>
                <w:sz w:val="12"/>
                <w:szCs w:val="12"/>
                <w:color w:val="auto"/>
                <w:w w:val="93"/>
              </w:rPr>
              <w:t>%</w:t>
            </w:r>
          </w:p>
        </w:tc>
        <w:tc>
          <w:tcPr>
            <w:tcW w:w="280" w:type="dxa"/>
            <w:vAlign w:val="bottom"/>
            <w:tcBorders>
              <w:right w:val="single" w:sz="8" w:color="auto"/>
            </w:tcBorders>
          </w:tcPr>
          <w:p>
            <w:pPr>
              <w:spacing w:after="0"/>
              <w:rPr>
                <w:sz w:val="12"/>
                <w:szCs w:val="12"/>
                <w:color w:val="auto"/>
              </w:rPr>
            </w:pPr>
          </w:p>
        </w:tc>
        <w:tc>
          <w:tcPr>
            <w:tcW w:w="480" w:type="dxa"/>
            <w:vAlign w:val="bottom"/>
            <w:gridSpan w:val="2"/>
          </w:tcPr>
          <w:p>
            <w:pPr>
              <w:jc w:val="right"/>
              <w:ind w:right="86"/>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auto"/>
            </w:tcBorders>
          </w:tcPr>
          <w:p>
            <w:pPr>
              <w:spacing w:after="0"/>
              <w:rPr>
                <w:sz w:val="12"/>
                <w:szCs w:val="12"/>
                <w:color w:val="auto"/>
              </w:rPr>
            </w:pPr>
          </w:p>
        </w:tc>
        <w:tc>
          <w:tcPr>
            <w:tcW w:w="480" w:type="dxa"/>
            <w:vAlign w:val="bottom"/>
            <w:gridSpan w:val="2"/>
          </w:tcPr>
          <w:p>
            <w:pPr>
              <w:jc w:val="right"/>
              <w:ind w:right="66"/>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100" w:type="dxa"/>
            <w:vAlign w:val="bottom"/>
            <w:tcBorders>
              <w:left w:val="single" w:sz="8" w:color="auto"/>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gridSpan w:val="2"/>
            <w:vMerge w:val="continue"/>
          </w:tcPr>
          <w:p>
            <w:pPr>
              <w:spacing w:after="0"/>
              <w:rPr>
                <w:sz w:val="9"/>
                <w:szCs w:val="9"/>
                <w:color w:val="auto"/>
              </w:rPr>
            </w:pPr>
          </w:p>
        </w:tc>
        <w:tc>
          <w:tcPr>
            <w:tcW w:w="28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00" w:type="dxa"/>
            <w:vAlign w:val="bottom"/>
            <w:tcBorders>
              <w:lef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900" w:type="dxa"/>
            <w:vAlign w:val="bottom"/>
            <w:gridSpan w:val="3"/>
          </w:tcPr>
          <w:p>
            <w:pPr>
              <w:jc w:val="right"/>
              <w:ind w:right="166"/>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100" w:type="dxa"/>
            <w:vAlign w:val="bottom"/>
          </w:tcPr>
          <w:p>
            <w:pPr>
              <w:spacing w:after="0"/>
              <w:rPr>
                <w:sz w:val="12"/>
                <w:szCs w:val="12"/>
                <w:color w:val="auto"/>
              </w:rPr>
            </w:pPr>
          </w:p>
        </w:tc>
        <w:tc>
          <w:tcPr>
            <w:tcW w:w="480" w:type="dxa"/>
            <w:vAlign w:val="bottom"/>
            <w:gridSpan w:val="2"/>
            <w:vMerge w:val="restart"/>
          </w:tcPr>
          <w:p>
            <w:pPr>
              <w:jc w:val="center"/>
              <w:ind w:left="83"/>
              <w:spacing w:after="0"/>
              <w:rPr>
                <w:sz w:val="20"/>
                <w:szCs w:val="20"/>
                <w:color w:val="auto"/>
              </w:rPr>
            </w:pPr>
            <w:r>
              <w:rPr>
                <w:rFonts w:ascii="Arial" w:cs="Arial" w:eastAsia="Arial" w:hAnsi="Arial"/>
                <w:sz w:val="12"/>
                <w:szCs w:val="12"/>
                <w:color w:val="auto"/>
                <w:w w:val="93"/>
              </w:rPr>
              <w:t>%</w:t>
            </w:r>
          </w:p>
        </w:tc>
        <w:tc>
          <w:tcPr>
            <w:tcW w:w="280" w:type="dxa"/>
            <w:vAlign w:val="bottom"/>
            <w:tcBorders>
              <w:right w:val="single" w:sz="8" w:color="auto"/>
            </w:tcBorders>
          </w:tcPr>
          <w:p>
            <w:pPr>
              <w:spacing w:after="0"/>
              <w:rPr>
                <w:sz w:val="12"/>
                <w:szCs w:val="12"/>
                <w:color w:val="auto"/>
              </w:rPr>
            </w:pPr>
          </w:p>
        </w:tc>
        <w:tc>
          <w:tcPr>
            <w:tcW w:w="480" w:type="dxa"/>
            <w:vAlign w:val="bottom"/>
            <w:gridSpan w:val="2"/>
          </w:tcPr>
          <w:p>
            <w:pPr>
              <w:jc w:val="right"/>
              <w:ind w:right="86"/>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auto"/>
            </w:tcBorders>
          </w:tcPr>
          <w:p>
            <w:pPr>
              <w:spacing w:after="0"/>
              <w:rPr>
                <w:sz w:val="12"/>
                <w:szCs w:val="12"/>
                <w:color w:val="auto"/>
              </w:rPr>
            </w:pPr>
          </w:p>
        </w:tc>
        <w:tc>
          <w:tcPr>
            <w:tcW w:w="480" w:type="dxa"/>
            <w:vAlign w:val="bottom"/>
            <w:gridSpan w:val="2"/>
          </w:tcPr>
          <w:p>
            <w:pPr>
              <w:jc w:val="right"/>
              <w:ind w:right="66"/>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100" w:type="dxa"/>
            <w:vAlign w:val="bottom"/>
            <w:tcBorders>
              <w:left w:val="single" w:sz="8" w:color="auto"/>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gridSpan w:val="2"/>
            <w:vMerge w:val="continue"/>
          </w:tcPr>
          <w:p>
            <w:pPr>
              <w:spacing w:after="0"/>
              <w:rPr>
                <w:sz w:val="9"/>
                <w:szCs w:val="9"/>
                <w:color w:val="auto"/>
              </w:rPr>
            </w:pPr>
          </w:p>
        </w:tc>
        <w:tc>
          <w:tcPr>
            <w:tcW w:w="28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00" w:type="dxa"/>
            <w:vAlign w:val="bottom"/>
            <w:tcBorders>
              <w:lef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900" w:type="dxa"/>
            <w:vAlign w:val="bottom"/>
            <w:gridSpan w:val="3"/>
          </w:tcPr>
          <w:p>
            <w:pPr>
              <w:jc w:val="right"/>
              <w:ind w:right="166"/>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100" w:type="dxa"/>
            <w:vAlign w:val="bottom"/>
          </w:tcPr>
          <w:p>
            <w:pPr>
              <w:spacing w:after="0"/>
              <w:rPr>
                <w:sz w:val="12"/>
                <w:szCs w:val="12"/>
                <w:color w:val="auto"/>
              </w:rPr>
            </w:pPr>
          </w:p>
        </w:tc>
        <w:tc>
          <w:tcPr>
            <w:tcW w:w="480" w:type="dxa"/>
            <w:vAlign w:val="bottom"/>
            <w:gridSpan w:val="2"/>
            <w:vMerge w:val="restart"/>
          </w:tcPr>
          <w:p>
            <w:pPr>
              <w:jc w:val="center"/>
              <w:ind w:left="83"/>
              <w:spacing w:after="0"/>
              <w:rPr>
                <w:sz w:val="20"/>
                <w:szCs w:val="20"/>
                <w:color w:val="auto"/>
              </w:rPr>
            </w:pPr>
            <w:r>
              <w:rPr>
                <w:rFonts w:ascii="Arial" w:cs="Arial" w:eastAsia="Arial" w:hAnsi="Arial"/>
                <w:sz w:val="12"/>
                <w:szCs w:val="12"/>
                <w:color w:val="auto"/>
                <w:w w:val="93"/>
              </w:rPr>
              <w:t>%</w:t>
            </w:r>
          </w:p>
        </w:tc>
        <w:tc>
          <w:tcPr>
            <w:tcW w:w="280" w:type="dxa"/>
            <w:vAlign w:val="bottom"/>
            <w:tcBorders>
              <w:right w:val="single" w:sz="8" w:color="auto"/>
            </w:tcBorders>
          </w:tcPr>
          <w:p>
            <w:pPr>
              <w:spacing w:after="0"/>
              <w:rPr>
                <w:sz w:val="12"/>
                <w:szCs w:val="12"/>
                <w:color w:val="auto"/>
              </w:rPr>
            </w:pPr>
          </w:p>
        </w:tc>
        <w:tc>
          <w:tcPr>
            <w:tcW w:w="480" w:type="dxa"/>
            <w:vAlign w:val="bottom"/>
            <w:gridSpan w:val="2"/>
          </w:tcPr>
          <w:p>
            <w:pPr>
              <w:jc w:val="right"/>
              <w:ind w:right="86"/>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auto"/>
            </w:tcBorders>
          </w:tcPr>
          <w:p>
            <w:pPr>
              <w:spacing w:after="0"/>
              <w:rPr>
                <w:sz w:val="12"/>
                <w:szCs w:val="12"/>
                <w:color w:val="auto"/>
              </w:rPr>
            </w:pPr>
          </w:p>
        </w:tc>
        <w:tc>
          <w:tcPr>
            <w:tcW w:w="480" w:type="dxa"/>
            <w:vAlign w:val="bottom"/>
            <w:gridSpan w:val="2"/>
          </w:tcPr>
          <w:p>
            <w:pPr>
              <w:jc w:val="right"/>
              <w:ind w:right="66"/>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100" w:type="dxa"/>
            <w:vAlign w:val="bottom"/>
            <w:tcBorders>
              <w:left w:val="single" w:sz="8" w:color="auto"/>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gridSpan w:val="2"/>
            <w:vMerge w:val="continue"/>
          </w:tcPr>
          <w:p>
            <w:pPr>
              <w:spacing w:after="0"/>
              <w:rPr>
                <w:sz w:val="9"/>
                <w:szCs w:val="9"/>
                <w:color w:val="auto"/>
              </w:rPr>
            </w:pPr>
          </w:p>
        </w:tc>
        <w:tc>
          <w:tcPr>
            <w:tcW w:w="28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600" w:type="dxa"/>
            <w:vAlign w:val="bottom"/>
            <w:gridSpan w:val="2"/>
          </w:tcPr>
          <w:p>
            <w:pPr>
              <w:jc w:val="right"/>
              <w:ind w:right="218"/>
              <w:spacing w:after="0"/>
              <w:rPr>
                <w:sz w:val="20"/>
                <w:szCs w:val="20"/>
                <w:color w:val="auto"/>
              </w:rPr>
            </w:pPr>
            <w:r>
              <w:rPr>
                <w:rFonts w:ascii="Arial" w:cs="Arial" w:eastAsia="Arial" w:hAnsi="Arial"/>
                <w:sz w:val="14"/>
                <w:szCs w:val="14"/>
                <w:color w:val="auto"/>
              </w:rPr>
              <w:t>[7.</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40" w:type="dxa"/>
            <w:vAlign w:val="bottom"/>
            <w:gridSpan w:val="9"/>
          </w:tcPr>
          <w:p>
            <w:pPr>
              <w:spacing w:after="0"/>
              <w:rPr>
                <w:sz w:val="20"/>
                <w:szCs w:val="20"/>
                <w:color w:val="auto"/>
              </w:rPr>
            </w:pPr>
            <w:r>
              <w:rPr>
                <w:rFonts w:ascii="Arial" w:cs="Arial" w:eastAsia="Arial" w:hAnsi="Arial"/>
                <w:sz w:val="14"/>
                <w:szCs w:val="14"/>
                <w:color w:val="auto"/>
              </w:rPr>
              <w:t>Trade Date:</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9"/>
                <w:szCs w:val="9"/>
                <w:color w:val="auto"/>
              </w:rPr>
              <w:t>11</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2066925</wp:posOffset>
            </wp:positionH>
            <wp:positionV relativeFrom="paragraph">
              <wp:posOffset>-5080</wp:posOffset>
            </wp:positionV>
            <wp:extent cx="22860"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286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700"/>
        <w:spacing w:after="0"/>
        <w:rPr>
          <w:sz w:val="20"/>
          <w:szCs w:val="20"/>
          <w:color w:val="auto"/>
        </w:rPr>
      </w:pPr>
      <w:r>
        <w:rPr>
          <w:rFonts w:ascii="Arial" w:cs="Arial" w:eastAsia="Arial" w:hAnsi="Arial"/>
          <w:sz w:val="8"/>
          <w:szCs w:val="8"/>
          <w:color w:val="auto"/>
        </w:rPr>
        <w:t xml:space="preserve">5 </w:t>
      </w:r>
      <w:r>
        <w:rPr>
          <w:rFonts w:ascii="Arial" w:cs="Arial" w:eastAsia="Arial" w:hAnsi="Arial"/>
          <w:sz w:val="10"/>
          <w:szCs w:val="10"/>
          <w:color w:val="auto"/>
        </w:rPr>
        <w:t>List each Assignor, as appropriate.</w:t>
      </w:r>
    </w:p>
    <w:p>
      <w:pPr>
        <w:ind w:left="700"/>
        <w:spacing w:after="0" w:line="227" w:lineRule="auto"/>
        <w:rPr>
          <w:sz w:val="20"/>
          <w:szCs w:val="20"/>
          <w:color w:val="auto"/>
        </w:rPr>
      </w:pPr>
      <w:r>
        <w:rPr>
          <w:rFonts w:ascii="Arial" w:cs="Arial" w:eastAsia="Arial" w:hAnsi="Arial"/>
          <w:sz w:val="8"/>
          <w:szCs w:val="8"/>
          <w:color w:val="auto"/>
        </w:rPr>
        <w:t xml:space="preserve">6 </w:t>
      </w:r>
      <w:r>
        <w:rPr>
          <w:rFonts w:ascii="Arial" w:cs="Arial" w:eastAsia="Arial" w:hAnsi="Arial"/>
          <w:sz w:val="10"/>
          <w:szCs w:val="10"/>
          <w:color w:val="auto"/>
        </w:rPr>
        <w:t>List each Assignee, as appropriate.</w:t>
      </w:r>
    </w:p>
    <w:p>
      <w:pPr>
        <w:ind w:left="700"/>
        <w:spacing w:after="0" w:line="226" w:lineRule="auto"/>
        <w:rPr>
          <w:sz w:val="20"/>
          <w:szCs w:val="20"/>
          <w:color w:val="auto"/>
        </w:rPr>
      </w:pPr>
      <w:r>
        <w:rPr>
          <w:rFonts w:ascii="Arial" w:cs="Arial" w:eastAsia="Arial" w:hAnsi="Arial"/>
          <w:sz w:val="7"/>
          <w:szCs w:val="7"/>
          <w:color w:val="auto"/>
        </w:rPr>
        <w:t xml:space="preserve">7 </w:t>
      </w:r>
      <w:r>
        <w:rPr>
          <w:rFonts w:ascii="Arial" w:cs="Arial" w:eastAsia="Arial" w:hAnsi="Arial"/>
          <w:sz w:val="10"/>
          <w:szCs w:val="10"/>
          <w:color w:val="auto"/>
        </w:rPr>
        <w:t>Fill in the appropriate terminology for the types of facilities under the Credit Agreement that are being assigned under this Assignment (e.g. “Revolving Loans”, “FILO Loan”).</w:t>
      </w:r>
    </w:p>
    <w:p>
      <w:pPr>
        <w:ind w:left="700"/>
        <w:spacing w:after="0" w:line="226" w:lineRule="auto"/>
        <w:rPr>
          <w:sz w:val="20"/>
          <w:szCs w:val="20"/>
          <w:color w:val="auto"/>
        </w:rPr>
      </w:pPr>
      <w:r>
        <w:rPr>
          <w:rFonts w:ascii="Arial" w:cs="Arial" w:eastAsia="Arial" w:hAnsi="Arial"/>
          <w:sz w:val="8"/>
          <w:szCs w:val="8"/>
          <w:color w:val="auto"/>
        </w:rPr>
        <w:t xml:space="preserve">8 </w:t>
      </w:r>
      <w:r>
        <w:rPr>
          <w:rFonts w:ascii="Arial" w:cs="Arial" w:eastAsia="Arial" w:hAnsi="Arial"/>
          <w:sz w:val="10"/>
          <w:szCs w:val="10"/>
          <w:color w:val="auto"/>
        </w:rPr>
        <w:t>Amounts in this column and in the column immediately to the right to be adjusted by the counterparties to take into account any payments or prepayments made between the Trade Date and the Effective Date.</w:t>
      </w:r>
    </w:p>
    <w:p>
      <w:pPr>
        <w:ind w:left="700"/>
        <w:spacing w:after="0"/>
        <w:rPr>
          <w:sz w:val="20"/>
          <w:szCs w:val="20"/>
          <w:color w:val="auto"/>
        </w:rPr>
      </w:pPr>
      <w:r>
        <w:rPr>
          <w:rFonts w:ascii="Arial" w:cs="Arial" w:eastAsia="Arial" w:hAnsi="Arial"/>
          <w:sz w:val="8"/>
          <w:szCs w:val="8"/>
          <w:color w:val="auto"/>
        </w:rPr>
        <w:t xml:space="preserve">9 </w:t>
      </w:r>
      <w:r>
        <w:rPr>
          <w:rFonts w:ascii="Arial" w:cs="Arial" w:eastAsia="Arial" w:hAnsi="Arial"/>
          <w:sz w:val="10"/>
          <w:szCs w:val="10"/>
          <w:color w:val="auto"/>
        </w:rPr>
        <w:t>Subject to minimum amount requirements pursuant to Section</w:t>
      </w:r>
      <w:r>
        <w:rPr>
          <w:rFonts w:ascii="Arial" w:cs="Arial" w:eastAsia="Arial" w:hAnsi="Arial"/>
          <w:sz w:val="8"/>
          <w:szCs w:val="8"/>
          <w:color w:val="auto"/>
        </w:rPr>
        <w:t xml:space="preserve"> </w:t>
      </w:r>
      <w:r>
        <w:rPr>
          <w:rFonts w:ascii="Arial" w:cs="Arial" w:eastAsia="Arial" w:hAnsi="Arial"/>
          <w:sz w:val="10"/>
          <w:szCs w:val="10"/>
          <w:u w:val="single" w:color="auto"/>
          <w:color w:val="auto"/>
        </w:rPr>
        <w:t>10.06(b)(i)</w:t>
      </w:r>
      <w:r>
        <w:rPr>
          <w:rFonts w:ascii="Arial" w:cs="Arial" w:eastAsia="Arial" w:hAnsi="Arial"/>
          <w:sz w:val="8"/>
          <w:szCs w:val="8"/>
          <w:color w:val="auto"/>
        </w:rPr>
        <w:t xml:space="preserve"> </w:t>
      </w:r>
      <w:r>
        <w:rPr>
          <w:rFonts w:ascii="Arial" w:cs="Arial" w:eastAsia="Arial" w:hAnsi="Arial"/>
          <w:sz w:val="10"/>
          <w:szCs w:val="10"/>
          <w:color w:val="auto"/>
        </w:rPr>
        <w:t>of the Credit Agreement and subject to proportionate amount requirements pursuant to Section</w:t>
      </w:r>
      <w:r>
        <w:rPr>
          <w:rFonts w:ascii="Arial" w:cs="Arial" w:eastAsia="Arial" w:hAnsi="Arial"/>
          <w:sz w:val="8"/>
          <w:szCs w:val="8"/>
          <w:color w:val="auto"/>
        </w:rPr>
        <w:t xml:space="preserve"> </w:t>
      </w:r>
      <w:r>
        <w:rPr>
          <w:rFonts w:ascii="Arial" w:cs="Arial" w:eastAsia="Arial" w:hAnsi="Arial"/>
          <w:sz w:val="10"/>
          <w:szCs w:val="10"/>
          <w:u w:val="single" w:color="auto"/>
          <w:color w:val="auto"/>
        </w:rPr>
        <w:t>10.06(b)(ii)</w:t>
      </w:r>
      <w:r>
        <w:rPr>
          <w:rFonts w:ascii="Arial" w:cs="Arial" w:eastAsia="Arial" w:hAnsi="Arial"/>
          <w:sz w:val="8"/>
          <w:szCs w:val="8"/>
          <w:color w:val="auto"/>
        </w:rPr>
        <w:t xml:space="preserve"> </w:t>
      </w:r>
      <w:r>
        <w:rPr>
          <w:rFonts w:ascii="Arial" w:cs="Arial" w:eastAsia="Arial" w:hAnsi="Arial"/>
          <w:sz w:val="10"/>
          <w:szCs w:val="10"/>
          <w:color w:val="auto"/>
        </w:rPr>
        <w:t>of the Credit Agreement.</w:t>
      </w:r>
    </w:p>
    <w:p>
      <w:pPr>
        <w:spacing w:after="0" w:line="4" w:lineRule="exact"/>
        <w:rPr>
          <w:sz w:val="20"/>
          <w:szCs w:val="20"/>
          <w:color w:val="auto"/>
        </w:rPr>
      </w:pPr>
    </w:p>
    <w:p>
      <w:pPr>
        <w:ind w:left="700"/>
        <w:spacing w:after="0"/>
        <w:rPr>
          <w:sz w:val="20"/>
          <w:szCs w:val="20"/>
          <w:color w:val="auto"/>
        </w:rPr>
      </w:pPr>
      <w:r>
        <w:rPr>
          <w:rFonts w:ascii="Arial" w:cs="Arial" w:eastAsia="Arial" w:hAnsi="Arial"/>
          <w:sz w:val="8"/>
          <w:szCs w:val="8"/>
          <w:color w:val="auto"/>
        </w:rPr>
        <w:t xml:space="preserve">10 </w:t>
      </w:r>
      <w:r>
        <w:rPr>
          <w:rFonts w:ascii="Arial" w:cs="Arial" w:eastAsia="Arial" w:hAnsi="Arial"/>
          <w:sz w:val="10"/>
          <w:szCs w:val="10"/>
          <w:color w:val="auto"/>
        </w:rPr>
        <w:t>Set forth, to at least 9 decimals, as a percentage of the Revolving Commitment/ Loans of all Revolving Lenders or FILO Lenders, as applicable, thereunder.</w:t>
      </w:r>
    </w:p>
    <w:p>
      <w:pPr>
        <w:ind w:left="700" w:right="4640" w:firstLine="1"/>
        <w:spacing w:after="0" w:line="275" w:lineRule="auto"/>
        <w:rPr>
          <w:sz w:val="20"/>
          <w:szCs w:val="20"/>
          <w:color w:val="auto"/>
        </w:rPr>
      </w:pPr>
      <w:r>
        <w:rPr>
          <w:rFonts w:ascii="Arial" w:cs="Arial" w:eastAsia="Arial" w:hAnsi="Arial"/>
          <w:sz w:val="7"/>
          <w:szCs w:val="7"/>
          <w:color w:val="auto"/>
        </w:rPr>
        <w:t xml:space="preserve">11 </w:t>
      </w:r>
      <w:r>
        <w:rPr>
          <w:rFonts w:ascii="Arial" w:cs="Arial" w:eastAsia="Arial" w:hAnsi="Arial"/>
          <w:sz w:val="10"/>
          <w:szCs w:val="10"/>
          <w:color w:val="auto"/>
        </w:rPr>
        <w:t>To be completed if the Assignor and the Assignee intend that the minimum assignment amount is to be determined as of the Trade</w:t>
      </w:r>
      <w:r>
        <w:rPr>
          <w:rFonts w:ascii="Arial" w:cs="Arial" w:eastAsia="Arial" w:hAnsi="Arial"/>
          <w:sz w:val="7"/>
          <w:szCs w:val="7"/>
          <w:color w:val="auto"/>
        </w:rPr>
        <w:t xml:space="preserve"> </w:t>
      </w:r>
      <w:r>
        <w:rPr>
          <w:rFonts w:ascii="Arial" w:cs="Arial" w:eastAsia="Arial" w:hAnsi="Arial"/>
          <w:sz w:val="10"/>
          <w:szCs w:val="10"/>
          <w:color w:val="auto"/>
        </w:rPr>
        <w:t>Date.</w:t>
      </w:r>
    </w:p>
    <w:p>
      <w:pPr>
        <w:spacing w:after="0" w:line="211" w:lineRule="exact"/>
        <w:rPr>
          <w:sz w:val="20"/>
          <w:szCs w:val="20"/>
          <w:color w:val="auto"/>
        </w:rPr>
      </w:pPr>
    </w:p>
    <w:p>
      <w:pPr>
        <w:spacing w:after="0"/>
        <w:rPr>
          <w:sz w:val="20"/>
          <w:szCs w:val="20"/>
          <w:color w:val="auto"/>
        </w:rPr>
      </w:pPr>
      <w:r>
        <w:rPr>
          <w:rFonts w:ascii="Arial" w:cs="Arial" w:eastAsia="Arial" w:hAnsi="Arial"/>
          <w:sz w:val="10"/>
          <w:szCs w:val="10"/>
          <w:color w:val="auto"/>
        </w:rPr>
        <w:t>DB1/ 97584532.1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242570</wp:posOffset>
            </wp:positionV>
            <wp:extent cx="7329170" cy="3683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740"/>
          </w:cols>
          <w:pgMar w:left="240" w:top="521" w:right="919" w:bottom="1440" w:gutter="0" w:footer="0" w:header="0"/>
        </w:sectPr>
      </w:pPr>
    </w:p>
    <w:bookmarkStart w:id="220" w:name="page221"/>
    <w:bookmarkEnd w:id="220"/>
    <w:p>
      <w:pPr>
        <w:jc w:val="right"/>
        <w:ind w:right="679"/>
        <w:spacing w:after="0"/>
        <w:tabs>
          <w:tab w:leader="none" w:pos="4240" w:val="left"/>
        </w:tabs>
        <w:rPr>
          <w:sz w:val="20"/>
          <w:szCs w:val="20"/>
          <w:color w:val="auto"/>
        </w:rPr>
      </w:pPr>
      <w:r>
        <w:rPr>
          <w:rFonts w:ascii="Arial" w:cs="Arial" w:eastAsia="Arial" w:hAnsi="Arial"/>
          <w:sz w:val="14"/>
          <w:szCs w:val="14"/>
          <w:u w:val="single" w:color="auto"/>
          <w:color w:val="auto"/>
        </w:rPr>
        <w:t>Effective Date</w:t>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 201_ [TO BE INSERTED BY AGENT AND WHICH SHALL BE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1405255</wp:posOffset>
            </wp:positionH>
            <wp:positionV relativeFrom="paragraph">
              <wp:posOffset>-6985</wp:posOffset>
            </wp:positionV>
            <wp:extent cx="22860"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2860" cy="5715"/>
                    </a:xfrm>
                    <a:prstGeom prst="rect">
                      <a:avLst/>
                    </a:prstGeom>
                    <a:noFill/>
                  </pic:spPr>
                </pic:pic>
              </a:graphicData>
            </a:graphic>
          </wp:anchor>
        </w:drawing>
      </w:r>
    </w:p>
    <w:p>
      <w:pPr>
        <w:ind w:left="700"/>
        <w:spacing w:after="0"/>
        <w:rPr>
          <w:sz w:val="20"/>
          <w:szCs w:val="20"/>
          <w:color w:val="auto"/>
        </w:rPr>
      </w:pPr>
      <w:r>
        <w:rPr>
          <w:rFonts w:ascii="Arial" w:cs="Arial" w:eastAsia="Arial" w:hAnsi="Arial"/>
          <w:sz w:val="14"/>
          <w:szCs w:val="14"/>
          <w:color w:val="auto"/>
        </w:rPr>
        <w:t>EFFECTIVE DATE OF DELIVERY OF RECORDATION OF TRANSFER IN THE REGISTER THEREFOR.]</w:t>
      </w:r>
    </w:p>
    <w:p>
      <w:pPr>
        <w:spacing w:after="0" w:line="288" w:lineRule="exact"/>
        <w:rPr>
          <w:sz w:val="20"/>
          <w:szCs w:val="20"/>
          <w:color w:val="auto"/>
        </w:rPr>
      </w:pPr>
    </w:p>
    <w:p>
      <w:pPr>
        <w:spacing w:after="0"/>
        <w:rPr>
          <w:sz w:val="20"/>
          <w:szCs w:val="20"/>
          <w:color w:val="auto"/>
        </w:rPr>
      </w:pPr>
      <w:r>
        <w:rPr>
          <w:rFonts w:ascii="Arial" w:cs="Arial" w:eastAsia="Arial" w:hAnsi="Arial"/>
          <w:sz w:val="10"/>
          <w:szCs w:val="10"/>
          <w:color w:val="auto"/>
        </w:rPr>
        <w:t>DB1/ 97584532.1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242570</wp:posOffset>
            </wp:positionV>
            <wp:extent cx="7329170" cy="368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19"/>
          </w:cols>
          <w:pgMar w:left="240" w:top="305" w:right="1440" w:bottom="1440" w:gutter="0" w:footer="0" w:header="0"/>
        </w:sectPr>
      </w:pPr>
    </w:p>
    <w:bookmarkStart w:id="221" w:name="page222"/>
    <w:bookmarkEnd w:id="221"/>
    <w:p>
      <w:pPr>
        <w:ind w:left="700"/>
        <w:spacing w:after="0"/>
        <w:rPr>
          <w:sz w:val="20"/>
          <w:szCs w:val="20"/>
          <w:color w:val="auto"/>
        </w:rPr>
      </w:pPr>
      <w:r>
        <w:rPr>
          <w:rFonts w:ascii="Arial" w:cs="Arial" w:eastAsia="Arial" w:hAnsi="Arial"/>
          <w:sz w:val="14"/>
          <w:szCs w:val="14"/>
          <w:color w:val="auto"/>
        </w:rPr>
        <w:t>The terms set forth in this Assignment and Assumption are hereby agreed to:</w:t>
      </w:r>
    </w:p>
    <w:p>
      <w:pPr>
        <w:spacing w:after="0" w:line="154" w:lineRule="exact"/>
        <w:rPr>
          <w:sz w:val="20"/>
          <w:szCs w:val="20"/>
          <w:color w:val="auto"/>
        </w:rPr>
      </w:pPr>
    </w:p>
    <w:p>
      <w:pPr>
        <w:ind w:left="6100"/>
        <w:spacing w:after="0"/>
        <w:rPr>
          <w:sz w:val="20"/>
          <w:szCs w:val="20"/>
          <w:color w:val="auto"/>
        </w:rPr>
      </w:pPr>
      <w:r>
        <w:rPr>
          <w:rFonts w:ascii="Arial" w:cs="Arial" w:eastAsia="Arial" w:hAnsi="Arial"/>
          <w:sz w:val="14"/>
          <w:szCs w:val="14"/>
          <w:color w:val="auto"/>
        </w:rPr>
        <w:t>ASSIGNOR[S]</w:t>
      </w:r>
      <w:r>
        <w:rPr>
          <w:rFonts w:ascii="Arial" w:cs="Arial" w:eastAsia="Arial" w:hAnsi="Arial"/>
          <w:sz w:val="9"/>
          <w:szCs w:val="9"/>
          <w:color w:val="auto"/>
        </w:rPr>
        <w:t>12</w:t>
      </w:r>
    </w:p>
    <w:p>
      <w:pPr>
        <w:spacing w:after="0" w:line="13" w:lineRule="exact"/>
        <w:rPr>
          <w:sz w:val="20"/>
          <w:szCs w:val="20"/>
          <w:color w:val="auto"/>
        </w:rPr>
      </w:pPr>
    </w:p>
    <w:p>
      <w:pPr>
        <w:ind w:left="6100"/>
        <w:spacing w:after="0"/>
        <w:rPr>
          <w:sz w:val="20"/>
          <w:szCs w:val="20"/>
          <w:color w:val="auto"/>
        </w:rPr>
      </w:pPr>
      <w:r>
        <w:rPr>
          <w:rFonts w:ascii="Arial" w:cs="Arial" w:eastAsia="Arial" w:hAnsi="Arial"/>
          <w:sz w:val="14"/>
          <w:szCs w:val="14"/>
          <w:color w:val="auto"/>
        </w:rPr>
        <w:t>[NAME OF ASSIGNOR]</w:t>
      </w:r>
    </w:p>
    <w:p>
      <w:pPr>
        <w:spacing w:after="0" w:line="151" w:lineRule="exact"/>
        <w:rPr>
          <w:sz w:val="20"/>
          <w:szCs w:val="20"/>
          <w:color w:val="auto"/>
        </w:rPr>
      </w:pPr>
    </w:p>
    <w:p>
      <w:pPr>
        <w:ind w:left="6100"/>
        <w:spacing w:after="0"/>
        <w:rPr>
          <w:sz w:val="20"/>
          <w:szCs w:val="20"/>
          <w:color w:val="auto"/>
        </w:rPr>
      </w:pPr>
      <w:r>
        <w:rPr>
          <w:rFonts w:ascii="Arial" w:cs="Arial" w:eastAsia="Arial" w:hAnsi="Arial"/>
          <w:sz w:val="14"/>
          <w:szCs w:val="14"/>
          <w:color w:val="auto"/>
        </w:rPr>
        <w:t>By:</w:t>
      </w:r>
    </w:p>
    <w:p>
      <w:pPr>
        <w:spacing w:after="0" w:line="13" w:lineRule="exact"/>
        <w:rPr>
          <w:sz w:val="20"/>
          <w:szCs w:val="20"/>
          <w:color w:val="auto"/>
        </w:rPr>
      </w:pPr>
    </w:p>
    <w:p>
      <w:pPr>
        <w:ind w:left="6260"/>
        <w:spacing w:after="0"/>
        <w:rPr>
          <w:sz w:val="20"/>
          <w:szCs w:val="20"/>
          <w:color w:val="auto"/>
        </w:rPr>
      </w:pPr>
      <w:r>
        <w:rPr>
          <w:rFonts w:ascii="Arial" w:cs="Arial" w:eastAsia="Arial" w:hAnsi="Arial"/>
          <w:sz w:val="14"/>
          <w:szCs w:val="14"/>
          <w:color w:val="auto"/>
        </w:rPr>
        <w:t>Name:</w:t>
      </w:r>
    </w:p>
    <w:p>
      <w:pPr>
        <w:spacing w:after="0" w:line="1" w:lineRule="exact"/>
        <w:rPr>
          <w:sz w:val="20"/>
          <w:szCs w:val="20"/>
          <w:color w:val="auto"/>
        </w:rPr>
      </w:pPr>
    </w:p>
    <w:p>
      <w:pPr>
        <w:ind w:left="6300"/>
        <w:spacing w:after="0"/>
        <w:rPr>
          <w:sz w:val="20"/>
          <w:szCs w:val="20"/>
          <w:color w:val="auto"/>
        </w:rPr>
      </w:pPr>
      <w:r>
        <w:rPr>
          <w:rFonts w:ascii="Arial" w:cs="Arial" w:eastAsia="Arial" w:hAnsi="Arial"/>
          <w:sz w:val="14"/>
          <w:szCs w:val="14"/>
          <w:color w:val="auto"/>
        </w:rPr>
        <w:t>Title:</w:t>
      </w:r>
    </w:p>
    <w:p>
      <w:pPr>
        <w:spacing w:after="0" w:line="200" w:lineRule="exact"/>
        <w:rPr>
          <w:sz w:val="20"/>
          <w:szCs w:val="20"/>
          <w:color w:val="auto"/>
        </w:rPr>
      </w:pPr>
    </w:p>
    <w:p>
      <w:pPr>
        <w:spacing w:after="0" w:line="267" w:lineRule="exact"/>
        <w:rPr>
          <w:sz w:val="20"/>
          <w:szCs w:val="20"/>
          <w:color w:val="auto"/>
        </w:rPr>
      </w:pPr>
    </w:p>
    <w:p>
      <w:pPr>
        <w:ind w:left="6100"/>
        <w:spacing w:after="0"/>
        <w:rPr>
          <w:sz w:val="20"/>
          <w:szCs w:val="20"/>
          <w:color w:val="auto"/>
        </w:rPr>
      </w:pPr>
      <w:r>
        <w:rPr>
          <w:rFonts w:ascii="Arial" w:cs="Arial" w:eastAsia="Arial" w:hAnsi="Arial"/>
          <w:sz w:val="14"/>
          <w:szCs w:val="14"/>
          <w:color w:val="auto"/>
        </w:rPr>
        <w:t>ASSIGNEE[S]</w:t>
      </w:r>
      <w:r>
        <w:rPr>
          <w:rFonts w:ascii="Arial" w:cs="Arial" w:eastAsia="Arial" w:hAnsi="Arial"/>
          <w:sz w:val="9"/>
          <w:szCs w:val="9"/>
          <w:color w:val="auto"/>
        </w:rPr>
        <w:t>13</w:t>
      </w:r>
    </w:p>
    <w:p>
      <w:pPr>
        <w:spacing w:after="0" w:line="13" w:lineRule="exact"/>
        <w:rPr>
          <w:sz w:val="20"/>
          <w:szCs w:val="20"/>
          <w:color w:val="auto"/>
        </w:rPr>
      </w:pPr>
    </w:p>
    <w:p>
      <w:pPr>
        <w:ind w:left="6100"/>
        <w:spacing w:after="0"/>
        <w:rPr>
          <w:sz w:val="20"/>
          <w:szCs w:val="20"/>
          <w:color w:val="auto"/>
        </w:rPr>
      </w:pPr>
      <w:r>
        <w:rPr>
          <w:rFonts w:ascii="Arial" w:cs="Arial" w:eastAsia="Arial" w:hAnsi="Arial"/>
          <w:sz w:val="14"/>
          <w:szCs w:val="14"/>
          <w:color w:val="auto"/>
        </w:rPr>
        <w:t>[NAME OF ASSIGNEE]</w:t>
      </w:r>
    </w:p>
    <w:p>
      <w:pPr>
        <w:spacing w:after="0" w:line="241"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By:</w:t>
      </w:r>
    </w:p>
    <w:p>
      <w:pPr>
        <w:spacing w:after="0" w:line="13"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Name: Title:</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[Consented to and]</w:t>
      </w:r>
      <w:r>
        <w:rPr>
          <w:rFonts w:ascii="Arial" w:cs="Arial" w:eastAsia="Arial" w:hAnsi="Arial"/>
          <w:sz w:val="9"/>
          <w:szCs w:val="9"/>
          <w:color w:val="auto"/>
        </w:rPr>
        <w:t>14</w:t>
      </w:r>
      <w:r>
        <w:rPr>
          <w:rFonts w:ascii="Arial" w:cs="Arial" w:eastAsia="Arial" w:hAnsi="Arial"/>
          <w:sz w:val="14"/>
          <w:szCs w:val="14"/>
          <w:color w:val="auto"/>
        </w:rPr>
        <w:t xml:space="preserve"> Accepted: BANK OF AMERICA, N.A.,</w:t>
      </w:r>
    </w:p>
    <w:p>
      <w:pPr>
        <w:spacing w:after="0" w:line="13"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as [Agent] [L/C Issuer] [Swing Line Lender]</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By:</w:t>
      </w:r>
    </w:p>
    <w:p>
      <w:pPr>
        <w:spacing w:after="0" w:line="4" w:lineRule="exact"/>
        <w:rPr>
          <w:sz w:val="20"/>
          <w:szCs w:val="20"/>
          <w:color w:val="auto"/>
        </w:rPr>
      </w:pPr>
    </w:p>
    <w:p>
      <w:pPr>
        <w:ind w:left="300"/>
        <w:spacing w:after="0"/>
        <w:rPr>
          <w:sz w:val="20"/>
          <w:szCs w:val="20"/>
          <w:color w:val="auto"/>
        </w:rPr>
      </w:pPr>
      <w:r>
        <w:rPr>
          <w:rFonts w:ascii="Arial" w:cs="Arial" w:eastAsia="Arial" w:hAnsi="Arial"/>
          <w:sz w:val="14"/>
          <w:szCs w:val="14"/>
          <w:color w:val="auto"/>
        </w:rPr>
        <w:t>Name: Title:</w:t>
      </w:r>
    </w:p>
    <w:p>
      <w:pPr>
        <w:spacing w:after="0" w:line="14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[Consented to:]</w:t>
      </w:r>
      <w:r>
        <w:rPr>
          <w:rFonts w:ascii="Arial" w:cs="Arial" w:eastAsia="Arial" w:hAnsi="Arial"/>
          <w:sz w:val="9"/>
          <w:szCs w:val="9"/>
          <w:color w:val="auto"/>
        </w:rPr>
        <w:t>15</w:t>
      </w:r>
    </w:p>
    <w:p>
      <w:pPr>
        <w:spacing w:after="0" w:line="361" w:lineRule="exact"/>
        <w:rPr>
          <w:sz w:val="20"/>
          <w:szCs w:val="20"/>
          <w:color w:val="auto"/>
        </w:rPr>
      </w:pPr>
    </w:p>
    <w:p>
      <w:pPr>
        <w:ind w:left="700"/>
        <w:spacing w:after="0"/>
        <w:rPr>
          <w:sz w:val="20"/>
          <w:szCs w:val="20"/>
          <w:color w:val="auto"/>
        </w:rPr>
      </w:pPr>
      <w:r>
        <w:rPr>
          <w:rFonts w:ascii="Arial" w:cs="Arial" w:eastAsia="Arial" w:hAnsi="Arial"/>
          <w:sz w:val="14"/>
          <w:szCs w:val="14"/>
          <w:color w:val="auto"/>
        </w:rPr>
        <w:t>DESTINATION XL GROUP, INC., as Lead Borrower</w:t>
      </w:r>
    </w:p>
    <w:p>
      <w:pPr>
        <w:spacing w:after="0" w:line="163" w:lineRule="exact"/>
        <w:rPr>
          <w:sz w:val="20"/>
          <w:szCs w:val="20"/>
          <w:color w:val="auto"/>
        </w:rPr>
      </w:pPr>
    </w:p>
    <w:p>
      <w:pPr>
        <w:ind w:left="700"/>
        <w:spacing w:after="0"/>
        <w:rPr>
          <w:sz w:val="20"/>
          <w:szCs w:val="20"/>
          <w:color w:val="auto"/>
        </w:rPr>
      </w:pPr>
      <w:r>
        <w:rPr>
          <w:rFonts w:ascii="Arial" w:cs="Arial" w:eastAsia="Arial" w:hAnsi="Arial"/>
          <w:sz w:val="14"/>
          <w:szCs w:val="14"/>
          <w:color w:val="auto"/>
        </w:rPr>
        <w:t>By:</w:t>
      </w:r>
    </w:p>
    <w:p>
      <w:pPr>
        <w:spacing w:after="0" w:line="13" w:lineRule="exact"/>
        <w:rPr>
          <w:sz w:val="20"/>
          <w:szCs w:val="20"/>
          <w:color w:val="auto"/>
        </w:rPr>
      </w:pPr>
    </w:p>
    <w:p>
      <w:pPr>
        <w:ind w:left="700"/>
        <w:spacing w:after="0"/>
        <w:rPr>
          <w:sz w:val="20"/>
          <w:szCs w:val="20"/>
          <w:color w:val="auto"/>
        </w:rPr>
      </w:pPr>
      <w:r>
        <w:rPr>
          <w:rFonts w:ascii="Arial" w:cs="Arial" w:eastAsia="Arial" w:hAnsi="Arial"/>
          <w:sz w:val="14"/>
          <w:szCs w:val="14"/>
          <w:color w:val="auto"/>
        </w:rPr>
        <w:t>Name:</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700"/>
        <w:spacing w:after="0"/>
        <w:rPr>
          <w:sz w:val="20"/>
          <w:szCs w:val="20"/>
          <w:color w:val="auto"/>
        </w:rPr>
      </w:pPr>
      <w:r>
        <w:rPr>
          <w:rFonts w:ascii="Arial" w:cs="Arial" w:eastAsia="Arial" w:hAnsi="Arial"/>
          <w:sz w:val="8"/>
          <w:szCs w:val="8"/>
          <w:color w:val="auto"/>
        </w:rPr>
        <w:t xml:space="preserve">12 </w:t>
      </w:r>
      <w:r>
        <w:rPr>
          <w:rFonts w:ascii="Arial" w:cs="Arial" w:eastAsia="Arial" w:hAnsi="Arial"/>
          <w:sz w:val="10"/>
          <w:szCs w:val="10"/>
          <w:color w:val="auto"/>
        </w:rPr>
        <w:t>Add additional signature blocks as needed.</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7"/>
          <w:szCs w:val="7"/>
          <w:color w:val="auto"/>
        </w:rPr>
        <w:t xml:space="preserve">13 </w:t>
      </w:r>
      <w:r>
        <w:rPr>
          <w:rFonts w:ascii="Arial" w:cs="Arial" w:eastAsia="Arial" w:hAnsi="Arial"/>
          <w:sz w:val="10"/>
          <w:szCs w:val="10"/>
          <w:color w:val="auto"/>
        </w:rPr>
        <w:t>Add additional signature blocks as needed.</w:t>
      </w:r>
    </w:p>
    <w:p>
      <w:pPr>
        <w:spacing w:after="0" w:line="6" w:lineRule="exact"/>
        <w:rPr>
          <w:sz w:val="20"/>
          <w:szCs w:val="20"/>
          <w:color w:val="auto"/>
        </w:rPr>
      </w:pPr>
    </w:p>
    <w:p>
      <w:pPr>
        <w:ind w:left="700"/>
        <w:spacing w:after="0" w:line="230" w:lineRule="auto"/>
        <w:rPr>
          <w:sz w:val="20"/>
          <w:szCs w:val="20"/>
          <w:color w:val="auto"/>
        </w:rPr>
      </w:pPr>
      <w:r>
        <w:rPr>
          <w:rFonts w:ascii="Arial" w:cs="Arial" w:eastAsia="Arial" w:hAnsi="Arial"/>
          <w:sz w:val="7"/>
          <w:szCs w:val="7"/>
          <w:color w:val="auto"/>
        </w:rPr>
        <w:t xml:space="preserve">14 </w:t>
      </w:r>
      <w:r>
        <w:rPr>
          <w:rFonts w:ascii="Arial" w:cs="Arial" w:eastAsia="Arial" w:hAnsi="Arial"/>
          <w:sz w:val="10"/>
          <w:szCs w:val="10"/>
          <w:color w:val="auto"/>
        </w:rPr>
        <w:t>To the extent that (i) the Agent’s consent is required under Sections</w:t>
      </w:r>
      <w:r>
        <w:rPr>
          <w:rFonts w:ascii="Arial" w:cs="Arial" w:eastAsia="Arial" w:hAnsi="Arial"/>
          <w:sz w:val="7"/>
          <w:szCs w:val="7"/>
          <w:color w:val="auto"/>
        </w:rPr>
        <w:t xml:space="preserve"> </w:t>
      </w:r>
      <w:r>
        <w:rPr>
          <w:rFonts w:ascii="Arial" w:cs="Arial" w:eastAsia="Arial" w:hAnsi="Arial"/>
          <w:sz w:val="10"/>
          <w:szCs w:val="10"/>
          <w:u w:val="single" w:color="auto"/>
          <w:color w:val="auto"/>
        </w:rPr>
        <w:t>10.06(b)(i)(B)</w:t>
      </w:r>
      <w:r>
        <w:rPr>
          <w:rFonts w:ascii="Arial" w:cs="Arial" w:eastAsia="Arial" w:hAnsi="Arial"/>
          <w:sz w:val="7"/>
          <w:szCs w:val="7"/>
          <w:color w:val="auto"/>
        </w:rPr>
        <w:t xml:space="preserve"> </w:t>
      </w:r>
      <w:r>
        <w:rPr>
          <w:rFonts w:ascii="Arial" w:cs="Arial" w:eastAsia="Arial" w:hAnsi="Arial"/>
          <w:sz w:val="10"/>
          <w:szCs w:val="10"/>
          <w:color w:val="auto"/>
        </w:rPr>
        <w:t>and</w:t>
      </w:r>
      <w:r>
        <w:rPr>
          <w:rFonts w:ascii="Arial" w:cs="Arial" w:eastAsia="Arial" w:hAnsi="Arial"/>
          <w:sz w:val="7"/>
          <w:szCs w:val="7"/>
          <w:color w:val="auto"/>
        </w:rPr>
        <w:t xml:space="preserve"> </w:t>
      </w:r>
      <w:r>
        <w:rPr>
          <w:rFonts w:ascii="Arial" w:cs="Arial" w:eastAsia="Arial" w:hAnsi="Arial"/>
          <w:sz w:val="10"/>
          <w:szCs w:val="10"/>
          <w:u w:val="single" w:color="auto"/>
          <w:color w:val="auto"/>
        </w:rPr>
        <w:t>10.06(b)(iii)(B</w:t>
      </w:r>
      <w:r>
        <w:rPr>
          <w:rFonts w:ascii="Arial" w:cs="Arial" w:eastAsia="Arial" w:hAnsi="Arial"/>
          <w:sz w:val="10"/>
          <w:szCs w:val="10"/>
          <w:color w:val="auto"/>
        </w:rPr>
        <w:t>) of the Credit Agreement, or (ii) the L/C Issuer’s or the Swing Line Lender’s consent is required under Section</w:t>
      </w:r>
      <w:r>
        <w:rPr>
          <w:rFonts w:ascii="Arial" w:cs="Arial" w:eastAsia="Arial" w:hAnsi="Arial"/>
          <w:sz w:val="7"/>
          <w:szCs w:val="7"/>
          <w:color w:val="auto"/>
        </w:rPr>
        <w:t xml:space="preserve"> </w:t>
      </w:r>
      <w:r>
        <w:rPr>
          <w:rFonts w:ascii="Arial" w:cs="Arial" w:eastAsia="Arial" w:hAnsi="Arial"/>
          <w:sz w:val="10"/>
          <w:szCs w:val="10"/>
          <w:u w:val="single" w:color="auto"/>
          <w:color w:val="auto"/>
        </w:rPr>
        <w:t>10.06(b)(iii)(B)</w:t>
      </w:r>
      <w:r>
        <w:rPr>
          <w:rFonts w:ascii="Arial" w:cs="Arial" w:eastAsia="Arial" w:hAnsi="Arial"/>
          <w:sz w:val="7"/>
          <w:szCs w:val="7"/>
          <w:color w:val="auto"/>
        </w:rPr>
        <w:t xml:space="preserve"> </w:t>
      </w:r>
      <w:r>
        <w:rPr>
          <w:rFonts w:ascii="Arial" w:cs="Arial" w:eastAsia="Arial" w:hAnsi="Arial"/>
          <w:sz w:val="10"/>
          <w:szCs w:val="10"/>
          <w:color w:val="auto"/>
        </w:rPr>
        <w:t>of the Credit</w:t>
      </w:r>
      <w:r>
        <w:rPr>
          <w:rFonts w:ascii="Arial" w:cs="Arial" w:eastAsia="Arial" w:hAnsi="Arial"/>
          <w:sz w:val="7"/>
          <w:szCs w:val="7"/>
          <w:color w:val="auto"/>
        </w:rPr>
        <w:t xml:space="preserve"> </w:t>
      </w:r>
      <w:r>
        <w:rPr>
          <w:rFonts w:ascii="Arial" w:cs="Arial" w:eastAsia="Arial" w:hAnsi="Arial"/>
          <w:sz w:val="10"/>
          <w:szCs w:val="10"/>
          <w:color w:val="auto"/>
        </w:rPr>
        <w:t>Agreement.</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7"/>
          <w:szCs w:val="7"/>
          <w:color w:val="auto"/>
        </w:rPr>
        <w:t xml:space="preserve">15 </w:t>
      </w:r>
      <w:r>
        <w:rPr>
          <w:rFonts w:ascii="Arial" w:cs="Arial" w:eastAsia="Arial" w:hAnsi="Arial"/>
          <w:sz w:val="10"/>
          <w:szCs w:val="10"/>
          <w:color w:val="auto"/>
        </w:rPr>
        <w:t>To the extent that the Lead Borrower’s consent is required under</w:t>
      </w:r>
      <w:r>
        <w:rPr>
          <w:rFonts w:ascii="Arial" w:cs="Arial" w:eastAsia="Arial" w:hAnsi="Arial"/>
          <w:sz w:val="7"/>
          <w:szCs w:val="7"/>
          <w:color w:val="auto"/>
        </w:rPr>
        <w:t xml:space="preserve"> </w:t>
      </w:r>
      <w:r>
        <w:rPr>
          <w:rFonts w:ascii="Arial" w:cs="Arial" w:eastAsia="Arial" w:hAnsi="Arial"/>
          <w:sz w:val="10"/>
          <w:szCs w:val="10"/>
          <w:u w:val="single" w:color="auto"/>
          <w:color w:val="auto"/>
        </w:rPr>
        <w:t>Sections 10.06(b)(i)(B)</w:t>
      </w:r>
      <w:r>
        <w:rPr>
          <w:rFonts w:ascii="Arial" w:cs="Arial" w:eastAsia="Arial" w:hAnsi="Arial"/>
          <w:sz w:val="7"/>
          <w:szCs w:val="7"/>
          <w:color w:val="auto"/>
        </w:rPr>
        <w:t xml:space="preserve"> </w:t>
      </w:r>
      <w:r>
        <w:rPr>
          <w:rFonts w:ascii="Arial" w:cs="Arial" w:eastAsia="Arial" w:hAnsi="Arial"/>
          <w:sz w:val="10"/>
          <w:szCs w:val="10"/>
          <w:color w:val="auto"/>
        </w:rPr>
        <w:t>and/or</w:t>
      </w:r>
      <w:r>
        <w:rPr>
          <w:rFonts w:ascii="Arial" w:cs="Arial" w:eastAsia="Arial" w:hAnsi="Arial"/>
          <w:sz w:val="7"/>
          <w:szCs w:val="7"/>
          <w:color w:val="auto"/>
        </w:rPr>
        <w:t xml:space="preserve"> </w:t>
      </w:r>
      <w:r>
        <w:rPr>
          <w:rFonts w:ascii="Arial" w:cs="Arial" w:eastAsia="Arial" w:hAnsi="Arial"/>
          <w:sz w:val="10"/>
          <w:szCs w:val="10"/>
          <w:u w:val="single" w:color="auto"/>
          <w:color w:val="auto"/>
        </w:rPr>
        <w:t>10.06(b)(iii)(A)</w:t>
      </w:r>
      <w:r>
        <w:rPr>
          <w:rFonts w:ascii="Arial" w:cs="Arial" w:eastAsia="Arial" w:hAnsi="Arial"/>
          <w:sz w:val="7"/>
          <w:szCs w:val="7"/>
          <w:color w:val="auto"/>
        </w:rPr>
        <w:t xml:space="preserve"> </w:t>
      </w:r>
      <w:r>
        <w:rPr>
          <w:rFonts w:ascii="Arial" w:cs="Arial" w:eastAsia="Arial" w:hAnsi="Arial"/>
          <w:sz w:val="10"/>
          <w:szCs w:val="10"/>
          <w:color w:val="auto"/>
        </w:rPr>
        <w:t>of the Credit Agreement.</w:t>
      </w:r>
    </w:p>
    <w:p>
      <w:pPr>
        <w:spacing w:after="0" w:line="234" w:lineRule="exact"/>
        <w:rPr>
          <w:sz w:val="20"/>
          <w:szCs w:val="20"/>
          <w:color w:val="auto"/>
        </w:rPr>
      </w:pPr>
    </w:p>
    <w:p>
      <w:pPr>
        <w:spacing w:after="0"/>
        <w:rPr>
          <w:sz w:val="20"/>
          <w:szCs w:val="20"/>
          <w:color w:val="auto"/>
        </w:rPr>
      </w:pPr>
      <w:r>
        <w:rPr>
          <w:rFonts w:ascii="Arial" w:cs="Arial" w:eastAsia="Arial" w:hAnsi="Arial"/>
          <w:sz w:val="10"/>
          <w:szCs w:val="10"/>
          <w:color w:val="auto"/>
        </w:rPr>
        <w:t>DB1/ 97584532.1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242570</wp:posOffset>
            </wp:positionV>
            <wp:extent cx="7329170" cy="3683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700"/>
          </w:cols>
          <w:pgMar w:left="240" w:top="305" w:right="959" w:bottom="1440" w:gutter="0" w:footer="0" w:header="0"/>
        </w:sectPr>
      </w:pPr>
    </w:p>
    <w:bookmarkStart w:id="222" w:name="page223"/>
    <w:bookmarkEnd w:id="222"/>
    <w:p>
      <w:pPr>
        <w:ind w:left="2940"/>
        <w:spacing w:after="0"/>
        <w:rPr>
          <w:sz w:val="20"/>
          <w:szCs w:val="20"/>
          <w:color w:val="auto"/>
        </w:rPr>
      </w:pPr>
      <w:r>
        <w:rPr>
          <w:rFonts w:ascii="Arial" w:cs="Arial" w:eastAsia="Arial" w:hAnsi="Arial"/>
          <w:sz w:val="14"/>
          <w:szCs w:val="14"/>
          <w:b w:val="1"/>
          <w:bCs w:val="1"/>
          <w:i w:val="1"/>
          <w:iCs w:val="1"/>
          <w:color w:val="auto"/>
        </w:rPr>
        <w:t>ANNEX 1 TO ASSIGNMENT AND ASSUMPTION</w:t>
      </w:r>
    </w:p>
    <w:p>
      <w:pPr>
        <w:spacing w:after="0" w:line="163" w:lineRule="exact"/>
        <w:rPr>
          <w:sz w:val="20"/>
          <w:szCs w:val="20"/>
          <w:color w:val="auto"/>
        </w:rPr>
      </w:pPr>
    </w:p>
    <w:p>
      <w:pPr>
        <w:jc w:val="both"/>
        <w:ind w:left="700"/>
        <w:spacing w:after="0" w:line="248" w:lineRule="auto"/>
        <w:rPr>
          <w:sz w:val="20"/>
          <w:szCs w:val="20"/>
          <w:color w:val="auto"/>
        </w:rPr>
      </w:pPr>
      <w:r>
        <w:rPr>
          <w:rFonts w:ascii="Arial" w:cs="Arial" w:eastAsia="Arial" w:hAnsi="Arial"/>
          <w:sz w:val="14"/>
          <w:szCs w:val="14"/>
          <w:color w:val="auto"/>
        </w:rPr>
        <w:t>Reference is made to the Seventh Amended and Restated Credit Agreement dated as of May 24, 2018 (as amended, restated, supplemented or otherwise modified and in effect from time to time, the “</w:t>
      </w:r>
      <w:r>
        <w:rPr>
          <w:rFonts w:ascii="Arial" w:cs="Arial" w:eastAsia="Arial" w:hAnsi="Arial"/>
          <w:sz w:val="14"/>
          <w:szCs w:val="14"/>
          <w:u w:val="single" w:color="auto"/>
          <w:color w:val="auto"/>
        </w:rPr>
        <w:t>Credit Agreement</w:t>
      </w:r>
      <w:r>
        <w:rPr>
          <w:rFonts w:ascii="Arial" w:cs="Arial" w:eastAsia="Arial" w:hAnsi="Arial"/>
          <w:sz w:val="14"/>
          <w:szCs w:val="14"/>
          <w:color w:val="auto"/>
        </w:rPr>
        <w:t>”) by and among (i) Destination XL Group, Inc., a Delaware corporation, for itself and as Lead Borrower (in such capacity, the “</w:t>
      </w:r>
      <w:r>
        <w:rPr>
          <w:rFonts w:ascii="Arial" w:cs="Arial" w:eastAsia="Arial" w:hAnsi="Arial"/>
          <w:sz w:val="14"/>
          <w:szCs w:val="14"/>
          <w:u w:val="single" w:color="auto"/>
          <w:color w:val="auto"/>
        </w:rPr>
        <w:t>Lead Borrower</w:t>
      </w:r>
      <w:r>
        <w:rPr>
          <w:rFonts w:ascii="Arial" w:cs="Arial" w:eastAsia="Arial" w:hAnsi="Arial"/>
          <w:sz w:val="14"/>
          <w:szCs w:val="14"/>
          <w:color w:val="auto"/>
        </w:rPr>
        <w:t>”) for the other Borrowers party thereto from time to time (individually, a “</w:t>
      </w:r>
      <w:r>
        <w:rPr>
          <w:rFonts w:ascii="Arial" w:cs="Arial" w:eastAsia="Arial" w:hAnsi="Arial"/>
          <w:sz w:val="14"/>
          <w:szCs w:val="14"/>
          <w:u w:val="single" w:color="auto"/>
          <w:color w:val="auto"/>
        </w:rPr>
        <w:t>Borrower</w:t>
      </w:r>
      <w:r>
        <w:rPr>
          <w:rFonts w:ascii="Arial" w:cs="Arial" w:eastAsia="Arial" w:hAnsi="Arial"/>
          <w:sz w:val="14"/>
          <w:szCs w:val="14"/>
          <w:color w:val="auto"/>
        </w:rPr>
        <w:t>” and, collectively, the “</w:t>
      </w:r>
      <w:r>
        <w:rPr>
          <w:rFonts w:ascii="Arial" w:cs="Arial" w:eastAsia="Arial" w:hAnsi="Arial"/>
          <w:sz w:val="14"/>
          <w:szCs w:val="14"/>
          <w:u w:val="single" w:color="auto"/>
          <w:color w:val="auto"/>
        </w:rPr>
        <w:t>Borrowers</w:t>
      </w:r>
      <w:r>
        <w:rPr>
          <w:rFonts w:ascii="Arial" w:cs="Arial" w:eastAsia="Arial" w:hAnsi="Arial"/>
          <w:sz w:val="14"/>
          <w:szCs w:val="14"/>
          <w:color w:val="auto"/>
        </w:rPr>
        <w:t>”), (ii) the Borrowers party thereto from time to time, (iii) the Guarantors party thereto from time to time, (iv) the Lenders party thereto from time to time, and (v) Bank of America, N.A., as administrative agent and collateral agent (in such capacities, the “</w:t>
      </w:r>
      <w:r>
        <w:rPr>
          <w:rFonts w:ascii="Arial" w:cs="Arial" w:eastAsia="Arial" w:hAnsi="Arial"/>
          <w:sz w:val="14"/>
          <w:szCs w:val="14"/>
          <w:u w:val="single" w:color="auto"/>
          <w:color w:val="auto"/>
        </w:rPr>
        <w:t>Agent</w:t>
      </w:r>
      <w:r>
        <w:rPr>
          <w:rFonts w:ascii="Arial" w:cs="Arial" w:eastAsia="Arial" w:hAnsi="Arial"/>
          <w:sz w:val="14"/>
          <w:szCs w:val="14"/>
          <w:color w:val="auto"/>
        </w:rPr>
        <w:t>”) for its own benefit and the benefit of the other Credit Parties referred to therein. All capitalized terms used herein and not otherwise defined shall have the same meaning herein as in the Credit Agreement.</w:t>
      </w:r>
    </w:p>
    <w:p>
      <w:pPr>
        <w:spacing w:after="0" w:line="137" w:lineRule="exact"/>
        <w:rPr>
          <w:sz w:val="20"/>
          <w:szCs w:val="20"/>
          <w:color w:val="auto"/>
        </w:rPr>
      </w:pPr>
    </w:p>
    <w:p>
      <w:pPr>
        <w:ind w:left="3160"/>
        <w:spacing w:after="0"/>
        <w:rPr>
          <w:sz w:val="20"/>
          <w:szCs w:val="20"/>
          <w:color w:val="auto"/>
        </w:rPr>
      </w:pPr>
      <w:r>
        <w:rPr>
          <w:rFonts w:ascii="Arial" w:cs="Arial" w:eastAsia="Arial" w:hAnsi="Arial"/>
          <w:sz w:val="14"/>
          <w:szCs w:val="14"/>
          <w:color w:val="auto"/>
        </w:rPr>
        <w:t>STANDARD TERMS AND CONDITIONS FOR ASSIGNMENT AND ASSUMPTION</w:t>
      </w:r>
    </w:p>
    <w:p>
      <w:pPr>
        <w:spacing w:after="0" w:line="163" w:lineRule="exact"/>
        <w:rPr>
          <w:sz w:val="20"/>
          <w:szCs w:val="20"/>
          <w:color w:val="auto"/>
        </w:rPr>
      </w:pPr>
    </w:p>
    <w:p>
      <w:pPr>
        <w:ind w:left="1960"/>
        <w:spacing w:after="0"/>
        <w:tabs>
          <w:tab w:leader="none" w:pos="352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4"/>
          <w:szCs w:val="14"/>
          <w:u w:val="single" w:color="auto"/>
          <w:color w:val="auto"/>
        </w:rPr>
        <w:t>Representations and Warranties</w:t>
      </w:r>
      <w:r>
        <w:rPr>
          <w:rFonts w:ascii="Arial" w:cs="Arial" w:eastAsia="Arial" w:hAnsi="Arial"/>
          <w:sz w:val="14"/>
          <w:szCs w:val="14"/>
          <w:color w:val="auto"/>
        </w:rPr>
        <w:t>.</w:t>
      </w:r>
    </w:p>
    <w:p>
      <w:pPr>
        <w:spacing w:after="0" w:line="145" w:lineRule="exact"/>
        <w:rPr>
          <w:sz w:val="20"/>
          <w:szCs w:val="20"/>
          <w:color w:val="auto"/>
        </w:rPr>
      </w:pPr>
    </w:p>
    <w:p>
      <w:pPr>
        <w:ind w:left="700" w:right="20" w:firstLine="1181"/>
        <w:spacing w:after="0" w:line="373" w:lineRule="auto"/>
        <w:rPr>
          <w:sz w:val="20"/>
          <w:szCs w:val="20"/>
          <w:color w:val="auto"/>
        </w:rPr>
      </w:pPr>
      <w:r>
        <w:rPr>
          <w:rFonts w:ascii="Arial" w:cs="Arial" w:eastAsia="Arial" w:hAnsi="Arial"/>
          <w:sz w:val="10"/>
          <w:szCs w:val="10"/>
          <w:color w:val="auto"/>
        </w:rPr>
        <w:t xml:space="preserve">1.1. </w:t>
      </w:r>
      <w:r>
        <w:rPr>
          <w:rFonts w:ascii="Arial" w:cs="Arial" w:eastAsia="Arial" w:hAnsi="Arial"/>
          <w:sz w:val="10"/>
          <w:szCs w:val="10"/>
          <w:u w:val="single" w:color="auto"/>
          <w:color w:val="auto"/>
        </w:rPr>
        <w:t>Assignor</w:t>
      </w:r>
      <w:r>
        <w:rPr>
          <w:rFonts w:ascii="Arial" w:cs="Arial" w:eastAsia="Arial" w:hAnsi="Arial"/>
          <w:sz w:val="10"/>
          <w:szCs w:val="10"/>
          <w:color w:val="auto"/>
        </w:rPr>
        <w:t>. [The][Each] Assignor (a) represents and warrants that (i) it is the legal and beneficial owner of [the][[the relevant] Assigned Interest, (ii) [the][such]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Loan Parties or any other Person obligated in respect of any Loan Document or (iv) the performance or observance by the Loan Parties or any other Person of any of their respective obligations under any Loan Document.</w:t>
      </w:r>
    </w:p>
    <w:p>
      <w:pPr>
        <w:spacing w:after="0" w:line="79" w:lineRule="exact"/>
        <w:rPr>
          <w:sz w:val="20"/>
          <w:szCs w:val="20"/>
          <w:color w:val="auto"/>
        </w:rPr>
      </w:pPr>
    </w:p>
    <w:p>
      <w:pPr>
        <w:ind w:left="700" w:firstLine="1181"/>
        <w:spacing w:after="0" w:line="325" w:lineRule="auto"/>
        <w:rPr>
          <w:sz w:val="20"/>
          <w:szCs w:val="20"/>
          <w:color w:val="auto"/>
        </w:rPr>
      </w:pPr>
      <w:r>
        <w:rPr>
          <w:rFonts w:ascii="Arial" w:cs="Arial" w:eastAsia="Arial" w:hAnsi="Arial"/>
          <w:sz w:val="11"/>
          <w:szCs w:val="11"/>
          <w:color w:val="auto"/>
        </w:rPr>
        <w:t xml:space="preserve">1.2. </w:t>
      </w:r>
      <w:r>
        <w:rPr>
          <w:rFonts w:ascii="Arial" w:cs="Arial" w:eastAsia="Arial" w:hAnsi="Arial"/>
          <w:sz w:val="11"/>
          <w:szCs w:val="11"/>
          <w:u w:val="single" w:color="auto"/>
          <w:color w:val="auto"/>
        </w:rPr>
        <w:t>Assignee</w:t>
      </w:r>
      <w:r>
        <w:rPr>
          <w:rFonts w:ascii="Arial" w:cs="Arial" w:eastAsia="Arial" w:hAnsi="Arial"/>
          <w:sz w:val="11"/>
          <w:szCs w:val="11"/>
          <w:color w:val="auto"/>
        </w:rPr>
        <w:t xml:space="preserve">. [The][Each] Assignee (a) represents and warrants that (i) it has full power and authority, and has taken all action necessary, to execute and deliver this Assignment and Assumption and to consummate the transactions contemplated hereby and to become a [Revolving][FILO] Lender under the Credit Agreement, (ii) it meets all the requirements to be an Eligible Assignee under the Credit Agreement (subject to such consents, if any, as may be required under </w:t>
      </w:r>
      <w:r>
        <w:rPr>
          <w:rFonts w:ascii="Arial" w:cs="Arial" w:eastAsia="Arial" w:hAnsi="Arial"/>
          <w:sz w:val="11"/>
          <w:szCs w:val="11"/>
          <w:u w:val="single" w:color="auto"/>
          <w:color w:val="auto"/>
        </w:rPr>
        <w:t>Section 10.06(b)</w:t>
      </w:r>
      <w:r>
        <w:rPr>
          <w:rFonts w:ascii="Arial" w:cs="Arial" w:eastAsia="Arial" w:hAnsi="Arial"/>
          <w:sz w:val="11"/>
          <w:szCs w:val="11"/>
          <w:color w:val="auto"/>
        </w:rPr>
        <w:t xml:space="preserve"> of the Credit Agreement), (iii) from and after the Effective Date, it shall be bound by the provisions of the Credit Agreement as a [Revolving][FILO] Lender thereunder and, to the extent of [the][the relevant] Assigned Interest, shall have the obligations of a [Revolving][FILO] Lender thereunder, (iv) it is sophisticated with respect to decisions to acquire assets of the type represented by [the][such] Assigned Interest and either it, or the Person exercising discretion in making its decision to acquire [the][such] Assigned Interest, is experienced in acquiring assets of such type, (v) it has received a copy of the Credit Agreement, and has received or has been accorded the opportunity to receive copies of the most recent financial statements delivered pursuant to </w:t>
      </w:r>
      <w:r>
        <w:rPr>
          <w:rFonts w:ascii="Arial" w:cs="Arial" w:eastAsia="Arial" w:hAnsi="Arial"/>
          <w:sz w:val="11"/>
          <w:szCs w:val="11"/>
          <w:u w:val="single" w:color="auto"/>
          <w:color w:val="auto"/>
        </w:rPr>
        <w:t>Section 6.01</w:t>
      </w:r>
      <w:r>
        <w:rPr>
          <w:rFonts w:ascii="Arial" w:cs="Arial" w:eastAsia="Arial" w:hAnsi="Arial"/>
          <w:sz w:val="11"/>
          <w:szCs w:val="11"/>
          <w:color w:val="auto"/>
        </w:rPr>
        <w:t xml:space="preserve"> thereof, as applicable, and such other documents and information as it deems appropriate to make its own credit analysis and decision</w:t>
      </w:r>
    </w:p>
    <w:p>
      <w:pPr>
        <w:spacing w:after="0" w:line="244" w:lineRule="exact"/>
        <w:rPr>
          <w:sz w:val="20"/>
          <w:szCs w:val="20"/>
          <w:color w:val="auto"/>
        </w:rPr>
      </w:pPr>
    </w:p>
    <w:p>
      <w:pPr>
        <w:spacing w:after="0"/>
        <w:rPr>
          <w:sz w:val="20"/>
          <w:szCs w:val="20"/>
          <w:color w:val="auto"/>
        </w:rPr>
      </w:pPr>
      <w:r>
        <w:rPr>
          <w:rFonts w:ascii="Arial" w:cs="Arial" w:eastAsia="Arial" w:hAnsi="Arial"/>
          <w:sz w:val="10"/>
          <w:szCs w:val="10"/>
          <w:color w:val="auto"/>
        </w:rPr>
        <w:t>DB1/ 97584532.1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242570</wp:posOffset>
            </wp:positionV>
            <wp:extent cx="7329170" cy="368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740"/>
          </w:cols>
          <w:pgMar w:left="240" w:top="306" w:right="919" w:bottom="1440" w:gutter="0" w:footer="0" w:header="0"/>
        </w:sectPr>
      </w:pPr>
    </w:p>
    <w:bookmarkStart w:id="223" w:name="page224"/>
    <w:bookmarkEnd w:id="223"/>
    <w:p>
      <w:pPr>
        <w:jc w:val="both"/>
        <w:ind w:left="700"/>
        <w:spacing w:after="0" w:line="247" w:lineRule="auto"/>
        <w:rPr>
          <w:sz w:val="20"/>
          <w:szCs w:val="20"/>
          <w:color w:val="auto"/>
        </w:rPr>
      </w:pPr>
      <w:r>
        <w:rPr>
          <w:rFonts w:ascii="Arial" w:cs="Arial" w:eastAsia="Arial" w:hAnsi="Arial"/>
          <w:sz w:val="14"/>
          <w:szCs w:val="14"/>
          <w:color w:val="auto"/>
        </w:rPr>
        <w:t>to enter into this Assignment and Assumption and to purchase [the][such] Assigned Interest, (vi) it has, independently and without reliance upon the Agent, [the][any] Assignor or any other Lender and based on such documents and information as it has deemed appropriate, made its own credit analysis and decision to enter into this Assignment and Assumption and to purchase [the][such] Assigned Interest, and (vii) if it is a Foreign Lender, attached hereto is any documentation required to be delivered by it pursuant to the terms of the Credit Agreement, duly completed and executed by [the][such] Assignee; and (b) agrees that (i) it will, independently and without reliance upon the Agent, [the][any]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[Revolving][FILO] Lender.</w:t>
      </w:r>
    </w:p>
    <w:p>
      <w:pPr>
        <w:spacing w:after="0" w:line="137" w:lineRule="exact"/>
        <w:rPr>
          <w:sz w:val="20"/>
          <w:szCs w:val="20"/>
          <w:color w:val="auto"/>
        </w:rPr>
      </w:pPr>
    </w:p>
    <w:p>
      <w:pPr>
        <w:ind w:left="700" w:right="160" w:firstLine="1181"/>
        <w:spacing w:after="0" w:line="257" w:lineRule="auto"/>
        <w:rPr>
          <w:sz w:val="20"/>
          <w:szCs w:val="20"/>
          <w:color w:val="auto"/>
        </w:rPr>
      </w:pPr>
      <w:r>
        <w:rPr>
          <w:rFonts w:ascii="Arial" w:cs="Arial" w:eastAsia="Arial" w:hAnsi="Arial"/>
          <w:sz w:val="14"/>
          <w:szCs w:val="14"/>
          <w:color w:val="auto"/>
        </w:rPr>
        <w:t xml:space="preserve">2. </w:t>
      </w:r>
      <w:r>
        <w:rPr>
          <w:rFonts w:ascii="Arial" w:cs="Arial" w:eastAsia="Arial" w:hAnsi="Arial"/>
          <w:sz w:val="14"/>
          <w:szCs w:val="14"/>
          <w:u w:val="single" w:color="auto"/>
          <w:color w:val="auto"/>
        </w:rPr>
        <w:t>Payments</w:t>
      </w:r>
      <w:r>
        <w:rPr>
          <w:rFonts w:ascii="Arial" w:cs="Arial" w:eastAsia="Arial" w:hAnsi="Arial"/>
          <w:sz w:val="14"/>
          <w:szCs w:val="14"/>
          <w:color w:val="auto"/>
        </w:rPr>
        <w:t>. From and after the Effective Date, the Agent shall make all payments in respect of [the][each] Assigned Interest (including payments of principal, interest, fees and other amounts) to [the][the relevant] Assignor for amounts which have accrued up to but excluding the Effective Date and to [the][the relevant] Assignee for amounts which have accrued from and after the Effective Date.</w:t>
      </w:r>
    </w:p>
    <w:p>
      <w:pPr>
        <w:spacing w:after="0" w:line="131" w:lineRule="exact"/>
        <w:rPr>
          <w:sz w:val="20"/>
          <w:szCs w:val="20"/>
          <w:color w:val="auto"/>
        </w:rPr>
      </w:pPr>
    </w:p>
    <w:p>
      <w:pPr>
        <w:ind w:left="700" w:right="40" w:firstLine="1181"/>
        <w:spacing w:after="0" w:line="273" w:lineRule="auto"/>
        <w:rPr>
          <w:sz w:val="20"/>
          <w:szCs w:val="20"/>
          <w:color w:val="auto"/>
        </w:rPr>
      </w:pPr>
      <w:r>
        <w:rPr>
          <w:rFonts w:ascii="Arial" w:cs="Arial" w:eastAsia="Arial" w:hAnsi="Arial"/>
          <w:sz w:val="13"/>
          <w:szCs w:val="13"/>
          <w:color w:val="auto"/>
        </w:rPr>
        <w:t xml:space="preserve">3. </w:t>
      </w:r>
      <w:r>
        <w:rPr>
          <w:rFonts w:ascii="Arial" w:cs="Arial" w:eastAsia="Arial" w:hAnsi="Arial"/>
          <w:sz w:val="13"/>
          <w:szCs w:val="13"/>
          <w:u w:val="single" w:color="auto"/>
          <w:color w:val="auto"/>
        </w:rPr>
        <w:t>General Provisions</w:t>
      </w:r>
      <w:r>
        <w:rPr>
          <w:rFonts w:ascii="Arial" w:cs="Arial" w:eastAsia="Arial" w:hAnsi="Arial"/>
          <w:sz w:val="13"/>
          <w:szCs w:val="13"/>
          <w:color w:val="auto"/>
        </w:rPr>
        <w:t>. This Assignment and Assumption shall be binding upon, and inure to the benefit of, the parties hereto and their respective successors and assigns. This Assignment and Assumption may be executed in counterparts (and by different parties hereto in different counterparts), each of which shall constitute an original, but all of which when taken together shall constitute a single contract. Delivery of an executed counterpart of a signature page of this Assignment and Assumption by telecopy, pdf or other electronic transmission shall be as effective as delivery of a manually executed counterpart of this Assignment and Assumption. This Assignment and Assumption shall be governed by, and construed in accordance with, the law of the State of New York.</w:t>
      </w:r>
    </w:p>
    <w:p>
      <w:pPr>
        <w:spacing w:after="0" w:line="111"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780" w:type="dxa"/>
            <w:vAlign w:val="bottom"/>
          </w:tcPr>
          <w:p>
            <w:pPr>
              <w:jc w:val="right"/>
              <w:ind w:right="1434"/>
              <w:spacing w:after="0"/>
              <w:rPr>
                <w:sz w:val="20"/>
                <w:szCs w:val="20"/>
                <w:color w:val="auto"/>
              </w:rPr>
            </w:pPr>
            <w:r>
              <w:rPr>
                <w:rFonts w:ascii="Arial" w:cs="Arial" w:eastAsia="Arial" w:hAnsi="Arial"/>
                <w:sz w:val="14"/>
                <w:szCs w:val="14"/>
                <w:color w:val="auto"/>
              </w:rPr>
              <w:t>4.</w:t>
            </w:r>
          </w:p>
        </w:tc>
        <w:tc>
          <w:tcPr>
            <w:tcW w:w="6860" w:type="dxa"/>
            <w:vAlign w:val="bottom"/>
            <w:gridSpan w:val="5"/>
          </w:tcPr>
          <w:p>
            <w:pPr>
              <w:spacing w:after="0"/>
              <w:rPr>
                <w:sz w:val="20"/>
                <w:szCs w:val="20"/>
                <w:color w:val="auto"/>
              </w:rPr>
            </w:pPr>
            <w:r>
              <w:rPr>
                <w:rFonts w:ascii="Arial" w:cs="Arial" w:eastAsia="Arial" w:hAnsi="Arial"/>
                <w:sz w:val="14"/>
                <w:szCs w:val="14"/>
                <w:color w:val="auto"/>
                <w:w w:val="91"/>
              </w:rPr>
              <w:t>Fees. Unless waived by the Agent in accordance with Section 10.06(b)(iv)  of the Credit Agreement, this Assignment and</w:t>
            </w:r>
          </w:p>
        </w:tc>
      </w:tr>
      <w:tr>
        <w:trPr>
          <w:trHeight w:val="20"/>
        </w:trPr>
        <w:tc>
          <w:tcPr>
            <w:tcW w:w="2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75"/>
        </w:trPr>
        <w:tc>
          <w:tcPr>
            <w:tcW w:w="9640" w:type="dxa"/>
            <w:vAlign w:val="bottom"/>
            <w:gridSpan w:val="6"/>
          </w:tcPr>
          <w:p>
            <w:pPr>
              <w:spacing w:after="0"/>
              <w:rPr>
                <w:sz w:val="20"/>
                <w:szCs w:val="20"/>
                <w:color w:val="auto"/>
              </w:rPr>
            </w:pPr>
            <w:r>
              <w:rPr>
                <w:rFonts w:ascii="Arial" w:cs="Arial" w:eastAsia="Arial" w:hAnsi="Arial"/>
                <w:sz w:val="14"/>
                <w:szCs w:val="14"/>
                <w:color w:val="auto"/>
              </w:rPr>
              <w:t>Assumption shall be delivered to the Agent with a processing and recordation fee of $3,500.</w:t>
            </w:r>
          </w:p>
        </w:tc>
      </w:tr>
      <w:tr>
        <w:trPr>
          <w:trHeight w:val="291"/>
        </w:trPr>
        <w:tc>
          <w:tcPr>
            <w:tcW w:w="2780" w:type="dxa"/>
            <w:vAlign w:val="bottom"/>
          </w:tcPr>
          <w:p>
            <w:pPr>
              <w:jc w:val="right"/>
              <w:ind w:right="1434"/>
              <w:spacing w:after="0"/>
              <w:rPr>
                <w:sz w:val="20"/>
                <w:szCs w:val="20"/>
                <w:color w:val="auto"/>
              </w:rPr>
            </w:pPr>
            <w:r>
              <w:rPr>
                <w:rFonts w:ascii="Arial" w:cs="Arial" w:eastAsia="Arial" w:hAnsi="Arial"/>
                <w:sz w:val="14"/>
                <w:szCs w:val="14"/>
                <w:color w:val="auto"/>
              </w:rPr>
              <w:t>5.</w:t>
            </w:r>
          </w:p>
        </w:tc>
        <w:tc>
          <w:tcPr>
            <w:tcW w:w="6860" w:type="dxa"/>
            <w:vAlign w:val="bottom"/>
            <w:gridSpan w:val="5"/>
          </w:tcPr>
          <w:p>
            <w:pPr>
              <w:spacing w:after="0"/>
              <w:rPr>
                <w:sz w:val="20"/>
                <w:szCs w:val="20"/>
                <w:color w:val="auto"/>
              </w:rPr>
            </w:pPr>
            <w:r>
              <w:rPr>
                <w:rFonts w:ascii="Arial" w:cs="Arial" w:eastAsia="Arial" w:hAnsi="Arial"/>
                <w:sz w:val="14"/>
                <w:szCs w:val="14"/>
                <w:color w:val="auto"/>
                <w:w w:val="97"/>
              </w:rPr>
              <w:t>Delivery. If the Assignee is not a Lender, the Assignee shall deliver to the Agent an Administrative Questionnaire.</w:t>
            </w:r>
          </w:p>
        </w:tc>
      </w:tr>
      <w:tr>
        <w:trPr>
          <w:trHeight w:val="774"/>
        </w:trPr>
        <w:tc>
          <w:tcPr>
            <w:tcW w:w="2780" w:type="dxa"/>
            <w:vAlign w:val="bottom"/>
          </w:tcPr>
          <w:p>
            <w:pPr>
              <w:spacing w:after="0"/>
              <w:rPr>
                <w:sz w:val="20"/>
                <w:szCs w:val="20"/>
                <w:color w:val="auto"/>
              </w:rPr>
            </w:pPr>
            <w:r>
              <w:rPr>
                <w:rFonts w:ascii="Arial" w:cs="Arial" w:eastAsia="Arial" w:hAnsi="Arial"/>
                <w:sz w:val="10"/>
                <w:szCs w:val="10"/>
                <w:color w:val="auto"/>
              </w:rPr>
              <w:t>2069239.2</w:t>
            </w:r>
          </w:p>
        </w:tc>
        <w:tc>
          <w:tcPr>
            <w:tcW w:w="2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80" w:type="dxa"/>
            <w:vAlign w:val="bottom"/>
          </w:tcPr>
          <w:p>
            <w:pPr>
              <w:spacing w:after="0"/>
              <w:rPr>
                <w:sz w:val="24"/>
                <w:szCs w:val="24"/>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0"/>
          <w:szCs w:val="10"/>
          <w:color w:val="auto"/>
        </w:rPr>
        <w:t>DB1/ 97584532.1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242570</wp:posOffset>
            </wp:positionV>
            <wp:extent cx="7329170" cy="368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740"/>
          </w:cols>
          <w:pgMar w:left="240" w:top="305" w:right="919" w:bottom="1440" w:gutter="0" w:footer="0" w:header="0"/>
        </w:sectPr>
      </w:pPr>
    </w:p>
    <w:bookmarkStart w:id="224" w:name="page225"/>
    <w:bookmarkEnd w:id="224"/>
    <w:p>
      <w:pPr>
        <w:jc w:val="center"/>
        <w:ind w:left="500"/>
        <w:spacing w:after="0"/>
        <w:rPr>
          <w:sz w:val="20"/>
          <w:szCs w:val="20"/>
          <w:color w:val="auto"/>
        </w:rPr>
      </w:pPr>
      <w:r>
        <w:rPr>
          <w:rFonts w:ascii="Arial" w:cs="Arial" w:eastAsia="Arial" w:hAnsi="Arial"/>
          <w:sz w:val="11"/>
          <w:szCs w:val="11"/>
          <w:b w:val="1"/>
          <w:bCs w:val="1"/>
          <w:color w:val="auto"/>
        </w:rPr>
        <w:t>EXHIBIT F</w:t>
      </w:r>
    </w:p>
    <w:p>
      <w:pPr>
        <w:spacing w:after="0" w:line="18" w:lineRule="exact"/>
        <w:rPr>
          <w:sz w:val="20"/>
          <w:szCs w:val="20"/>
          <w:color w:val="auto"/>
        </w:rPr>
      </w:pPr>
    </w:p>
    <w:p>
      <w:pPr>
        <w:jc w:val="center"/>
        <w:ind w:left="500"/>
        <w:spacing w:after="0"/>
        <w:rPr>
          <w:sz w:val="20"/>
          <w:szCs w:val="20"/>
          <w:color w:val="auto"/>
        </w:rPr>
      </w:pPr>
      <w:r>
        <w:rPr>
          <w:sz w:val="1"/>
          <w:szCs w:val="1"/>
          <w:color w:val="auto"/>
        </w:rPr>
        <w:drawing>
          <wp:inline distT="0" distB="0" distL="0" distR="0">
            <wp:extent cx="452120" cy="182880"/>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52120" cy="182880"/>
                    </a:xfrm>
                    <a:prstGeom prst="rect">
                      <a:avLst/>
                    </a:prstGeom>
                    <a:noFill/>
                    <a:ln>
                      <a:noFill/>
                    </a:ln>
                  </pic:spPr>
                </pic:pic>
              </a:graphicData>
            </a:graphic>
          </wp:inline>
        </w:drawing>
      </w:r>
      <w:r>
        <w:rPr>
          <w:rFonts w:ascii="Arial" w:cs="Arial" w:eastAsia="Arial" w:hAnsi="Arial"/>
          <w:sz w:val="9"/>
          <w:szCs w:val="9"/>
          <w:color w:val="auto"/>
        </w:rPr>
        <w:t>Form of Borrowing Base Certificate</w:t>
      </w:r>
    </w:p>
    <w:p>
      <w:pPr>
        <w:sectPr>
          <w:pgSz w:w="11900" w:h="16838" w:orient="portrait"/>
          <w:cols w:equalWidth="0" w:num="1">
            <w:col w:w="11440"/>
          </w:cols>
          <w:pgMar w:left="220" w:top="310" w:right="239" w:bottom="1440" w:gutter="0" w:footer="0" w:header="0"/>
        </w:sectPr>
      </w:pPr>
    </w:p>
    <w:p>
      <w:pPr>
        <w:spacing w:after="0" w:line="313" w:lineRule="exact"/>
        <w:rPr>
          <w:sz w:val="20"/>
          <w:szCs w:val="20"/>
          <w:color w:val="auto"/>
        </w:rPr>
      </w:pPr>
    </w:p>
    <w:p>
      <w:pPr>
        <w:ind w:left="780"/>
        <w:spacing w:after="0"/>
        <w:tabs>
          <w:tab w:leader="none" w:pos="1840" w:val="left"/>
        </w:tabs>
        <w:rPr>
          <w:sz w:val="20"/>
          <w:szCs w:val="20"/>
          <w:color w:val="auto"/>
        </w:rPr>
      </w:pPr>
      <w:r>
        <w:rPr>
          <w:rFonts w:ascii="Arial" w:cs="Arial" w:eastAsia="Arial" w:hAnsi="Arial"/>
          <w:sz w:val="6"/>
          <w:szCs w:val="6"/>
          <w:color w:val="auto"/>
        </w:rPr>
        <w:t>Email to:</w:t>
      </w:r>
      <w:r>
        <w:rPr>
          <w:sz w:val="20"/>
          <w:szCs w:val="20"/>
          <w:color w:val="auto"/>
        </w:rPr>
        <w:tab/>
      </w:r>
      <w:r>
        <w:rPr>
          <w:rFonts w:ascii="Arial" w:cs="Arial" w:eastAsia="Arial" w:hAnsi="Arial"/>
          <w:sz w:val="5"/>
          <w:szCs w:val="5"/>
          <w:color w:val="auto"/>
        </w:rPr>
        <w:t>Kerry Hu</w:t>
      </w:r>
    </w:p>
    <w:p>
      <w:pPr>
        <w:ind w:left="1520"/>
        <w:spacing w:after="0"/>
        <w:rPr>
          <w:sz w:val="20"/>
          <w:szCs w:val="20"/>
          <w:color w:val="auto"/>
        </w:rPr>
      </w:pPr>
      <w:r>
        <w:rPr>
          <w:rFonts w:ascii="Arial" w:cs="Arial" w:eastAsia="Arial" w:hAnsi="Arial"/>
          <w:sz w:val="5"/>
          <w:szCs w:val="5"/>
          <w:u w:val="single" w:color="auto"/>
          <w:color w:val="0000FF"/>
        </w:rPr>
        <w:t>[ ]</w:t>
      </w:r>
    </w:p>
    <w:p>
      <w:pPr>
        <w:spacing w:after="0" w:line="63" w:lineRule="exact"/>
        <w:rPr>
          <w:sz w:val="20"/>
          <w:szCs w:val="20"/>
          <w:color w:val="auto"/>
        </w:rPr>
      </w:pPr>
    </w:p>
    <w:p>
      <w:pPr>
        <w:ind w:left="780"/>
        <w:spacing w:after="0"/>
        <w:rPr>
          <w:sz w:val="20"/>
          <w:szCs w:val="20"/>
          <w:color w:val="auto"/>
        </w:rPr>
      </w:pPr>
      <w:r>
        <w:rPr>
          <w:rFonts w:ascii="Arial" w:cs="Arial" w:eastAsia="Arial" w:hAnsi="Arial"/>
          <w:sz w:val="6"/>
          <w:szCs w:val="6"/>
          <w:color w:val="auto"/>
        </w:rPr>
        <w:t>Beginning Inventory as of:</w:t>
      </w:r>
    </w:p>
    <w:p>
      <w:pPr>
        <w:spacing w:after="0" w:line="200" w:lineRule="exact"/>
        <w:rPr>
          <w:sz w:val="20"/>
          <w:szCs w:val="20"/>
          <w:color w:val="auto"/>
        </w:rPr>
      </w:pPr>
    </w:p>
    <w:p>
      <w:pPr>
        <w:spacing w:after="0" w:line="289" w:lineRule="exact"/>
        <w:rPr>
          <w:sz w:val="20"/>
          <w:szCs w:val="20"/>
          <w:color w:val="auto"/>
        </w:rPr>
      </w:pPr>
    </w:p>
    <w:p>
      <w:pPr>
        <w:ind w:left="780"/>
        <w:spacing w:after="0"/>
        <w:rPr>
          <w:sz w:val="20"/>
          <w:szCs w:val="20"/>
          <w:color w:val="auto"/>
        </w:rPr>
      </w:pPr>
      <w:r>
        <w:rPr>
          <w:rFonts w:ascii="Arial" w:cs="Arial" w:eastAsia="Arial" w:hAnsi="Arial"/>
          <w:sz w:val="6"/>
          <w:szCs w:val="6"/>
          <w:color w:val="auto"/>
        </w:rPr>
        <w:t>Ending Inventory as of:</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6"/>
          <w:szCs w:val="6"/>
          <w:color w:val="auto"/>
        </w:rPr>
        <w:t>Eligible Inventory</w:t>
      </w:r>
    </w:p>
    <w:p>
      <w:pPr>
        <w:spacing w:after="0" w:line="132" w:lineRule="exact"/>
        <w:rPr>
          <w:sz w:val="20"/>
          <w:szCs w:val="20"/>
          <w:color w:val="auto"/>
        </w:rPr>
      </w:pPr>
    </w:p>
    <w:p>
      <w:pPr>
        <w:ind w:left="1040"/>
        <w:spacing w:after="0"/>
        <w:rPr>
          <w:sz w:val="20"/>
          <w:szCs w:val="20"/>
          <w:color w:val="auto"/>
        </w:rPr>
      </w:pPr>
      <w:r>
        <w:rPr>
          <w:rFonts w:ascii="Arial" w:cs="Arial" w:eastAsia="Arial" w:hAnsi="Arial"/>
          <w:sz w:val="6"/>
          <w:szCs w:val="6"/>
          <w:color w:val="auto"/>
        </w:rPr>
        <w:t>NOLV</w:t>
      </w:r>
    </w:p>
    <w:p>
      <w:pPr>
        <w:ind w:left="1040"/>
        <w:spacing w:after="0"/>
        <w:rPr>
          <w:sz w:val="20"/>
          <w:szCs w:val="20"/>
          <w:color w:val="auto"/>
        </w:rPr>
      </w:pPr>
      <w:r>
        <w:rPr>
          <w:rFonts w:ascii="Arial" w:cs="Arial" w:eastAsia="Arial" w:hAnsi="Arial"/>
          <w:sz w:val="6"/>
          <w:szCs w:val="6"/>
          <w:color w:val="auto"/>
        </w:rPr>
        <w:t>Advance Rate</w:t>
      </w:r>
    </w:p>
    <w:p>
      <w:pPr>
        <w:spacing w:after="0" w:line="105" w:lineRule="exact"/>
        <w:rPr>
          <w:sz w:val="20"/>
          <w:szCs w:val="20"/>
          <w:color w:val="auto"/>
        </w:rPr>
      </w:pPr>
    </w:p>
    <w:p>
      <w:pPr>
        <w:ind w:left="780"/>
        <w:spacing w:after="0"/>
        <w:rPr>
          <w:sz w:val="20"/>
          <w:szCs w:val="20"/>
          <w:color w:val="auto"/>
        </w:rPr>
      </w:pPr>
      <w:r>
        <w:rPr>
          <w:rFonts w:ascii="Arial" w:cs="Arial" w:eastAsia="Arial" w:hAnsi="Arial"/>
          <w:sz w:val="6"/>
          <w:szCs w:val="6"/>
          <w:b w:val="1"/>
          <w:bCs w:val="1"/>
          <w:color w:val="auto"/>
        </w:rPr>
        <w:t>Total Inventory Availability</w:t>
      </w:r>
    </w:p>
    <w:p>
      <w:pPr>
        <w:spacing w:after="0" w:line="45" w:lineRule="exact"/>
        <w:rPr>
          <w:sz w:val="20"/>
          <w:szCs w:val="20"/>
          <w:color w:val="auto"/>
        </w:rPr>
      </w:pPr>
    </w:p>
    <w:p>
      <w:pPr>
        <w:ind w:left="780"/>
        <w:spacing w:after="0"/>
        <w:rPr>
          <w:sz w:val="20"/>
          <w:szCs w:val="20"/>
          <w:color w:val="auto"/>
        </w:rPr>
      </w:pPr>
      <w:r>
        <w:rPr>
          <w:rFonts w:ascii="Arial" w:cs="Arial" w:eastAsia="Arial" w:hAnsi="Arial"/>
          <w:sz w:val="6"/>
          <w:szCs w:val="6"/>
          <w:color w:val="auto"/>
        </w:rPr>
        <w:t>Eligible LC Inventory</w:t>
      </w:r>
    </w:p>
    <w:p>
      <w:pPr>
        <w:spacing w:after="0" w:line="69" w:lineRule="exact"/>
        <w:rPr>
          <w:sz w:val="20"/>
          <w:szCs w:val="20"/>
          <w:color w:val="auto"/>
        </w:rPr>
      </w:pPr>
    </w:p>
    <w:p>
      <w:pPr>
        <w:ind w:left="1040"/>
        <w:spacing w:after="0"/>
        <w:rPr>
          <w:sz w:val="20"/>
          <w:szCs w:val="20"/>
          <w:color w:val="auto"/>
        </w:rPr>
      </w:pPr>
      <w:r>
        <w:rPr>
          <w:rFonts w:ascii="Arial" w:cs="Arial" w:eastAsia="Arial" w:hAnsi="Arial"/>
          <w:sz w:val="6"/>
          <w:szCs w:val="6"/>
          <w:color w:val="auto"/>
        </w:rPr>
        <w:t>NOLV</w:t>
      </w:r>
    </w:p>
    <w:p>
      <w:pPr>
        <w:ind w:left="1040"/>
        <w:spacing w:after="0" w:line="219" w:lineRule="auto"/>
        <w:rPr>
          <w:sz w:val="20"/>
          <w:szCs w:val="20"/>
          <w:color w:val="auto"/>
        </w:rPr>
      </w:pPr>
      <w:r>
        <w:rPr>
          <w:rFonts w:ascii="Arial" w:cs="Arial" w:eastAsia="Arial" w:hAnsi="Arial"/>
          <w:sz w:val="6"/>
          <w:szCs w:val="6"/>
          <w:color w:val="auto"/>
        </w:rPr>
        <w:t>Advance Rate</w:t>
      </w:r>
    </w:p>
    <w:p>
      <w:pPr>
        <w:ind w:left="780"/>
        <w:spacing w:after="0"/>
        <w:rPr>
          <w:sz w:val="20"/>
          <w:szCs w:val="20"/>
          <w:color w:val="auto"/>
        </w:rPr>
      </w:pPr>
      <w:r>
        <w:rPr>
          <w:rFonts w:ascii="Arial" w:cs="Arial" w:eastAsia="Arial" w:hAnsi="Arial"/>
          <w:sz w:val="6"/>
          <w:szCs w:val="6"/>
          <w:b w:val="1"/>
          <w:bCs w:val="1"/>
          <w:color w:val="auto"/>
        </w:rPr>
        <w:t>Total LC Inventory Availability</w:t>
      </w:r>
    </w:p>
    <w:p>
      <w:pPr>
        <w:spacing w:after="0" w:line="21" w:lineRule="exact"/>
        <w:rPr>
          <w:sz w:val="20"/>
          <w:szCs w:val="20"/>
          <w:color w:val="auto"/>
        </w:rPr>
      </w:pPr>
    </w:p>
    <w:p>
      <w:pPr>
        <w:ind w:left="780"/>
        <w:spacing w:after="0"/>
        <w:rPr>
          <w:sz w:val="20"/>
          <w:szCs w:val="20"/>
          <w:color w:val="auto"/>
        </w:rPr>
      </w:pPr>
      <w:r>
        <w:rPr>
          <w:rFonts w:ascii="Arial" w:cs="Arial" w:eastAsia="Arial" w:hAnsi="Arial"/>
          <w:sz w:val="6"/>
          <w:szCs w:val="6"/>
          <w:color w:val="auto"/>
        </w:rPr>
        <w:t>Eligible In-Transit Inventory</w:t>
      </w:r>
    </w:p>
    <w:p>
      <w:pPr>
        <w:spacing w:after="0" w:line="186" w:lineRule="exact"/>
        <w:rPr>
          <w:sz w:val="20"/>
          <w:szCs w:val="20"/>
          <w:color w:val="auto"/>
        </w:rPr>
      </w:pPr>
    </w:p>
    <w:p>
      <w:pPr>
        <w:ind w:left="1040"/>
        <w:spacing w:after="0"/>
        <w:rPr>
          <w:sz w:val="20"/>
          <w:szCs w:val="20"/>
          <w:color w:val="auto"/>
        </w:rPr>
      </w:pPr>
      <w:r>
        <w:rPr>
          <w:rFonts w:ascii="Arial" w:cs="Arial" w:eastAsia="Arial" w:hAnsi="Arial"/>
          <w:sz w:val="6"/>
          <w:szCs w:val="6"/>
          <w:color w:val="auto"/>
        </w:rPr>
        <w:t>NOLV</w:t>
      </w:r>
    </w:p>
    <w:p>
      <w:pPr>
        <w:ind w:left="1040"/>
        <w:spacing w:after="0" w:line="219" w:lineRule="auto"/>
        <w:rPr>
          <w:sz w:val="20"/>
          <w:szCs w:val="20"/>
          <w:color w:val="auto"/>
        </w:rPr>
      </w:pPr>
      <w:r>
        <w:rPr>
          <w:rFonts w:ascii="Arial" w:cs="Arial" w:eastAsia="Arial" w:hAnsi="Arial"/>
          <w:sz w:val="6"/>
          <w:szCs w:val="6"/>
          <w:color w:val="auto"/>
        </w:rPr>
        <w:t>Advance Rate</w:t>
      </w:r>
    </w:p>
    <w:p>
      <w:pPr>
        <w:ind w:left="780"/>
        <w:spacing w:after="0"/>
        <w:rPr>
          <w:sz w:val="20"/>
          <w:szCs w:val="20"/>
          <w:color w:val="auto"/>
        </w:rPr>
      </w:pPr>
      <w:r>
        <w:rPr>
          <w:rFonts w:ascii="Arial" w:cs="Arial" w:eastAsia="Arial" w:hAnsi="Arial"/>
          <w:sz w:val="6"/>
          <w:szCs w:val="6"/>
          <w:b w:val="1"/>
          <w:bCs w:val="1"/>
          <w:color w:val="auto"/>
        </w:rPr>
        <w:t>Total In-Transit Inventory Availability</w:t>
      </w:r>
    </w:p>
    <w:p>
      <w:pPr>
        <w:spacing w:after="0" w:line="39" w:lineRule="exact"/>
        <w:rPr>
          <w:sz w:val="20"/>
          <w:szCs w:val="20"/>
          <w:color w:val="auto"/>
        </w:rPr>
      </w:pPr>
    </w:p>
    <w:p>
      <w:pPr>
        <w:jc w:val="center"/>
        <w:ind w:left="40"/>
        <w:spacing w:after="0"/>
        <w:rPr>
          <w:sz w:val="20"/>
          <w:szCs w:val="20"/>
          <w:color w:val="auto"/>
        </w:rPr>
      </w:pPr>
      <w:r>
        <w:rPr>
          <w:rFonts w:ascii="Arial" w:cs="Arial" w:eastAsia="Arial" w:hAnsi="Arial"/>
          <w:sz w:val="6"/>
          <w:szCs w:val="6"/>
          <w:color w:val="auto"/>
        </w:rPr>
        <w:t>Eligible Credit Card Receivables as of:</w:t>
      </w:r>
    </w:p>
    <w:p>
      <w:pPr>
        <w:spacing w:after="0" w:line="39" w:lineRule="exact"/>
        <w:rPr>
          <w:sz w:val="20"/>
          <w:szCs w:val="20"/>
          <w:color w:val="auto"/>
        </w:rPr>
      </w:pPr>
    </w:p>
    <w:p>
      <w:pPr>
        <w:ind w:left="1040"/>
        <w:spacing w:after="0"/>
        <w:rPr>
          <w:sz w:val="20"/>
          <w:szCs w:val="20"/>
          <w:color w:val="auto"/>
        </w:rPr>
      </w:pPr>
      <w:r>
        <w:rPr>
          <w:rFonts w:ascii="Arial" w:cs="Arial" w:eastAsia="Arial" w:hAnsi="Arial"/>
          <w:sz w:val="6"/>
          <w:szCs w:val="6"/>
          <w:color w:val="auto"/>
        </w:rPr>
        <w:t>Advance Rate</w:t>
      </w:r>
    </w:p>
    <w:p>
      <w:pPr>
        <w:spacing w:after="0" w:line="105" w:lineRule="exact"/>
        <w:rPr>
          <w:sz w:val="20"/>
          <w:szCs w:val="20"/>
          <w:color w:val="auto"/>
        </w:rPr>
      </w:pPr>
    </w:p>
    <w:p>
      <w:pPr>
        <w:ind w:left="780"/>
        <w:spacing w:after="0" w:line="251" w:lineRule="auto"/>
        <w:rPr>
          <w:sz w:val="20"/>
          <w:szCs w:val="20"/>
          <w:color w:val="auto"/>
        </w:rPr>
      </w:pPr>
      <w:r>
        <w:rPr>
          <w:rFonts w:ascii="Arial" w:cs="Arial" w:eastAsia="Arial" w:hAnsi="Arial"/>
          <w:sz w:val="6"/>
          <w:szCs w:val="6"/>
          <w:b w:val="1"/>
          <w:bCs w:val="1"/>
          <w:color w:val="auto"/>
        </w:rPr>
        <w:t>Credit Card Receivables Availability Total Collateral Revolver Availability</w:t>
      </w:r>
    </w:p>
    <w:p>
      <w:pPr>
        <w:spacing w:after="0" w:line="78" w:lineRule="exact"/>
        <w:rPr>
          <w:sz w:val="20"/>
          <w:szCs w:val="20"/>
          <w:color w:val="auto"/>
        </w:rPr>
      </w:pPr>
    </w:p>
    <w:p>
      <w:pPr>
        <w:ind w:left="140"/>
        <w:spacing w:after="0"/>
        <w:rPr>
          <w:sz w:val="20"/>
          <w:szCs w:val="20"/>
          <w:color w:val="auto"/>
        </w:rPr>
      </w:pPr>
      <w:r>
        <w:rPr>
          <w:rFonts w:ascii="Arial" w:cs="Arial" w:eastAsia="Arial" w:hAnsi="Arial"/>
          <w:sz w:val="6"/>
          <w:szCs w:val="6"/>
          <w:color w:val="auto"/>
        </w:rPr>
        <w:t>Availability Reserves:</w:t>
      </w:r>
    </w:p>
    <w:p>
      <w:pPr>
        <w:spacing w:after="0" w:line="393" w:lineRule="exact"/>
        <w:rPr>
          <w:sz w:val="20"/>
          <w:szCs w:val="20"/>
          <w:color w:val="auto"/>
        </w:rPr>
      </w:pPr>
    </w:p>
    <w:p>
      <w:pPr>
        <w:ind w:left="140"/>
        <w:spacing w:after="0"/>
        <w:rPr>
          <w:sz w:val="20"/>
          <w:szCs w:val="20"/>
          <w:color w:val="auto"/>
        </w:rPr>
      </w:pPr>
      <w:r>
        <w:rPr>
          <w:rFonts w:ascii="Arial" w:cs="Arial" w:eastAsia="Arial" w:hAnsi="Arial"/>
          <w:sz w:val="6"/>
          <w:szCs w:val="6"/>
          <w:b w:val="1"/>
          <w:bCs w:val="1"/>
          <w:color w:val="auto"/>
        </w:rPr>
        <w:t>Total Availability Reserves</w:t>
      </w:r>
    </w:p>
    <w:p>
      <w:pPr>
        <w:spacing w:after="0" w:line="30" w:lineRule="exact"/>
        <w:rPr>
          <w:sz w:val="20"/>
          <w:szCs w:val="20"/>
          <w:color w:val="auto"/>
        </w:rPr>
      </w:pPr>
    </w:p>
    <w:p>
      <w:pPr>
        <w:ind w:left="760"/>
        <w:spacing w:after="0"/>
        <w:rPr>
          <w:sz w:val="20"/>
          <w:szCs w:val="20"/>
          <w:color w:val="auto"/>
        </w:rPr>
      </w:pPr>
      <w:r>
        <w:rPr>
          <w:rFonts w:ascii="Arial" w:cs="Arial" w:eastAsia="Arial" w:hAnsi="Arial"/>
          <w:sz w:val="6"/>
          <w:szCs w:val="6"/>
          <w:u w:val="single" w:color="auto"/>
          <w:color w:val="auto"/>
        </w:rPr>
        <w:t>Revolver Availability (uncapped)</w:t>
      </w:r>
    </w:p>
    <w:p>
      <w:pPr>
        <w:ind w:left="20"/>
        <w:spacing w:after="0"/>
        <w:rPr>
          <w:sz w:val="20"/>
          <w:szCs w:val="20"/>
          <w:color w:val="auto"/>
        </w:rPr>
      </w:pPr>
      <w:r>
        <w:rPr>
          <w:rFonts w:ascii="Arial" w:cs="Arial" w:eastAsia="Arial" w:hAnsi="Arial"/>
          <w:sz w:val="6"/>
          <w:szCs w:val="6"/>
          <w:b w:val="1"/>
          <w:bCs w:val="1"/>
          <w:color w:val="auto"/>
        </w:rPr>
        <w:t>Maximum Revolver Availability ($125MM)</w:t>
      </w:r>
    </w:p>
    <w:p>
      <w:pPr>
        <w:spacing w:after="0" w:line="200" w:lineRule="exact"/>
        <w:rPr>
          <w:sz w:val="20"/>
          <w:szCs w:val="20"/>
          <w:color w:val="auto"/>
        </w:rPr>
      </w:pPr>
    </w:p>
    <w:p>
      <w:pPr>
        <w:spacing w:after="0" w:line="238" w:lineRule="exact"/>
        <w:rPr>
          <w:sz w:val="20"/>
          <w:szCs w:val="20"/>
          <w:color w:val="auto"/>
        </w:rPr>
      </w:pPr>
    </w:p>
    <w:p>
      <w:pPr>
        <w:ind w:left="780"/>
        <w:spacing w:after="0"/>
        <w:rPr>
          <w:sz w:val="20"/>
          <w:szCs w:val="20"/>
          <w:color w:val="auto"/>
        </w:rPr>
      </w:pPr>
      <w:r>
        <w:rPr>
          <w:rFonts w:ascii="Arial" w:cs="Arial" w:eastAsia="Arial" w:hAnsi="Arial"/>
          <w:sz w:val="6"/>
          <w:szCs w:val="6"/>
          <w:b w:val="1"/>
          <w:bCs w:val="1"/>
          <w:u w:val="single" w:color="auto"/>
          <w:color w:val="auto"/>
        </w:rPr>
        <w:t>AVAILABILITY CALCULATION</w:t>
      </w:r>
    </w:p>
    <w:p>
      <w:pPr>
        <w:spacing w:after="0" w:line="126" w:lineRule="exact"/>
        <w:rPr>
          <w:sz w:val="20"/>
          <w:szCs w:val="20"/>
          <w:color w:val="auto"/>
        </w:rPr>
      </w:pPr>
    </w:p>
    <w:p>
      <w:pPr>
        <w:ind w:left="160"/>
        <w:spacing w:after="0"/>
        <w:rPr>
          <w:sz w:val="20"/>
          <w:szCs w:val="20"/>
          <w:color w:val="auto"/>
        </w:rPr>
      </w:pPr>
      <w:r>
        <w:rPr>
          <w:rFonts w:ascii="Arial" w:cs="Arial" w:eastAsia="Arial" w:hAnsi="Arial"/>
          <w:sz w:val="6"/>
          <w:szCs w:val="6"/>
          <w:color w:val="auto"/>
        </w:rPr>
        <w:t>Beginning Principal Balance (revolver)</w:t>
      </w:r>
    </w:p>
    <w:p>
      <w:pPr>
        <w:spacing w:after="0" w:line="237" w:lineRule="exact"/>
        <w:rPr>
          <w:sz w:val="20"/>
          <w:szCs w:val="20"/>
          <w:color w:val="auto"/>
        </w:rPr>
      </w:pPr>
    </w:p>
    <w:p>
      <w:pPr>
        <w:ind w:left="160"/>
        <w:spacing w:after="0"/>
        <w:rPr>
          <w:sz w:val="20"/>
          <w:szCs w:val="20"/>
          <w:color w:val="auto"/>
        </w:rPr>
      </w:pPr>
      <w:r>
        <w:rPr>
          <w:rFonts w:ascii="Arial" w:cs="Arial" w:eastAsia="Arial" w:hAnsi="Arial"/>
          <w:sz w:val="6"/>
          <w:szCs w:val="6"/>
          <w:color w:val="auto"/>
        </w:rPr>
        <w:t>Ending principal balance (revolver)</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jc w:val="center"/>
        <w:ind w:right="2340"/>
        <w:spacing w:after="0"/>
        <w:rPr>
          <w:sz w:val="20"/>
          <w:szCs w:val="20"/>
          <w:color w:val="auto"/>
        </w:rPr>
      </w:pPr>
      <w:r>
        <w:rPr>
          <w:rFonts w:ascii="Arial" w:cs="Arial" w:eastAsia="Arial" w:hAnsi="Arial"/>
          <w:sz w:val="7"/>
          <w:szCs w:val="7"/>
          <w:b w:val="1"/>
          <w:bCs w:val="1"/>
          <w:color w:val="auto"/>
        </w:rPr>
        <w:t>Destination XL Group, Inc.</w:t>
      </w:r>
    </w:p>
    <w:p>
      <w:pPr>
        <w:spacing w:after="0" w:line="10" w:lineRule="exact"/>
        <w:rPr>
          <w:sz w:val="20"/>
          <w:szCs w:val="20"/>
          <w:color w:val="auto"/>
        </w:rPr>
      </w:pPr>
    </w:p>
    <w:p>
      <w:pPr>
        <w:ind w:left="2780"/>
        <w:spacing w:after="0"/>
        <w:rPr>
          <w:sz w:val="20"/>
          <w:szCs w:val="20"/>
          <w:color w:val="auto"/>
        </w:rPr>
      </w:pPr>
      <w:r>
        <w:rPr>
          <w:rFonts w:ascii="Arial" w:cs="Arial" w:eastAsia="Arial" w:hAnsi="Arial"/>
          <w:sz w:val="6"/>
          <w:szCs w:val="6"/>
          <w:color w:val="auto"/>
        </w:rPr>
        <w:t>Revolver Borrowing Base Certificate</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6"/>
          <w:szCs w:val="6"/>
          <w:color w:val="auto"/>
        </w:rPr>
        <w:t>Certificate No.</w:t>
      </w:r>
    </w:p>
    <w:p>
      <w:pPr>
        <w:ind w:left="3540"/>
        <w:spacing w:after="0" w:line="219" w:lineRule="auto"/>
        <w:rPr>
          <w:sz w:val="20"/>
          <w:szCs w:val="20"/>
          <w:color w:val="auto"/>
        </w:rPr>
      </w:pPr>
      <w:r>
        <w:rPr>
          <w:rFonts w:ascii="Arial" w:cs="Arial" w:eastAsia="Arial" w:hAnsi="Arial"/>
          <w:sz w:val="6"/>
          <w:szCs w:val="6"/>
          <w:color w:val="auto"/>
        </w:rPr>
        <w:t>Certificate Date</w:t>
      </w:r>
    </w:p>
    <w:p>
      <w:pPr>
        <w:jc w:val="right"/>
        <w:ind w:right="1000"/>
        <w:spacing w:after="0"/>
        <w:rPr>
          <w:sz w:val="20"/>
          <w:szCs w:val="20"/>
          <w:color w:val="auto"/>
        </w:rPr>
      </w:pPr>
      <w:r>
        <w:rPr>
          <w:rFonts w:ascii="Arial" w:cs="Arial" w:eastAsia="Arial" w:hAnsi="Arial"/>
          <w:sz w:val="6"/>
          <w:szCs w:val="6"/>
          <w:b w:val="1"/>
          <w:bCs w:val="1"/>
          <w:color w:val="auto"/>
        </w:rPr>
        <w:t>At Cost</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6"/>
          <w:szCs w:val="6"/>
          <w:color w:val="auto"/>
        </w:rPr>
        <w:t>Add: Receiving/ Purchases Add: Purchase Accrual</w:t>
      </w:r>
    </w:p>
    <w:p>
      <w:pPr>
        <w:ind w:left="260"/>
        <w:spacing w:after="0" w:line="219" w:lineRule="auto"/>
        <w:rPr>
          <w:sz w:val="20"/>
          <w:szCs w:val="20"/>
          <w:color w:val="auto"/>
        </w:rPr>
      </w:pPr>
      <w:r>
        <w:rPr>
          <w:rFonts w:ascii="Arial" w:cs="Arial" w:eastAsia="Arial" w:hAnsi="Arial"/>
          <w:sz w:val="6"/>
          <w:szCs w:val="6"/>
          <w:color w:val="auto"/>
        </w:rPr>
        <w:t>(ASN) Add: Reverse ASN Accrual Add: Freight</w:t>
      </w:r>
    </w:p>
    <w:p>
      <w:pPr>
        <w:ind w:left="260"/>
        <w:spacing w:after="0" w:line="219" w:lineRule="auto"/>
        <w:rPr>
          <w:sz w:val="20"/>
          <w:szCs w:val="20"/>
          <w:color w:val="auto"/>
        </w:rPr>
      </w:pPr>
      <w:r>
        <w:rPr>
          <w:rFonts w:ascii="Arial" w:cs="Arial" w:eastAsia="Arial" w:hAnsi="Arial"/>
          <w:sz w:val="6"/>
          <w:szCs w:val="6"/>
          <w:color w:val="auto"/>
        </w:rPr>
        <w:t>Less: Net Sales @ Retail (memo only) Less: Cost of Goods Sold @</w:t>
      </w:r>
    </w:p>
    <w:p>
      <w:pPr>
        <w:ind w:left="260"/>
        <w:spacing w:after="0"/>
        <w:rPr>
          <w:sz w:val="20"/>
          <w:szCs w:val="20"/>
          <w:color w:val="auto"/>
        </w:rPr>
      </w:pPr>
      <w:r>
        <w:rPr>
          <w:rFonts w:ascii="Arial" w:cs="Arial" w:eastAsia="Arial" w:hAnsi="Arial"/>
          <w:sz w:val="6"/>
          <w:szCs w:val="6"/>
          <w:color w:val="auto"/>
        </w:rPr>
        <w:t>Cost Total Adds/ (Reductions)</w:t>
      </w:r>
    </w:p>
    <w:p>
      <w:pPr>
        <w:spacing w:after="0" w:line="69" w:lineRule="exact"/>
        <w:rPr>
          <w:sz w:val="20"/>
          <w:szCs w:val="20"/>
          <w:color w:val="auto"/>
        </w:rPr>
      </w:pPr>
    </w:p>
    <w:p>
      <w:pPr>
        <w:jc w:val="right"/>
        <w:ind w:right="1000"/>
        <w:spacing w:after="0"/>
        <w:rPr>
          <w:sz w:val="20"/>
          <w:szCs w:val="20"/>
          <w:color w:val="auto"/>
        </w:rPr>
      </w:pPr>
      <w:r>
        <w:rPr>
          <w:rFonts w:ascii="Arial" w:cs="Arial" w:eastAsia="Arial" w:hAnsi="Arial"/>
          <w:sz w:val="6"/>
          <w:szCs w:val="6"/>
          <w:b w:val="1"/>
          <w:bCs w:val="1"/>
          <w:color w:val="auto"/>
        </w:rPr>
        <w:t>At Cost</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72"/>
        </w:trPr>
        <w:tc>
          <w:tcPr>
            <w:tcW w:w="2740" w:type="dxa"/>
            <w:vAlign w:val="bottom"/>
          </w:tcPr>
          <w:p>
            <w:pPr>
              <w:spacing w:after="0"/>
              <w:rPr>
                <w:sz w:val="20"/>
                <w:szCs w:val="20"/>
                <w:color w:val="auto"/>
              </w:rPr>
            </w:pPr>
            <w:r>
              <w:rPr>
                <w:rFonts w:ascii="Arial" w:cs="Arial" w:eastAsia="Arial" w:hAnsi="Arial"/>
                <w:sz w:val="6"/>
                <w:szCs w:val="6"/>
                <w:color w:val="auto"/>
              </w:rPr>
              <w:t>Less: Shrinkage at Cost Less: RTV Inventory</w:t>
            </w:r>
          </w:p>
        </w:tc>
        <w:tc>
          <w:tcPr>
            <w:tcW w:w="1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140" w:type="dxa"/>
            <w:vAlign w:val="bottom"/>
          </w:tcPr>
          <w:p>
            <w:pPr>
              <w:spacing w:after="0"/>
              <w:rPr>
                <w:sz w:val="6"/>
                <w:szCs w:val="6"/>
                <w:color w:val="auto"/>
              </w:rPr>
            </w:pPr>
          </w:p>
        </w:tc>
      </w:tr>
      <w:tr>
        <w:trPr>
          <w:trHeight w:val="576"/>
        </w:trPr>
        <w:tc>
          <w:tcPr>
            <w:tcW w:w="2740" w:type="dxa"/>
            <w:vAlign w:val="bottom"/>
          </w:tcPr>
          <w:p>
            <w:pPr>
              <w:spacing w:after="0"/>
              <w:rPr>
                <w:sz w:val="24"/>
                <w:szCs w:val="24"/>
                <w:color w:val="auto"/>
              </w:rPr>
            </w:pPr>
          </w:p>
        </w:tc>
        <w:tc>
          <w:tcPr>
            <w:tcW w:w="4500" w:type="dxa"/>
            <w:vAlign w:val="bottom"/>
            <w:gridSpan w:val="3"/>
          </w:tcPr>
          <w:p>
            <w:pPr>
              <w:jc w:val="right"/>
              <w:ind w:right="3110"/>
              <w:spacing w:after="0"/>
              <w:rPr>
                <w:sz w:val="20"/>
                <w:szCs w:val="20"/>
                <w:color w:val="auto"/>
              </w:rPr>
            </w:pPr>
            <w:r>
              <w:rPr>
                <w:rFonts w:ascii="Arial" w:cs="Arial" w:eastAsia="Arial" w:hAnsi="Arial"/>
                <w:sz w:val="6"/>
                <w:szCs w:val="6"/>
                <w:color w:val="0000FF"/>
              </w:rPr>
              <w:t>90.</w:t>
            </w:r>
            <w:r>
              <w:rPr>
                <w:rFonts w:ascii="Arial" w:cs="Arial" w:eastAsia="Arial" w:hAnsi="Arial"/>
                <w:sz w:val="6"/>
                <w:szCs w:val="6"/>
                <w:u w:val="single" w:color="auto"/>
                <w:color w:val="0000FF"/>
              </w:rPr>
              <w:t>0%</w:t>
            </w:r>
          </w:p>
        </w:tc>
      </w:tr>
      <w:tr>
        <w:trPr>
          <w:trHeight w:val="421"/>
        </w:trPr>
        <w:tc>
          <w:tcPr>
            <w:tcW w:w="2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140" w:type="dxa"/>
            <w:vAlign w:val="bottom"/>
          </w:tcPr>
          <w:p>
            <w:pPr>
              <w:jc w:val="right"/>
              <w:ind w:right="2410"/>
              <w:spacing w:after="0"/>
              <w:rPr>
                <w:sz w:val="20"/>
                <w:szCs w:val="20"/>
                <w:color w:val="auto"/>
              </w:rPr>
            </w:pPr>
            <w:r>
              <w:rPr>
                <w:rFonts w:ascii="Arial" w:cs="Arial" w:eastAsia="Arial" w:hAnsi="Arial"/>
                <w:sz w:val="6"/>
                <w:szCs w:val="6"/>
                <w:color w:val="0000FF"/>
              </w:rPr>
              <w:t>85.0%</w:t>
            </w:r>
          </w:p>
        </w:tc>
      </w:tr>
      <w:tr>
        <w:trPr>
          <w:trHeight w:val="270"/>
        </w:trPr>
        <w:tc>
          <w:tcPr>
            <w:tcW w:w="2740" w:type="dxa"/>
            <w:vAlign w:val="bottom"/>
          </w:tcPr>
          <w:p>
            <w:pPr>
              <w:ind w:left="260"/>
              <w:spacing w:after="0"/>
              <w:rPr>
                <w:sz w:val="20"/>
                <w:szCs w:val="20"/>
                <w:color w:val="auto"/>
              </w:rPr>
            </w:pPr>
            <w:r>
              <w:rPr>
                <w:rFonts w:ascii="Arial" w:cs="Arial" w:eastAsia="Arial" w:hAnsi="Arial"/>
                <w:sz w:val="6"/>
                <w:szCs w:val="6"/>
                <w:color w:val="auto"/>
              </w:rPr>
              <w:t>Less: Ineligibles (&gt;45 days from shipment)</w:t>
            </w:r>
          </w:p>
        </w:tc>
        <w:tc>
          <w:tcPr>
            <w:tcW w:w="4500" w:type="dxa"/>
            <w:vAlign w:val="bottom"/>
            <w:gridSpan w:val="3"/>
          </w:tcPr>
          <w:p>
            <w:pPr>
              <w:jc w:val="right"/>
              <w:spacing w:after="0"/>
              <w:rPr>
                <w:sz w:val="20"/>
                <w:szCs w:val="20"/>
                <w:color w:val="auto"/>
              </w:rPr>
            </w:pPr>
            <w:r>
              <w:rPr>
                <w:rFonts w:ascii="Arial" w:cs="Arial" w:eastAsia="Arial" w:hAnsi="Arial"/>
                <w:sz w:val="6"/>
                <w:szCs w:val="6"/>
                <w:color w:val="0000FF"/>
              </w:rPr>
              <w:t>-</w:t>
            </w:r>
          </w:p>
        </w:tc>
      </w:tr>
      <w:tr>
        <w:trPr>
          <w:trHeight w:val="207"/>
        </w:trPr>
        <w:tc>
          <w:tcPr>
            <w:tcW w:w="2740" w:type="dxa"/>
            <w:vAlign w:val="bottom"/>
          </w:tcPr>
          <w:p>
            <w:pPr>
              <w:spacing w:after="0"/>
              <w:rPr>
                <w:sz w:val="18"/>
                <w:szCs w:val="18"/>
                <w:color w:val="auto"/>
              </w:rPr>
            </w:pPr>
          </w:p>
        </w:tc>
        <w:tc>
          <w:tcPr>
            <w:tcW w:w="4500" w:type="dxa"/>
            <w:vAlign w:val="bottom"/>
            <w:gridSpan w:val="3"/>
          </w:tcPr>
          <w:p>
            <w:pPr>
              <w:jc w:val="right"/>
              <w:ind w:right="2410"/>
              <w:spacing w:after="0"/>
              <w:rPr>
                <w:sz w:val="20"/>
                <w:szCs w:val="20"/>
                <w:color w:val="auto"/>
              </w:rPr>
            </w:pPr>
            <w:r>
              <w:rPr>
                <w:rFonts w:ascii="Arial" w:cs="Arial" w:eastAsia="Arial" w:hAnsi="Arial"/>
                <w:sz w:val="6"/>
                <w:szCs w:val="6"/>
                <w:color w:val="0000FF"/>
              </w:rPr>
              <w:t>80.0%</w:t>
            </w:r>
          </w:p>
        </w:tc>
      </w:tr>
      <w:tr>
        <w:trPr>
          <w:trHeight w:val="333"/>
        </w:trPr>
        <w:tc>
          <w:tcPr>
            <w:tcW w:w="2740" w:type="dxa"/>
            <w:vAlign w:val="bottom"/>
          </w:tcPr>
          <w:p>
            <w:pPr>
              <w:spacing w:after="0"/>
              <w:rPr>
                <w:sz w:val="24"/>
                <w:szCs w:val="24"/>
                <w:color w:val="auto"/>
              </w:rPr>
            </w:pPr>
          </w:p>
        </w:tc>
        <w:tc>
          <w:tcPr>
            <w:tcW w:w="4500" w:type="dxa"/>
            <w:vAlign w:val="bottom"/>
            <w:gridSpan w:val="3"/>
          </w:tcPr>
          <w:p>
            <w:pPr>
              <w:jc w:val="right"/>
              <w:ind w:right="3110"/>
              <w:spacing w:after="0"/>
              <w:rPr>
                <w:sz w:val="20"/>
                <w:szCs w:val="20"/>
                <w:color w:val="auto"/>
              </w:rPr>
            </w:pPr>
            <w:r>
              <w:rPr>
                <w:rFonts w:ascii="Arial" w:cs="Arial" w:eastAsia="Arial" w:hAnsi="Arial"/>
                <w:sz w:val="6"/>
                <w:szCs w:val="6"/>
                <w:color w:val="auto"/>
              </w:rPr>
              <w:t>90.</w:t>
            </w:r>
            <w:r>
              <w:rPr>
                <w:rFonts w:ascii="Arial" w:cs="Arial" w:eastAsia="Arial" w:hAnsi="Arial"/>
                <w:sz w:val="6"/>
                <w:szCs w:val="6"/>
                <w:u w:val="single" w:color="auto"/>
                <w:color w:val="auto"/>
              </w:rPr>
              <w:t>0%</w:t>
            </w:r>
          </w:p>
        </w:tc>
      </w:tr>
      <w:tr>
        <w:trPr>
          <w:trHeight w:val="367"/>
        </w:trPr>
        <w:tc>
          <w:tcPr>
            <w:tcW w:w="2740" w:type="dxa"/>
            <w:vAlign w:val="bottom"/>
          </w:tcPr>
          <w:p>
            <w:pPr>
              <w:ind w:left="140"/>
              <w:spacing w:after="0"/>
              <w:rPr>
                <w:sz w:val="20"/>
                <w:szCs w:val="20"/>
                <w:color w:val="auto"/>
              </w:rPr>
            </w:pPr>
            <w:r>
              <w:rPr>
                <w:rFonts w:ascii="Arial" w:cs="Arial" w:eastAsia="Arial" w:hAnsi="Arial"/>
                <w:sz w:val="6"/>
                <w:szCs w:val="6"/>
                <w:color w:val="auto"/>
              </w:rPr>
              <w:t>Less Landlord Reserve: 2 months: PA, VA and Wash.</w:t>
            </w:r>
          </w:p>
        </w:tc>
        <w:tc>
          <w:tcPr>
            <w:tcW w:w="1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140" w:type="dxa"/>
            <w:vAlign w:val="bottom"/>
          </w:tcPr>
          <w:p>
            <w:pPr>
              <w:spacing w:after="0"/>
              <w:rPr>
                <w:sz w:val="24"/>
                <w:szCs w:val="24"/>
                <w:color w:val="auto"/>
              </w:rPr>
            </w:pPr>
          </w:p>
        </w:tc>
      </w:tr>
      <w:tr>
        <w:trPr>
          <w:trHeight w:val="63"/>
        </w:trPr>
        <w:tc>
          <w:tcPr>
            <w:tcW w:w="2740" w:type="dxa"/>
            <w:vAlign w:val="bottom"/>
          </w:tcPr>
          <w:p>
            <w:pPr>
              <w:ind w:left="140"/>
              <w:spacing w:after="0" w:line="63" w:lineRule="exact"/>
              <w:rPr>
                <w:sz w:val="20"/>
                <w:szCs w:val="20"/>
                <w:color w:val="auto"/>
              </w:rPr>
            </w:pPr>
            <w:r>
              <w:rPr>
                <w:rFonts w:ascii="Arial" w:cs="Arial" w:eastAsia="Arial" w:hAnsi="Arial"/>
                <w:sz w:val="6"/>
                <w:szCs w:val="6"/>
                <w:color w:val="auto"/>
              </w:rPr>
              <w:t>Less Gift Certificate Merchandise</w:t>
            </w:r>
          </w:p>
        </w:tc>
        <w:tc>
          <w:tcPr>
            <w:tcW w:w="1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140" w:type="dxa"/>
            <w:vAlign w:val="bottom"/>
          </w:tcPr>
          <w:p>
            <w:pPr>
              <w:spacing w:after="0"/>
              <w:rPr>
                <w:sz w:val="5"/>
                <w:szCs w:val="5"/>
                <w:color w:val="auto"/>
              </w:rPr>
            </w:pPr>
          </w:p>
        </w:tc>
      </w:tr>
      <w:tr>
        <w:trPr>
          <w:trHeight w:val="63"/>
        </w:trPr>
        <w:tc>
          <w:tcPr>
            <w:tcW w:w="2740" w:type="dxa"/>
            <w:vAlign w:val="bottom"/>
          </w:tcPr>
          <w:p>
            <w:pPr>
              <w:ind w:left="140"/>
              <w:spacing w:after="0" w:line="63" w:lineRule="exact"/>
              <w:rPr>
                <w:sz w:val="20"/>
                <w:szCs w:val="20"/>
                <w:color w:val="auto"/>
              </w:rPr>
            </w:pPr>
            <w:r>
              <w:rPr>
                <w:rFonts w:ascii="Arial" w:cs="Arial" w:eastAsia="Arial" w:hAnsi="Arial"/>
                <w:sz w:val="6"/>
                <w:szCs w:val="6"/>
                <w:color w:val="auto"/>
              </w:rPr>
              <w:t>Credits</w:t>
            </w:r>
          </w:p>
        </w:tc>
        <w:tc>
          <w:tcPr>
            <w:tcW w:w="4500" w:type="dxa"/>
            <w:vAlign w:val="bottom"/>
            <w:gridSpan w:val="3"/>
          </w:tcPr>
          <w:p>
            <w:pPr>
              <w:jc w:val="right"/>
              <w:ind w:right="2770"/>
              <w:spacing w:after="0" w:line="63" w:lineRule="exact"/>
              <w:rPr>
                <w:sz w:val="20"/>
                <w:szCs w:val="20"/>
                <w:color w:val="auto"/>
              </w:rPr>
            </w:pPr>
            <w:r>
              <w:rPr>
                <w:rFonts w:ascii="Arial" w:cs="Arial" w:eastAsia="Arial" w:hAnsi="Arial"/>
                <w:sz w:val="6"/>
                <w:szCs w:val="6"/>
                <w:color w:val="auto"/>
              </w:rPr>
              <w:t>50%</w:t>
            </w:r>
          </w:p>
        </w:tc>
      </w:tr>
      <w:tr>
        <w:trPr>
          <w:trHeight w:val="63"/>
        </w:trPr>
        <w:tc>
          <w:tcPr>
            <w:tcW w:w="2740" w:type="dxa"/>
            <w:vAlign w:val="bottom"/>
          </w:tcPr>
          <w:p>
            <w:pPr>
              <w:ind w:left="140"/>
              <w:spacing w:after="0" w:line="63" w:lineRule="exact"/>
              <w:rPr>
                <w:sz w:val="20"/>
                <w:szCs w:val="20"/>
                <w:color w:val="auto"/>
              </w:rPr>
            </w:pPr>
            <w:r>
              <w:rPr>
                <w:rFonts w:ascii="Arial" w:cs="Arial" w:eastAsia="Arial" w:hAnsi="Arial"/>
                <w:sz w:val="6"/>
                <w:szCs w:val="6"/>
                <w:color w:val="auto"/>
              </w:rPr>
              <w:t>Customer Deposits (TCM&amp;</w:t>
            </w:r>
          </w:p>
        </w:tc>
        <w:tc>
          <w:tcPr>
            <w:tcW w:w="1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140" w:type="dxa"/>
            <w:vAlign w:val="bottom"/>
          </w:tcPr>
          <w:p>
            <w:pPr>
              <w:spacing w:after="0"/>
              <w:rPr>
                <w:sz w:val="5"/>
                <w:szCs w:val="5"/>
                <w:color w:val="auto"/>
              </w:rPr>
            </w:pPr>
          </w:p>
        </w:tc>
      </w:tr>
      <w:tr>
        <w:trPr>
          <w:trHeight w:val="63"/>
        </w:trPr>
        <w:tc>
          <w:tcPr>
            <w:tcW w:w="2740" w:type="dxa"/>
            <w:vAlign w:val="bottom"/>
          </w:tcPr>
          <w:p>
            <w:pPr>
              <w:ind w:left="140"/>
              <w:spacing w:after="0" w:line="63" w:lineRule="exact"/>
              <w:rPr>
                <w:sz w:val="20"/>
                <w:szCs w:val="20"/>
                <w:color w:val="auto"/>
              </w:rPr>
            </w:pPr>
            <w:r>
              <w:rPr>
                <w:rFonts w:ascii="Arial" w:cs="Arial" w:eastAsia="Arial" w:hAnsi="Arial"/>
                <w:sz w:val="6"/>
                <w:szCs w:val="6"/>
                <w:color w:val="auto"/>
              </w:rPr>
              <w:t>Rochester)</w:t>
            </w:r>
          </w:p>
        </w:tc>
        <w:tc>
          <w:tcPr>
            <w:tcW w:w="4500" w:type="dxa"/>
            <w:vAlign w:val="bottom"/>
            <w:gridSpan w:val="3"/>
          </w:tcPr>
          <w:p>
            <w:pPr>
              <w:jc w:val="right"/>
              <w:ind w:right="2650"/>
              <w:spacing w:after="0" w:line="63" w:lineRule="exact"/>
              <w:rPr>
                <w:sz w:val="20"/>
                <w:szCs w:val="20"/>
                <w:color w:val="auto"/>
              </w:rPr>
            </w:pPr>
            <w:r>
              <w:rPr>
                <w:rFonts w:ascii="Arial" w:cs="Arial" w:eastAsia="Arial" w:hAnsi="Arial"/>
                <w:sz w:val="6"/>
                <w:szCs w:val="6"/>
                <w:color w:val="auto"/>
              </w:rPr>
              <w:t>100%</w:t>
            </w:r>
          </w:p>
        </w:tc>
      </w:tr>
      <w:tr>
        <w:trPr>
          <w:trHeight w:val="72"/>
        </w:trPr>
        <w:tc>
          <w:tcPr>
            <w:tcW w:w="2740" w:type="dxa"/>
            <w:vAlign w:val="bottom"/>
          </w:tcPr>
          <w:p>
            <w:pPr>
              <w:ind w:left="140"/>
              <w:spacing w:after="0"/>
              <w:rPr>
                <w:sz w:val="20"/>
                <w:szCs w:val="20"/>
                <w:color w:val="auto"/>
              </w:rPr>
            </w:pPr>
            <w:r>
              <w:rPr>
                <w:rFonts w:ascii="Arial" w:cs="Arial" w:eastAsia="Arial" w:hAnsi="Arial"/>
                <w:sz w:val="6"/>
                <w:szCs w:val="6"/>
                <w:color w:val="auto"/>
              </w:rPr>
              <w:t>FILO Pushdown Reserve</w:t>
            </w:r>
          </w:p>
        </w:tc>
        <w:tc>
          <w:tcPr>
            <w:tcW w:w="1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140" w:type="dxa"/>
            <w:vAlign w:val="bottom"/>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20"/>
        <w:spacing w:after="0"/>
        <w:tabs>
          <w:tab w:leader="none" w:pos="840" w:val="left"/>
        </w:tabs>
        <w:rPr>
          <w:sz w:val="20"/>
          <w:szCs w:val="20"/>
          <w:color w:val="auto"/>
        </w:rPr>
      </w:pPr>
      <w:r>
        <w:rPr>
          <w:rFonts w:ascii="Arial" w:cs="Arial" w:eastAsia="Arial" w:hAnsi="Arial"/>
          <w:sz w:val="6"/>
          <w:szCs w:val="6"/>
          <w:color w:val="auto"/>
        </w:rPr>
        <w:t>ADD:</w:t>
      </w:r>
      <w:r>
        <w:rPr>
          <w:sz w:val="20"/>
          <w:szCs w:val="20"/>
          <w:color w:val="auto"/>
        </w:rPr>
        <w:tab/>
      </w:r>
      <w:r>
        <w:rPr>
          <w:rFonts w:ascii="Arial" w:cs="Arial" w:eastAsia="Arial" w:hAnsi="Arial"/>
          <w:sz w:val="6"/>
          <w:szCs w:val="6"/>
          <w:color w:val="auto"/>
        </w:rPr>
        <w:t>Prior days advance</w:t>
      </w:r>
    </w:p>
    <w:p>
      <w:pPr>
        <w:ind w:left="220"/>
        <w:spacing w:after="0"/>
        <w:tabs>
          <w:tab w:leader="none" w:pos="840" w:val="left"/>
          <w:tab w:leader="none" w:pos="2280" w:val="left"/>
        </w:tabs>
        <w:rPr>
          <w:sz w:val="20"/>
          <w:szCs w:val="20"/>
          <w:color w:val="auto"/>
        </w:rPr>
      </w:pPr>
      <w:r>
        <w:rPr>
          <w:rFonts w:ascii="Arial" w:cs="Arial" w:eastAsia="Arial" w:hAnsi="Arial"/>
          <w:sz w:val="6"/>
          <w:szCs w:val="6"/>
          <w:color w:val="auto"/>
        </w:rPr>
        <w:t>ADD:</w:t>
      </w:r>
      <w:r>
        <w:rPr>
          <w:sz w:val="20"/>
          <w:szCs w:val="20"/>
          <w:color w:val="auto"/>
        </w:rPr>
        <w:tab/>
      </w:r>
      <w:r>
        <w:rPr>
          <w:rFonts w:ascii="Arial" w:cs="Arial" w:eastAsia="Arial" w:hAnsi="Arial"/>
          <w:sz w:val="6"/>
          <w:szCs w:val="6"/>
          <w:color w:val="auto"/>
        </w:rPr>
        <w:t>Interest / Fees charged today LESS:</w:t>
      </w:r>
      <w:r>
        <w:rPr>
          <w:sz w:val="20"/>
          <w:szCs w:val="20"/>
          <w:color w:val="auto"/>
        </w:rPr>
        <w:tab/>
      </w:r>
      <w:r>
        <w:rPr>
          <w:rFonts w:ascii="Arial" w:cs="Arial" w:eastAsia="Arial" w:hAnsi="Arial"/>
          <w:sz w:val="4"/>
          <w:szCs w:val="4"/>
          <w:color w:val="auto"/>
        </w:rPr>
        <w:t>Prior day's paydown</w:t>
      </w:r>
    </w:p>
    <w:p>
      <w:pPr>
        <w:spacing w:after="0" w:line="375" w:lineRule="exact"/>
        <w:rPr>
          <w:sz w:val="20"/>
          <w:szCs w:val="20"/>
          <w:color w:val="auto"/>
        </w:rPr>
      </w:pPr>
    </w:p>
    <w:p>
      <w:pPr>
        <w:sectPr>
          <w:pgSz w:w="11900" w:h="16838" w:orient="portrait"/>
          <w:cols w:equalWidth="0" w:num="2">
            <w:col w:w="2520" w:space="80"/>
            <w:col w:w="8840"/>
          </w:cols>
          <w:pgMar w:left="220" w:top="310" w:right="239" w:bottom="1440" w:gutter="0" w:footer="0" w:header="0"/>
          <w:type w:val="continuous"/>
        </w:sectPr>
      </w:pPr>
    </w:p>
    <w:p>
      <w:pPr>
        <w:ind w:left="2860"/>
        <w:spacing w:after="0"/>
        <w:tabs>
          <w:tab w:leader="none" w:pos="4940" w:val="left"/>
        </w:tabs>
        <w:rPr>
          <w:sz w:val="20"/>
          <w:szCs w:val="20"/>
          <w:color w:val="auto"/>
        </w:rPr>
      </w:pPr>
      <w:r>
        <w:rPr>
          <w:rFonts w:ascii="Arial" w:cs="Arial" w:eastAsia="Arial" w:hAnsi="Arial"/>
          <w:sz w:val="6"/>
          <w:szCs w:val="6"/>
          <w:color w:val="auto"/>
        </w:rPr>
        <w:t>ADD:</w:t>
      </w:r>
      <w:r>
        <w:rPr>
          <w:sz w:val="20"/>
          <w:szCs w:val="20"/>
          <w:color w:val="auto"/>
        </w:rPr>
        <w:tab/>
      </w:r>
      <w:r>
        <w:rPr>
          <w:rFonts w:ascii="Arial" w:cs="Arial" w:eastAsia="Arial" w:hAnsi="Arial"/>
          <w:sz w:val="6"/>
          <w:szCs w:val="6"/>
          <w:color w:val="auto"/>
        </w:rPr>
        <w:t>Outstanding Letters of Credit</w:t>
      </w:r>
    </w:p>
    <w:p>
      <w:pPr>
        <w:ind w:left="780"/>
        <w:spacing w:after="0"/>
        <w:rPr>
          <w:sz w:val="20"/>
          <w:szCs w:val="20"/>
          <w:color w:val="auto"/>
        </w:rPr>
      </w:pPr>
      <w:r>
        <w:rPr>
          <w:rFonts w:ascii="Arial" w:cs="Arial" w:eastAsia="Arial" w:hAnsi="Arial"/>
          <w:sz w:val="6"/>
          <w:szCs w:val="6"/>
          <w:b w:val="1"/>
          <w:bCs w:val="1"/>
          <w:color w:val="auto"/>
        </w:rPr>
        <w:t>Total loan balance and L/Cs prior to request</w:t>
      </w:r>
    </w:p>
    <w:p>
      <w:pPr>
        <w:spacing w:after="0" w:line="42" w:lineRule="exact"/>
        <w:rPr>
          <w:sz w:val="20"/>
          <w:szCs w:val="20"/>
          <w:color w:val="auto"/>
        </w:rPr>
      </w:pPr>
    </w:p>
    <w:p>
      <w:pPr>
        <w:ind w:left="780"/>
        <w:spacing w:after="0"/>
        <w:rPr>
          <w:sz w:val="20"/>
          <w:szCs w:val="20"/>
          <w:color w:val="auto"/>
        </w:rPr>
      </w:pPr>
      <w:r>
        <w:rPr>
          <w:rFonts w:ascii="Arial" w:cs="Arial" w:eastAsia="Arial" w:hAnsi="Arial"/>
          <w:sz w:val="6"/>
          <w:szCs w:val="6"/>
          <w:color w:val="auto"/>
        </w:rPr>
        <w:t>Excess Availability prior to today's request</w:t>
      </w:r>
    </w:p>
    <w:p>
      <w:pPr>
        <w:ind w:left="20"/>
        <w:spacing w:after="0"/>
        <w:rPr>
          <w:sz w:val="20"/>
          <w:szCs w:val="20"/>
          <w:color w:val="auto"/>
        </w:rPr>
      </w:pPr>
      <w:r>
        <w:rPr>
          <w:rFonts w:ascii="Arial" w:cs="Arial" w:eastAsia="Arial" w:hAnsi="Arial"/>
          <w:sz w:val="6"/>
          <w:szCs w:val="6"/>
          <w:b w:val="1"/>
          <w:bCs w:val="1"/>
          <w:color w:val="auto"/>
        </w:rPr>
        <w:t>Excess Revolver Availability</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ADVANCE REQUEST PAY DOWN</w:t>
      </w:r>
    </w:p>
    <w:p>
      <w:pPr>
        <w:spacing w:after="0" w:line="207" w:lineRule="exact"/>
        <w:rPr>
          <w:sz w:val="20"/>
          <w:szCs w:val="20"/>
          <w:color w:val="auto"/>
        </w:rPr>
      </w:pPr>
    </w:p>
    <w:p>
      <w:pPr>
        <w:ind w:left="780"/>
        <w:spacing w:after="0"/>
        <w:tabs>
          <w:tab w:leader="none" w:pos="6520" w:val="left"/>
          <w:tab w:leader="none" w:pos="11140" w:val="left"/>
        </w:tabs>
        <w:rPr>
          <w:sz w:val="20"/>
          <w:szCs w:val="20"/>
          <w:color w:val="auto"/>
        </w:rPr>
      </w:pPr>
      <w:r>
        <w:rPr>
          <w:rFonts w:ascii="Arial" w:cs="Arial" w:eastAsia="Arial" w:hAnsi="Arial"/>
          <w:sz w:val="6"/>
          <w:szCs w:val="6"/>
          <w:color w:val="auto"/>
        </w:rPr>
        <w:t>Covenant Compliance Event - Total Availability (after today's request) &gt;= to the greater of:</w:t>
      </w:r>
      <w:r>
        <w:rPr>
          <w:sz w:val="20"/>
          <w:szCs w:val="20"/>
          <w:color w:val="auto"/>
        </w:rPr>
        <w:tab/>
      </w:r>
      <w:r>
        <w:rPr>
          <w:rFonts w:ascii="Arial" w:cs="Arial" w:eastAsia="Arial" w:hAnsi="Arial"/>
          <w:sz w:val="6"/>
          <w:szCs w:val="6"/>
          <w:color w:val="auto"/>
        </w:rPr>
        <w:t>Minimum Required Total Revolver Availability</w:t>
      </w:r>
      <w:r>
        <w:rPr>
          <w:sz w:val="20"/>
          <w:szCs w:val="20"/>
          <w:color w:val="auto"/>
        </w:rPr>
        <w:tab/>
      </w:r>
      <w:r>
        <w:rPr>
          <w:rFonts w:ascii="Arial" w:cs="Arial" w:eastAsia="Arial" w:hAnsi="Arial"/>
          <w:sz w:val="6"/>
          <w:szCs w:val="6"/>
          <w:b w:val="1"/>
          <w:bCs w:val="1"/>
          <w:color w:val="auto"/>
        </w:rPr>
        <w:t>7,500,000</w:t>
      </w:r>
    </w:p>
    <w:p>
      <w:pPr>
        <w:spacing w:after="0" w:line="3" w:lineRule="exact"/>
        <w:rPr>
          <w:sz w:val="20"/>
          <w:szCs w:val="20"/>
          <w:color w:val="auto"/>
        </w:rPr>
      </w:pPr>
    </w:p>
    <w:p>
      <w:pPr>
        <w:ind w:left="1500" w:hanging="157"/>
        <w:spacing w:after="0"/>
        <w:tabs>
          <w:tab w:leader="none" w:pos="1500" w:val="left"/>
        </w:tabs>
        <w:numPr>
          <w:ilvl w:val="0"/>
          <w:numId w:val="223"/>
        </w:numPr>
        <w:rPr>
          <w:rFonts w:ascii="Arial" w:cs="Arial" w:eastAsia="Arial" w:hAnsi="Arial"/>
          <w:sz w:val="6"/>
          <w:szCs w:val="6"/>
          <w:color w:val="auto"/>
        </w:rPr>
      </w:pPr>
      <w:r>
        <w:rPr>
          <w:rFonts w:ascii="Arial" w:cs="Arial" w:eastAsia="Arial" w:hAnsi="Arial"/>
          <w:sz w:val="6"/>
          <w:szCs w:val="6"/>
          <w:color w:val="auto"/>
        </w:rPr>
        <w:t>$7,500,000Covenant Compliance Event in effect</w:t>
      </w:r>
    </w:p>
    <w:p>
      <w:pPr>
        <w:ind w:left="1500" w:hanging="157"/>
        <w:spacing w:after="0"/>
        <w:tabs>
          <w:tab w:leader="none" w:pos="1500" w:val="left"/>
        </w:tabs>
        <w:numPr>
          <w:ilvl w:val="0"/>
          <w:numId w:val="223"/>
        </w:numPr>
        <w:rPr>
          <w:rFonts w:ascii="Arial" w:cs="Arial" w:eastAsia="Arial" w:hAnsi="Arial"/>
          <w:sz w:val="6"/>
          <w:szCs w:val="6"/>
          <w:color w:val="auto"/>
        </w:rPr>
      </w:pPr>
      <w:r>
        <w:rPr>
          <w:rFonts w:ascii="Arial" w:cs="Arial" w:eastAsia="Arial" w:hAnsi="Arial"/>
          <w:sz w:val="6"/>
          <w:szCs w:val="6"/>
          <w:color w:val="auto"/>
        </w:rPr>
        <w:t>10% of Revolver Loan Cap (without giving$- effect to FILO Pushdown Reserve)</w:t>
      </w:r>
    </w:p>
    <w:p>
      <w:pPr>
        <w:spacing w:after="0" w:line="90" w:lineRule="exact"/>
        <w:rPr>
          <w:sz w:val="20"/>
          <w:szCs w:val="20"/>
          <w:color w:val="auto"/>
        </w:rPr>
      </w:pPr>
    </w:p>
    <w:p>
      <w:pPr>
        <w:ind w:left="780" w:right="900"/>
        <w:spacing w:after="0" w:line="241" w:lineRule="auto"/>
        <w:rPr>
          <w:sz w:val="20"/>
          <w:szCs w:val="20"/>
          <w:color w:val="auto"/>
        </w:rPr>
      </w:pPr>
      <w:r>
        <w:rPr>
          <w:rFonts w:ascii="Arial" w:cs="Arial" w:eastAsia="Arial" w:hAnsi="Arial"/>
          <w:sz w:val="5"/>
          <w:szCs w:val="5"/>
          <w:color w:val="auto"/>
        </w:rPr>
        <w:t>The undersigned, a Responsible Officer (as defined in the Credit Agreement referred to below) of Destination XL Group, Inc. (the “Lead Borrower”), represents and warrants that (a) the information set forth above and the supporting documentation delivered in connection herewith have been prepared in accordance with the requirements of that certain Seventh Amended and Restated Credit Agreement dated as of May 24, 2018 (as amended, restated, supplemented or otherwise modified and in effect from time to time, the "Credit Agreement") by, among others, (i) the Lead Borrower, (ii) the Borrowers party thereto from time to time, (iii) the Guarantors party thereto from time to time, (iv) the Lenders party thereto from time to time, and (v) Bank of America, N.A., as administrative agent and collateral agent (in such capacities, the “Agent”); (b) no Default or Event of Default (as such terms are defined in the Credit Agreement) has occurred and is continuing; and (c) all or a portion of the advance requested hereby will be set aside by the Borrowers to cover 100% of the Borrowers' obligation for sales tax on account of sales since the most recent borrowing under the Credit Agreement.</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6"/>
          <w:szCs w:val="6"/>
          <w:b w:val="1"/>
          <w:bCs w:val="1"/>
          <w:color w:val="auto"/>
        </w:rPr>
        <w:t>Destination XL Group, Inc., as Lead Borrower</w:t>
      </w:r>
    </w:p>
    <w:p>
      <w:pPr>
        <w:spacing w:after="0" w:line="9" w:lineRule="exact"/>
        <w:rPr>
          <w:sz w:val="20"/>
          <w:szCs w:val="20"/>
          <w:color w:val="auto"/>
        </w:rPr>
      </w:pPr>
    </w:p>
    <w:p>
      <w:pPr>
        <w:ind w:left="1820"/>
        <w:spacing w:after="0"/>
        <w:tabs>
          <w:tab w:leader="none" w:pos="8520" w:val="left"/>
          <w:tab w:leader="none" w:pos="8860" w:val="left"/>
        </w:tabs>
        <w:rPr>
          <w:sz w:val="20"/>
          <w:szCs w:val="20"/>
          <w:color w:val="auto"/>
        </w:rPr>
      </w:pPr>
      <w:r>
        <w:rPr>
          <w:rFonts w:ascii="Arial" w:cs="Arial" w:eastAsia="Arial" w:hAnsi="Arial"/>
          <w:sz w:val="6"/>
          <w:szCs w:val="6"/>
          <w:color w:val="auto"/>
        </w:rPr>
        <w:t>Authorized Signature</w:t>
      </w:r>
      <w:r>
        <w:rPr>
          <w:sz w:val="20"/>
          <w:szCs w:val="20"/>
          <w:color w:val="auto"/>
        </w:rPr>
        <w:tab/>
      </w:r>
      <w:r>
        <w:rPr>
          <w:rFonts w:ascii="Arial" w:cs="Arial" w:eastAsia="Arial" w:hAnsi="Arial"/>
          <w:sz w:val="6"/>
          <w:szCs w:val="6"/>
          <w:color w:val="auto"/>
        </w:rPr>
        <w:t>Name Title</w:t>
      </w:r>
      <w:r>
        <w:rPr>
          <w:sz w:val="20"/>
          <w:szCs w:val="20"/>
          <w:color w:val="auto"/>
        </w:rPr>
        <w:tab/>
      </w:r>
      <w:r>
        <w:rPr>
          <w:rFonts w:ascii="Arial" w:cs="Arial" w:eastAsia="Arial" w:hAnsi="Arial"/>
          <w:sz w:val="4"/>
          <w:szCs w:val="4"/>
          <w:color w:val="auto"/>
        </w:rPr>
        <w:t>Date</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0"/>
          <w:szCs w:val="10"/>
          <w:color w:val="auto"/>
        </w:rPr>
        <w:t>DB1/ 97584532.1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242570</wp:posOffset>
            </wp:positionV>
            <wp:extent cx="7329170" cy="368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310" w:right="239" w:bottom="1440" w:gutter="0" w:footer="0" w:header="0"/>
          <w:type w:val="continuous"/>
        </w:sectPr>
      </w:pPr>
    </w:p>
    <w:bookmarkStart w:id="225" w:name="page226"/>
    <w:bookmarkEnd w:id="225"/>
    <w:p>
      <w:pPr>
        <w:jc w:val="center"/>
        <w:ind w:right="-439"/>
        <w:spacing w:after="0"/>
        <w:rPr>
          <w:sz w:val="20"/>
          <w:szCs w:val="20"/>
          <w:color w:val="auto"/>
        </w:rPr>
      </w:pPr>
      <w:r>
        <w:rPr>
          <w:sz w:val="1"/>
          <w:szCs w:val="1"/>
          <w:color w:val="auto"/>
        </w:rPr>
        <w:drawing>
          <wp:inline distT="0" distB="0" distL="0" distR="0">
            <wp:extent cx="623570" cy="262890"/>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23570" cy="262890"/>
                    </a:xfrm>
                    <a:prstGeom prst="rect">
                      <a:avLst/>
                    </a:prstGeom>
                    <a:noFill/>
                    <a:ln>
                      <a:noFill/>
                    </a:ln>
                  </pic:spPr>
                </pic:pic>
              </a:graphicData>
            </a:graphic>
          </wp:inline>
        </w:drawing>
      </w:r>
      <w:r>
        <w:rPr>
          <w:rFonts w:ascii="Arial" w:cs="Arial" w:eastAsia="Arial" w:hAnsi="Arial"/>
          <w:sz w:val="9"/>
          <w:szCs w:val="9"/>
          <w:b w:val="1"/>
          <w:bCs w:val="1"/>
          <w:color w:val="auto"/>
        </w:rPr>
        <w:t>Destination XL Group, Inc.</w:t>
      </w:r>
    </w:p>
    <w:p>
      <w:pPr>
        <w:spacing w:after="0" w:line="7" w:lineRule="exact"/>
        <w:rPr>
          <w:sz w:val="20"/>
          <w:szCs w:val="20"/>
          <w:color w:val="auto"/>
        </w:rPr>
      </w:pPr>
    </w:p>
    <w:p>
      <w:pPr>
        <w:jc w:val="center"/>
        <w:ind w:right="-439"/>
        <w:spacing w:after="0"/>
        <w:rPr>
          <w:sz w:val="20"/>
          <w:szCs w:val="20"/>
          <w:color w:val="auto"/>
        </w:rPr>
      </w:pPr>
      <w:r>
        <w:rPr>
          <w:rFonts w:ascii="Arial" w:cs="Arial" w:eastAsia="Arial" w:hAnsi="Arial"/>
          <w:sz w:val="9"/>
          <w:szCs w:val="9"/>
          <w:color w:val="auto"/>
        </w:rPr>
        <w:t>FILO Borrowing Base Certificate</w:t>
      </w:r>
    </w:p>
    <w:p>
      <w:pPr>
        <w:sectPr>
          <w:pgSz w:w="11900" w:h="16838" w:orient="portrait"/>
          <w:cols w:equalWidth="0" w:num="1">
            <w:col w:w="11100"/>
          </w:cols>
          <w:pgMar w:left="240" w:top="347" w:right="559" w:bottom="1440" w:gutter="0" w:footer="0" w:header="0"/>
        </w:sectPr>
      </w:pPr>
    </w:p>
    <w:p>
      <w:pPr>
        <w:spacing w:after="0" w:line="136" w:lineRule="exact"/>
        <w:rPr>
          <w:sz w:val="20"/>
          <w:szCs w:val="20"/>
          <w:color w:val="auto"/>
        </w:rPr>
      </w:pPr>
    </w:p>
    <w:p>
      <w:pPr>
        <w:ind w:left="120"/>
        <w:spacing w:after="0"/>
        <w:rPr>
          <w:sz w:val="20"/>
          <w:szCs w:val="20"/>
          <w:color w:val="auto"/>
        </w:rPr>
      </w:pPr>
      <w:r>
        <w:rPr>
          <w:rFonts w:ascii="Arial" w:cs="Arial" w:eastAsia="Arial" w:hAnsi="Arial"/>
          <w:sz w:val="8"/>
          <w:szCs w:val="8"/>
          <w:color w:val="auto"/>
        </w:rPr>
        <w:t>Email to:</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7"/>
          <w:szCs w:val="7"/>
          <w:color w:val="auto"/>
        </w:rPr>
        <w:t>Kerry Hu</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Arial" w:cs="Arial" w:eastAsia="Arial" w:hAnsi="Arial"/>
          <w:sz w:val="8"/>
          <w:szCs w:val="8"/>
          <w:color w:val="auto"/>
        </w:rPr>
        <w:t>Certificate No.</w:t>
      </w:r>
    </w:p>
    <w:p>
      <w:pPr>
        <w:spacing w:after="0" w:line="6" w:lineRule="exact"/>
        <w:rPr>
          <w:sz w:val="20"/>
          <w:szCs w:val="20"/>
          <w:color w:val="auto"/>
        </w:rPr>
      </w:pPr>
    </w:p>
    <w:p>
      <w:pPr>
        <w:sectPr>
          <w:pgSz w:w="11900" w:h="16838" w:orient="portrait"/>
          <w:cols w:equalWidth="0" w:num="3">
            <w:col w:w="440" w:space="720"/>
            <w:col w:w="300" w:space="720"/>
            <w:col w:w="8920"/>
          </w:cols>
          <w:pgMar w:left="240" w:top="347" w:right="559" w:bottom="1440" w:gutter="0" w:footer="0" w:header="0"/>
          <w:type w:val="continuous"/>
        </w:sectPr>
      </w:pPr>
    </w:p>
    <w:p>
      <w:pPr>
        <w:spacing w:after="0" w:line="3" w:lineRule="exact"/>
        <w:rPr>
          <w:sz w:val="20"/>
          <w:szCs w:val="20"/>
          <w:color w:val="auto"/>
        </w:rPr>
      </w:pPr>
    </w:p>
    <w:p>
      <w:pPr>
        <w:ind w:left="1280"/>
        <w:spacing w:after="0"/>
        <w:rPr>
          <w:sz w:val="20"/>
          <w:szCs w:val="20"/>
          <w:color w:val="auto"/>
        </w:rPr>
      </w:pPr>
      <w:r>
        <w:rPr>
          <w:rFonts w:ascii="Arial" w:cs="Arial" w:eastAsia="Arial" w:hAnsi="Arial"/>
          <w:sz w:val="7"/>
          <w:szCs w:val="7"/>
          <w:u w:val="single" w:color="auto"/>
          <w:color w:val="0000FF"/>
        </w:rPr>
        <w:t>[ ]</w:t>
      </w:r>
    </w:p>
    <w:p>
      <w:pPr>
        <w:spacing w:after="0" w:line="20" w:lineRule="exact"/>
        <w:rPr>
          <w:sz w:val="20"/>
          <w:szCs w:val="20"/>
          <w:color w:val="auto"/>
        </w:rPr>
      </w:pPr>
      <w:r>
        <w:rPr>
          <w:sz w:val="20"/>
          <w:szCs w:val="20"/>
          <w:color w:val="auto"/>
        </w:rPr>
        <w:br w:type="column"/>
      </w:r>
    </w:p>
    <w:p>
      <w:pPr>
        <w:jc w:val="center"/>
        <w:ind w:right="4800"/>
        <w:spacing w:after="0"/>
        <w:rPr>
          <w:sz w:val="20"/>
          <w:szCs w:val="20"/>
          <w:color w:val="auto"/>
        </w:rPr>
      </w:pPr>
      <w:r>
        <w:rPr>
          <w:rFonts w:ascii="Arial" w:cs="Arial" w:eastAsia="Arial" w:hAnsi="Arial"/>
          <w:sz w:val="8"/>
          <w:szCs w:val="8"/>
          <w:color w:val="auto"/>
        </w:rPr>
        <w:t>Certificate Date</w:t>
      </w:r>
    </w:p>
    <w:p>
      <w:pPr>
        <w:spacing w:after="0" w:line="79" w:lineRule="exact"/>
        <w:rPr>
          <w:sz w:val="20"/>
          <w:szCs w:val="20"/>
          <w:color w:val="auto"/>
        </w:rPr>
      </w:pPr>
    </w:p>
    <w:p>
      <w:pPr>
        <w:sectPr>
          <w:pgSz w:w="11900" w:h="16838" w:orient="portrait"/>
          <w:cols w:equalWidth="0" w:num="2">
            <w:col w:w="5000" w:space="720"/>
            <w:col w:w="5380"/>
          </w:cols>
          <w:pgMar w:left="240" w:top="347" w:right="559" w:bottom="1440" w:gutter="0" w:footer="0" w:header="0"/>
          <w:type w:val="continuous"/>
        </w:sectPr>
      </w:pPr>
    </w:p>
    <w:p>
      <w:pPr>
        <w:ind w:left="10700"/>
        <w:spacing w:after="0"/>
        <w:rPr>
          <w:sz w:val="20"/>
          <w:szCs w:val="20"/>
          <w:color w:val="auto"/>
        </w:rPr>
      </w:pPr>
      <w:r>
        <w:rPr>
          <w:rFonts w:ascii="Arial" w:cs="Arial" w:eastAsia="Arial" w:hAnsi="Arial"/>
          <w:sz w:val="8"/>
          <w:szCs w:val="8"/>
          <w:b w:val="1"/>
          <w:bCs w:val="1"/>
          <w:color w:val="auto"/>
        </w:rPr>
        <w:t>At Cost</w:t>
      </w:r>
    </w:p>
    <w:p>
      <w:pPr>
        <w:spacing w:after="0" w:line="80" w:lineRule="exact"/>
        <w:rPr>
          <w:sz w:val="20"/>
          <w:szCs w:val="20"/>
          <w:color w:val="auto"/>
        </w:rPr>
      </w:pPr>
    </w:p>
    <w:p>
      <w:pPr>
        <w:jc w:val="right"/>
        <w:spacing w:after="0"/>
        <w:tabs>
          <w:tab w:leader="none" w:pos="20" w:val="left"/>
        </w:tabs>
        <w:rPr>
          <w:sz w:val="20"/>
          <w:szCs w:val="20"/>
          <w:color w:val="auto"/>
        </w:rPr>
      </w:pPr>
      <w:r>
        <w:rPr>
          <w:rFonts w:ascii="Arial" w:cs="Arial" w:eastAsia="Arial" w:hAnsi="Arial"/>
          <w:sz w:val="8"/>
          <w:szCs w:val="8"/>
          <w:color w:val="auto"/>
        </w:rPr>
        <w:t>Eligible Inventory</w:t>
      </w:r>
      <w:r>
        <w:rPr>
          <w:sz w:val="20"/>
          <w:szCs w:val="20"/>
          <w:color w:val="auto"/>
        </w:rPr>
        <w:tab/>
      </w:r>
      <w:r>
        <w:rPr>
          <w:rFonts w:ascii="Arial" w:cs="Arial" w:eastAsia="Arial" w:hAnsi="Arial"/>
          <w:sz w:val="8"/>
          <w:szCs w:val="8"/>
          <w:color w:val="auto"/>
        </w:rPr>
        <w:t>-</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8"/>
          <w:szCs w:val="8"/>
          <w:color w:val="auto"/>
        </w:rPr>
        <w:t>NOLV</w:t>
      </w:r>
    </w:p>
    <w:p>
      <w:pPr>
        <w:ind w:left="460"/>
        <w:spacing w:after="0"/>
        <w:rPr>
          <w:sz w:val="20"/>
          <w:szCs w:val="20"/>
          <w:color w:val="auto"/>
        </w:rPr>
      </w:pPr>
      <w:r>
        <w:rPr>
          <w:rFonts w:ascii="Arial" w:cs="Arial" w:eastAsia="Arial" w:hAnsi="Arial"/>
          <w:sz w:val="8"/>
          <w:szCs w:val="8"/>
          <w:color w:val="auto"/>
        </w:rPr>
        <w:t>Advance Rate (10% for Year 1, 7.5% for Year 2, 5% for Year 3 and thereafter)</w:t>
      </w:r>
    </w:p>
    <w:p>
      <w:pPr>
        <w:sectPr>
          <w:pgSz w:w="11900" w:h="16838" w:orient="portrait"/>
          <w:cols w:equalWidth="0" w:num="1">
            <w:col w:w="11100"/>
          </w:cols>
          <w:pgMar w:left="240" w:top="347" w:right="559" w:bottom="1440" w:gutter="0" w:footer="0" w:header="0"/>
          <w:type w:val="continuous"/>
        </w:sectPr>
      </w:pPr>
    </w:p>
    <w:p>
      <w:pPr>
        <w:spacing w:after="0" w:line="60" w:lineRule="exact"/>
        <w:rPr>
          <w:sz w:val="20"/>
          <w:szCs w:val="20"/>
          <w:color w:val="auto"/>
        </w:rPr>
      </w:pPr>
    </w:p>
    <w:p>
      <w:pPr>
        <w:ind w:left="120"/>
        <w:spacing w:after="0"/>
        <w:rPr>
          <w:sz w:val="20"/>
          <w:szCs w:val="20"/>
          <w:color w:val="auto"/>
        </w:rPr>
      </w:pPr>
      <w:r>
        <w:rPr>
          <w:rFonts w:ascii="Arial" w:cs="Arial" w:eastAsia="Arial" w:hAnsi="Arial"/>
          <w:sz w:val="8"/>
          <w:szCs w:val="8"/>
          <w:b w:val="1"/>
          <w:bCs w:val="1"/>
          <w:color w:val="auto"/>
        </w:rPr>
        <w:t>Total Inventory</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8"/>
          <w:szCs w:val="8"/>
          <w:b w:val="1"/>
          <w:bCs w:val="1"/>
          <w:color w:val="auto"/>
        </w:rPr>
        <w:t>Availability</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w:t>
      </w:r>
    </w:p>
    <w:p>
      <w:pPr>
        <w:spacing w:after="0" w:line="116" w:lineRule="exact"/>
        <w:rPr>
          <w:sz w:val="20"/>
          <w:szCs w:val="20"/>
          <w:color w:val="auto"/>
        </w:rPr>
      </w:pPr>
    </w:p>
    <w:p>
      <w:pPr>
        <w:sectPr>
          <w:pgSz w:w="11900" w:h="16838" w:orient="portrait"/>
          <w:cols w:equalWidth="0" w:num="2">
            <w:col w:w="5540" w:space="720"/>
            <w:col w:w="4840"/>
          </w:cols>
          <w:pgMar w:left="240" w:top="347" w:right="559" w:bottom="1440" w:gutter="0" w:footer="0" w:header="0"/>
          <w:type w:val="continuous"/>
        </w:sectPr>
      </w:pPr>
    </w:p>
    <w:p>
      <w:pPr>
        <w:ind w:left="120"/>
        <w:spacing w:after="0"/>
        <w:rPr>
          <w:sz w:val="20"/>
          <w:szCs w:val="20"/>
          <w:color w:val="auto"/>
        </w:rPr>
      </w:pPr>
      <w:r>
        <w:rPr>
          <w:rFonts w:ascii="Arial" w:cs="Arial" w:eastAsia="Arial" w:hAnsi="Arial"/>
          <w:sz w:val="8"/>
          <w:szCs w:val="8"/>
          <w:color w:val="auto"/>
        </w:rPr>
        <w:t>Eligible Credit Card Receivables</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8"/>
          <w:szCs w:val="8"/>
          <w:color w:val="auto"/>
        </w:rPr>
        <w:t>Advance Rate (10% for Year 1, 7.5% for Year 2, 5% for Year 3 and thereafter)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6"/>
          <w:szCs w:val="6"/>
          <w:color w:val="auto"/>
        </w:rPr>
        <w:t>-</w:t>
      </w:r>
    </w:p>
    <w:p>
      <w:pPr>
        <w:spacing w:after="0" w:line="245" w:lineRule="exact"/>
        <w:rPr>
          <w:sz w:val="20"/>
          <w:szCs w:val="20"/>
          <w:color w:val="auto"/>
        </w:rPr>
      </w:pPr>
    </w:p>
    <w:p>
      <w:pPr>
        <w:sectPr>
          <w:pgSz w:w="11900" w:h="16838" w:orient="portrait"/>
          <w:cols w:equalWidth="0" w:num="2">
            <w:col w:w="6780" w:space="720"/>
            <w:col w:w="3600"/>
          </w:cols>
          <w:pgMar w:left="240" w:top="347" w:right="559" w:bottom="1440" w:gutter="0" w:footer="0" w:header="0"/>
          <w:type w:val="continuous"/>
        </w:sectPr>
      </w:pPr>
    </w:p>
    <w:p>
      <w:pPr>
        <w:ind w:left="120"/>
        <w:spacing w:after="0"/>
        <w:rPr>
          <w:sz w:val="20"/>
          <w:szCs w:val="20"/>
          <w:color w:val="auto"/>
        </w:rPr>
      </w:pPr>
      <w:r>
        <w:rPr>
          <w:rFonts w:ascii="Arial" w:cs="Arial" w:eastAsia="Arial" w:hAnsi="Arial"/>
          <w:sz w:val="8"/>
          <w:szCs w:val="8"/>
          <w:b w:val="1"/>
          <w:bCs w:val="1"/>
          <w:color w:val="auto"/>
        </w:rPr>
        <w:t>Credit Card Receivables</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8"/>
          <w:szCs w:val="8"/>
          <w:b w:val="1"/>
          <w:bCs w:val="1"/>
          <w:color w:val="auto"/>
        </w:rPr>
        <w:t>Availability</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center"/>
        <w:ind w:right="4780"/>
        <w:spacing w:after="0"/>
        <w:rPr>
          <w:sz w:val="20"/>
          <w:szCs w:val="20"/>
          <w:color w:val="auto"/>
        </w:rPr>
      </w:pPr>
      <w:r>
        <w:rPr>
          <w:rFonts w:ascii="Arial" w:cs="Arial" w:eastAsia="Arial" w:hAnsi="Arial"/>
          <w:sz w:val="8"/>
          <w:szCs w:val="8"/>
          <w:b w:val="1"/>
          <w:bCs w:val="1"/>
          <w:color w:val="auto"/>
        </w:rPr>
        <w:t>$</w:t>
      </w:r>
    </w:p>
    <w:p>
      <w:pPr>
        <w:spacing w:after="0" w:line="116" w:lineRule="exact"/>
        <w:rPr>
          <w:sz w:val="20"/>
          <w:szCs w:val="20"/>
          <w:color w:val="auto"/>
        </w:rPr>
      </w:pPr>
    </w:p>
    <w:p>
      <w:pPr>
        <w:sectPr>
          <w:pgSz w:w="11900" w:h="16838" w:orient="portrait"/>
          <w:cols w:equalWidth="0" w:num="2">
            <w:col w:w="5540" w:space="720"/>
            <w:col w:w="4840"/>
          </w:cols>
          <w:pgMar w:left="240" w:top="347" w:right="559" w:bottom="1440" w:gutter="0" w:footer="0" w:header="0"/>
          <w:type w:val="continuous"/>
        </w:sectPr>
      </w:pPr>
    </w:p>
    <w:p>
      <w:pPr>
        <w:ind w:left="120"/>
        <w:spacing w:after="0"/>
        <w:rPr>
          <w:sz w:val="20"/>
          <w:szCs w:val="20"/>
          <w:color w:val="auto"/>
        </w:rPr>
      </w:pPr>
      <w:r>
        <w:rPr>
          <w:rFonts w:ascii="Arial" w:cs="Arial" w:eastAsia="Arial" w:hAnsi="Arial"/>
          <w:sz w:val="8"/>
          <w:szCs w:val="8"/>
          <w:color w:val="auto"/>
        </w:rPr>
        <w:t>Forced Liquidation Value of Eligible Trade Names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8"/>
          <w:szCs w:val="8"/>
          <w:color w:val="auto"/>
        </w:rPr>
        <w:t>Advance Rate (50% for Year 1, 45% for Year 2, 40% for Year 3, 35% for Year 4, 30% for Year 5)</w:t>
      </w:r>
    </w:p>
    <w:p>
      <w:pPr>
        <w:sectPr>
          <w:pgSz w:w="11900" w:h="16838" w:orient="portrait"/>
          <w:cols w:equalWidth="0" w:num="1">
            <w:col w:w="11100"/>
          </w:cols>
          <w:pgMar w:left="240" w:top="347" w:right="559" w:bottom="1440" w:gutter="0" w:footer="0" w:header="0"/>
          <w:type w:val="continuous"/>
        </w:sectPr>
      </w:pPr>
    </w:p>
    <w:p>
      <w:pPr>
        <w:spacing w:after="0" w:line="51" w:lineRule="exact"/>
        <w:rPr>
          <w:sz w:val="20"/>
          <w:szCs w:val="20"/>
          <w:color w:val="auto"/>
        </w:rPr>
      </w:pPr>
    </w:p>
    <w:p>
      <w:pPr>
        <w:ind w:left="120"/>
        <w:spacing w:after="0"/>
        <w:rPr>
          <w:sz w:val="20"/>
          <w:szCs w:val="20"/>
          <w:color w:val="auto"/>
        </w:rPr>
      </w:pPr>
      <w:r>
        <w:rPr>
          <w:rFonts w:ascii="Arial" w:cs="Arial" w:eastAsia="Arial" w:hAnsi="Arial"/>
          <w:sz w:val="8"/>
          <w:szCs w:val="8"/>
          <w:b w:val="1"/>
          <w:bCs w:val="1"/>
          <w:color w:val="auto"/>
        </w:rPr>
        <w:t>Trade Name Availability (capped at</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8"/>
          <w:szCs w:val="8"/>
          <w:b w:val="1"/>
          <w:bCs w:val="1"/>
          <w:color w:val="auto"/>
        </w:rPr>
        <w:t>$4MM)</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jc w:val="center"/>
        <w:ind w:right="4960"/>
        <w:spacing w:after="0"/>
        <w:rPr>
          <w:sz w:val="20"/>
          <w:szCs w:val="20"/>
          <w:color w:val="auto"/>
        </w:rPr>
      </w:pPr>
      <w:r>
        <w:rPr>
          <w:rFonts w:ascii="Arial" w:cs="Arial" w:eastAsia="Arial" w:hAnsi="Arial"/>
          <w:sz w:val="8"/>
          <w:szCs w:val="8"/>
          <w:b w:val="1"/>
          <w:bCs w:val="1"/>
          <w:color w:val="auto"/>
        </w:rPr>
        <w:t>$</w:t>
      </w:r>
    </w:p>
    <w:p>
      <w:pPr>
        <w:spacing w:after="0" w:line="80" w:lineRule="exact"/>
        <w:rPr>
          <w:sz w:val="20"/>
          <w:szCs w:val="20"/>
          <w:color w:val="auto"/>
        </w:rPr>
      </w:pPr>
    </w:p>
    <w:p>
      <w:pPr>
        <w:sectPr>
          <w:pgSz w:w="11900" w:h="16838" w:orient="portrait"/>
          <w:cols w:equalWidth="0" w:num="2">
            <w:col w:w="5360" w:space="720"/>
            <w:col w:w="5020"/>
          </w:cols>
          <w:pgMar w:left="240" w:top="347" w:right="559" w:bottom="1440" w:gutter="0" w:footer="0" w:header="0"/>
          <w:type w:val="continuous"/>
        </w:sectPr>
      </w:pPr>
    </w:p>
    <w:p>
      <w:pPr>
        <w:ind w:left="460"/>
        <w:spacing w:after="0"/>
        <w:rPr>
          <w:sz w:val="20"/>
          <w:szCs w:val="20"/>
          <w:color w:val="auto"/>
        </w:rPr>
      </w:pPr>
      <w:r>
        <w:rPr>
          <w:rFonts w:ascii="Arial" w:cs="Arial" w:eastAsia="Arial" w:hAnsi="Arial"/>
          <w:sz w:val="8"/>
          <w:szCs w:val="8"/>
          <w:color w:val="auto"/>
        </w:rPr>
        <w:t>LESS: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8"/>
          <w:szCs w:val="8"/>
          <w:color w:val="auto"/>
        </w:rPr>
        <w:t>Availability Reserves relating to Eligible Trade Names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8"/>
          <w:szCs w:val="8"/>
          <w:color w:val="auto"/>
        </w:rPr>
        <w:t>-</w:t>
      </w:r>
    </w:p>
    <w:p>
      <w:pPr>
        <w:spacing w:after="0" w:line="5" w:lineRule="exact"/>
        <w:rPr>
          <w:sz w:val="20"/>
          <w:szCs w:val="20"/>
          <w:color w:val="auto"/>
        </w:rPr>
      </w:pPr>
    </w:p>
    <w:p>
      <w:pPr>
        <w:sectPr>
          <w:pgSz w:w="11900" w:h="16838" w:orient="portrait"/>
          <w:cols w:equalWidth="0" w:num="3">
            <w:col w:w="700" w:space="720"/>
            <w:col w:w="1980" w:space="720"/>
            <w:col w:w="6980"/>
          </w:cols>
          <w:pgMar w:left="240" w:top="347" w:right="559" w:bottom="1440" w:gutter="0" w:footer="0" w:header="0"/>
          <w:type w:val="continuous"/>
        </w:sectPr>
      </w:pPr>
    </w:p>
    <w:p>
      <w:pPr>
        <w:spacing w:after="0"/>
        <w:rPr>
          <w:sz w:val="20"/>
          <w:szCs w:val="20"/>
          <w:color w:val="auto"/>
        </w:rPr>
      </w:pPr>
      <w:r>
        <w:rPr>
          <w:rFonts w:ascii="Arial" w:cs="Arial" w:eastAsia="Arial" w:hAnsi="Arial"/>
          <w:sz w:val="8"/>
          <w:szCs w:val="8"/>
          <w:b w:val="1"/>
          <w:bCs w:val="1"/>
          <w:color w:val="auto"/>
        </w:rPr>
        <w:t>Total Collateral</w:t>
      </w:r>
    </w:p>
    <w:p>
      <w:pPr>
        <w:spacing w:after="0"/>
        <w:rPr>
          <w:sz w:val="20"/>
          <w:szCs w:val="20"/>
          <w:color w:val="auto"/>
        </w:rPr>
      </w:pPr>
      <w:r>
        <w:rPr>
          <w:rFonts w:ascii="Arial" w:cs="Arial" w:eastAsia="Arial" w:hAnsi="Arial"/>
          <w:sz w:val="8"/>
          <w:szCs w:val="8"/>
          <w:b w:val="1"/>
          <w:bCs w:val="1"/>
          <w:color w:val="auto"/>
        </w:rPr>
        <w:t>Availability</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Arial" w:cs="Arial" w:eastAsia="Arial" w:hAnsi="Arial"/>
          <w:sz w:val="7"/>
          <w:szCs w:val="7"/>
          <w:b w:val="1"/>
          <w:bCs w:val="1"/>
          <w:color w:val="auto"/>
        </w:rPr>
        <w:t>$</w:t>
      </w:r>
    </w:p>
    <w:p>
      <w:pPr>
        <w:spacing w:after="0" w:line="221" w:lineRule="exact"/>
        <w:rPr>
          <w:sz w:val="20"/>
          <w:szCs w:val="20"/>
          <w:color w:val="auto"/>
        </w:rPr>
      </w:pPr>
    </w:p>
    <w:p>
      <w:pPr>
        <w:sectPr>
          <w:pgSz w:w="11900" w:h="16838" w:orient="portrait"/>
          <w:cols w:equalWidth="0" w:num="2">
            <w:col w:w="5380" w:space="720"/>
            <w:col w:w="5000"/>
          </w:cols>
          <w:pgMar w:left="240" w:top="347" w:right="559" w:bottom="1440" w:gutter="0" w:footer="0" w:header="0"/>
          <w:type w:val="continuous"/>
        </w:sectPr>
      </w:pPr>
    </w:p>
    <w:p>
      <w:pPr>
        <w:spacing w:after="0" w:line="193" w:lineRule="exact"/>
        <w:rPr>
          <w:sz w:val="20"/>
          <w:szCs w:val="20"/>
          <w:color w:val="auto"/>
        </w:rPr>
      </w:pPr>
    </w:p>
    <w:p>
      <w:pPr>
        <w:ind w:left="120"/>
        <w:spacing w:after="0"/>
        <w:rPr>
          <w:sz w:val="20"/>
          <w:szCs w:val="20"/>
          <w:color w:val="auto"/>
        </w:rPr>
      </w:pPr>
      <w:r>
        <w:rPr>
          <w:rFonts w:ascii="Arial" w:cs="Arial" w:eastAsia="Arial" w:hAnsi="Arial"/>
          <w:sz w:val="8"/>
          <w:szCs w:val="8"/>
          <w:b w:val="1"/>
          <w:bCs w:val="1"/>
          <w:color w:val="auto"/>
        </w:rPr>
        <w:t>FILO Loan Principal</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8"/>
          <w:szCs w:val="8"/>
          <w:i w:val="1"/>
          <w:iCs w:val="1"/>
          <w:color w:val="auto"/>
        </w:rPr>
        <w:t>FILO Pushdown Reserve</w:t>
      </w:r>
    </w:p>
    <w:p>
      <w:pPr>
        <w:spacing w:after="0" w:line="232" w:lineRule="exact"/>
        <w:rPr>
          <w:sz w:val="20"/>
          <w:szCs w:val="20"/>
          <w:color w:val="auto"/>
        </w:rPr>
      </w:pPr>
    </w:p>
    <w:p>
      <w:pPr>
        <w:spacing w:after="0"/>
        <w:rPr>
          <w:sz w:val="20"/>
          <w:szCs w:val="20"/>
          <w:color w:val="auto"/>
        </w:rPr>
      </w:pPr>
      <w:r>
        <w:rPr>
          <w:rFonts w:ascii="Arial" w:cs="Arial" w:eastAsia="Arial" w:hAnsi="Arial"/>
          <w:sz w:val="10"/>
          <w:szCs w:val="10"/>
          <w:color w:val="auto"/>
        </w:rPr>
        <w:t>DB1/ 97584532.1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242570</wp:posOffset>
            </wp:positionV>
            <wp:extent cx="7329170" cy="368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100"/>
          </w:cols>
          <w:pgMar w:left="240" w:top="347" w:right="559" w:bottom="1440" w:gutter="0" w:footer="0" w:header="0"/>
          <w:type w:val="continuous"/>
        </w:sectPr>
      </w:pPr>
    </w:p>
    <w:bookmarkStart w:id="226" w:name="page227"/>
    <w:bookmarkEnd w:id="226"/>
    <w:p>
      <w:pPr>
        <w:ind w:left="5280"/>
        <w:spacing w:after="0"/>
        <w:rPr>
          <w:sz w:val="20"/>
          <w:szCs w:val="20"/>
          <w:color w:val="auto"/>
        </w:rPr>
      </w:pPr>
      <w:r>
        <w:rPr>
          <w:rFonts w:ascii="Arial" w:cs="Arial" w:eastAsia="Arial" w:hAnsi="Arial"/>
          <w:sz w:val="14"/>
          <w:szCs w:val="14"/>
          <w:b w:val="1"/>
          <w:bCs w:val="1"/>
          <w:color w:val="auto"/>
        </w:rPr>
        <w:t>EXHIBIT G-1</w:t>
      </w:r>
    </w:p>
    <w:p>
      <w:pPr>
        <w:spacing w:after="0" w:line="149" w:lineRule="exact"/>
        <w:rPr>
          <w:sz w:val="20"/>
          <w:szCs w:val="20"/>
          <w:color w:val="auto"/>
        </w:rPr>
      </w:pPr>
    </w:p>
    <w:p>
      <w:pPr>
        <w:ind w:left="2880"/>
        <w:spacing w:after="0"/>
        <w:rPr>
          <w:sz w:val="20"/>
          <w:szCs w:val="20"/>
          <w:color w:val="auto"/>
        </w:rPr>
      </w:pPr>
      <w:r>
        <w:rPr>
          <w:rFonts w:ascii="Arial" w:cs="Arial" w:eastAsia="Arial" w:hAnsi="Arial"/>
          <w:sz w:val="14"/>
          <w:szCs w:val="14"/>
          <w:u w:val="single" w:color="auto"/>
          <w:color w:val="auto"/>
        </w:rPr>
        <w:t>FORM OF U.S. TAX COMPLIANCE CERTIFICATE</w:t>
      </w:r>
    </w:p>
    <w:p>
      <w:pPr>
        <w:spacing w:after="0" w:line="141"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auto"/>
        </w:rPr>
        <w:t>(For Foreign Lenders That Are Not Partnerships For U.S. Federal Income Tax Purposes)</w:t>
      </w:r>
    </w:p>
    <w:p>
      <w:pPr>
        <w:spacing w:after="0" w:line="149" w:lineRule="exact"/>
        <w:rPr>
          <w:sz w:val="20"/>
          <w:szCs w:val="20"/>
          <w:color w:val="auto"/>
        </w:rPr>
      </w:pPr>
    </w:p>
    <w:p>
      <w:pPr>
        <w:jc w:val="both"/>
        <w:ind w:left="700" w:firstLine="675"/>
        <w:spacing w:after="0" w:line="270" w:lineRule="auto"/>
        <w:rPr>
          <w:sz w:val="20"/>
          <w:szCs w:val="20"/>
          <w:color w:val="auto"/>
        </w:rPr>
      </w:pPr>
      <w:r>
        <w:rPr>
          <w:rFonts w:ascii="Arial" w:cs="Arial" w:eastAsia="Arial" w:hAnsi="Arial"/>
          <w:sz w:val="13"/>
          <w:szCs w:val="13"/>
          <w:color w:val="auto"/>
        </w:rPr>
        <w:t>Reference is made to the Seventh Amended and Restated Credit Agreement dated as of May 24, 2018 (as amended, restated, supplemented or otherwise modified and in effect from time to time, the “</w:t>
      </w:r>
      <w:r>
        <w:rPr>
          <w:rFonts w:ascii="Arial" w:cs="Arial" w:eastAsia="Arial" w:hAnsi="Arial"/>
          <w:sz w:val="13"/>
          <w:szCs w:val="13"/>
          <w:u w:val="single" w:color="auto"/>
          <w:color w:val="auto"/>
        </w:rPr>
        <w:t>Credit Agreement</w:t>
      </w:r>
      <w:r>
        <w:rPr>
          <w:rFonts w:ascii="Arial" w:cs="Arial" w:eastAsia="Arial" w:hAnsi="Arial"/>
          <w:sz w:val="13"/>
          <w:szCs w:val="13"/>
          <w:color w:val="auto"/>
        </w:rPr>
        <w:t>”) by, among others, (i) DESTINATION XL GROUP, INC., a Delaware corporation, for itself and as Lead Borrower (in such capacity, the “</w:t>
      </w:r>
      <w:r>
        <w:rPr>
          <w:rFonts w:ascii="Arial" w:cs="Arial" w:eastAsia="Arial" w:hAnsi="Arial"/>
          <w:sz w:val="13"/>
          <w:szCs w:val="13"/>
          <w:u w:val="single" w:color="auto"/>
          <w:color w:val="auto"/>
        </w:rPr>
        <w:t>Lead Borrower</w:t>
      </w:r>
      <w:r>
        <w:rPr>
          <w:rFonts w:ascii="Arial" w:cs="Arial" w:eastAsia="Arial" w:hAnsi="Arial"/>
          <w:sz w:val="13"/>
          <w:szCs w:val="13"/>
          <w:color w:val="auto"/>
        </w:rPr>
        <w:t>”) for the other Borrowers party thereto from time to time (individually, a “</w:t>
      </w:r>
      <w:r>
        <w:rPr>
          <w:rFonts w:ascii="Arial" w:cs="Arial" w:eastAsia="Arial" w:hAnsi="Arial"/>
          <w:sz w:val="13"/>
          <w:szCs w:val="13"/>
          <w:u w:val="single" w:color="auto"/>
          <w:color w:val="auto"/>
        </w:rPr>
        <w:t>Borrower</w:t>
      </w:r>
      <w:r>
        <w:rPr>
          <w:rFonts w:ascii="Arial" w:cs="Arial" w:eastAsia="Arial" w:hAnsi="Arial"/>
          <w:sz w:val="13"/>
          <w:szCs w:val="13"/>
          <w:color w:val="auto"/>
        </w:rPr>
        <w:t>” and, collectively, the “</w:t>
      </w:r>
      <w:r>
        <w:rPr>
          <w:rFonts w:ascii="Arial" w:cs="Arial" w:eastAsia="Arial" w:hAnsi="Arial"/>
          <w:sz w:val="13"/>
          <w:szCs w:val="13"/>
          <w:u w:val="single" w:color="auto"/>
          <w:color w:val="auto"/>
        </w:rPr>
        <w:t>Borrowers</w:t>
      </w:r>
      <w:r>
        <w:rPr>
          <w:rFonts w:ascii="Arial" w:cs="Arial" w:eastAsia="Arial" w:hAnsi="Arial"/>
          <w:sz w:val="13"/>
          <w:szCs w:val="13"/>
          <w:color w:val="auto"/>
        </w:rPr>
        <w:t>”), (ii) the Borrowers party thereto from time to time, (iii) the Guarantors party thereto from time to time, (iv) Bank of America, N.A., as administrative agent and collateral agent (in such capacities, the “</w:t>
      </w:r>
      <w:r>
        <w:rPr>
          <w:rFonts w:ascii="Arial" w:cs="Arial" w:eastAsia="Arial" w:hAnsi="Arial"/>
          <w:sz w:val="13"/>
          <w:szCs w:val="13"/>
          <w:u w:val="single" w:color="auto"/>
          <w:color w:val="auto"/>
        </w:rPr>
        <w:t>Agent</w:t>
      </w:r>
      <w:r>
        <w:rPr>
          <w:rFonts w:ascii="Arial" w:cs="Arial" w:eastAsia="Arial" w:hAnsi="Arial"/>
          <w:sz w:val="13"/>
          <w:szCs w:val="13"/>
          <w:color w:val="auto"/>
        </w:rPr>
        <w:t>”) for its own benefit and the benefit of the other Credit Parties referred to therein, and (v) the lenders from time to time party thereto (individually, a “</w:t>
      </w:r>
      <w:r>
        <w:rPr>
          <w:rFonts w:ascii="Arial" w:cs="Arial" w:eastAsia="Arial" w:hAnsi="Arial"/>
          <w:sz w:val="13"/>
          <w:szCs w:val="13"/>
          <w:u w:val="single" w:color="auto"/>
          <w:color w:val="auto"/>
        </w:rPr>
        <w:t>Lender</w:t>
      </w:r>
      <w:r>
        <w:rPr>
          <w:rFonts w:ascii="Arial" w:cs="Arial" w:eastAsia="Arial" w:hAnsi="Arial"/>
          <w:sz w:val="13"/>
          <w:szCs w:val="13"/>
          <w:color w:val="auto"/>
        </w:rPr>
        <w:t>” and, collectively, the “</w:t>
      </w:r>
      <w:r>
        <w:rPr>
          <w:rFonts w:ascii="Arial" w:cs="Arial" w:eastAsia="Arial" w:hAnsi="Arial"/>
          <w:sz w:val="13"/>
          <w:szCs w:val="13"/>
          <w:u w:val="single" w:color="auto"/>
          <w:color w:val="auto"/>
        </w:rPr>
        <w:t>Lenders</w:t>
      </w:r>
      <w:r>
        <w:rPr>
          <w:rFonts w:ascii="Arial" w:cs="Arial" w:eastAsia="Arial" w:hAnsi="Arial"/>
          <w:sz w:val="13"/>
          <w:szCs w:val="13"/>
          <w:color w:val="auto"/>
        </w:rPr>
        <w:t>”). All capitalized terms used herein and not otherwise defined shall have the same meaning herein as in the Credit Agreement.</w:t>
      </w:r>
    </w:p>
    <w:p>
      <w:pPr>
        <w:spacing w:after="0" w:line="108" w:lineRule="exact"/>
        <w:rPr>
          <w:sz w:val="20"/>
          <w:szCs w:val="20"/>
          <w:color w:val="auto"/>
        </w:rPr>
      </w:pPr>
    </w:p>
    <w:p>
      <w:pPr>
        <w:jc w:val="both"/>
        <w:ind w:left="700" w:firstLine="675"/>
        <w:spacing w:after="0" w:line="252" w:lineRule="auto"/>
        <w:rPr>
          <w:sz w:val="20"/>
          <w:szCs w:val="20"/>
          <w:color w:val="auto"/>
        </w:rPr>
      </w:pPr>
      <w:r>
        <w:rPr>
          <w:rFonts w:ascii="Arial" w:cs="Arial" w:eastAsia="Arial" w:hAnsi="Arial"/>
          <w:sz w:val="14"/>
          <w:szCs w:val="14"/>
          <w:color w:val="auto"/>
        </w:rPr>
        <w:t>Pursuant to the provisions of Section 3.01(e)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the Lead Borrower within the meaning of Section 871(h)(3)(B) of the Code and (iv) it is not a controlled foreign corporation related to the Lead Borrower as described in Section 881(c)(3)(C) of the Code.</w:t>
      </w:r>
    </w:p>
    <w:p>
      <w:pPr>
        <w:spacing w:after="0" w:line="116" w:lineRule="exact"/>
        <w:rPr>
          <w:sz w:val="20"/>
          <w:szCs w:val="20"/>
          <w:color w:val="auto"/>
        </w:rPr>
      </w:pPr>
    </w:p>
    <w:p>
      <w:pPr>
        <w:jc w:val="both"/>
        <w:ind w:left="700" w:firstLine="675"/>
        <w:spacing w:after="0" w:line="277" w:lineRule="auto"/>
        <w:rPr>
          <w:sz w:val="20"/>
          <w:szCs w:val="20"/>
          <w:color w:val="auto"/>
        </w:rPr>
      </w:pPr>
      <w:r>
        <w:rPr>
          <w:rFonts w:ascii="Arial" w:cs="Arial" w:eastAsia="Arial" w:hAnsi="Arial"/>
          <w:sz w:val="13"/>
          <w:szCs w:val="13"/>
          <w:color w:val="auto"/>
        </w:rPr>
        <w:t>The undersigned has furnished the Agent and the Lead Borrower with a certificate of its non-U.S. Person status on IRS Form W-8BEN or W8BEN-E, as applicable. By executing this certificate, the undersigned agrees that (1) if the information provided on this certificate changes, the undersigned shall promptly so inform the Lead Borrower and the Agent, and (2) the undersigned shall have at all times furnished the Lead Borrower and the Agent with a properly completed and currently effective certificate in either the calendar year in which each payment is to be made to the undersigned, or in either of the two calendar years preceding such payments.</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[NAME OF LENDER]</w:t>
      </w:r>
    </w:p>
    <w:p>
      <w:pPr>
        <w:spacing w:after="0" w:line="145"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By:</w:t>
      </w:r>
    </w:p>
    <w:p>
      <w:pPr>
        <w:spacing w:after="0" w:line="145" w:lineRule="exact"/>
        <w:rPr>
          <w:sz w:val="20"/>
          <w:szCs w:val="20"/>
          <w:color w:val="auto"/>
        </w:rPr>
      </w:pPr>
    </w:p>
    <w:p>
      <w:pPr>
        <w:ind w:left="2240"/>
        <w:spacing w:after="0"/>
        <w:rPr>
          <w:sz w:val="20"/>
          <w:szCs w:val="20"/>
          <w:color w:val="auto"/>
        </w:rPr>
      </w:pPr>
      <w:r>
        <w:rPr>
          <w:rFonts w:ascii="Arial" w:cs="Arial" w:eastAsia="Arial" w:hAnsi="Arial"/>
          <w:sz w:val="14"/>
          <w:szCs w:val="14"/>
          <w:color w:val="auto"/>
        </w:rPr>
        <w:t>Name:</w:t>
      </w:r>
    </w:p>
    <w:p>
      <w:pPr>
        <w:spacing w:after="0" w:line="145" w:lineRule="exact"/>
        <w:rPr>
          <w:sz w:val="20"/>
          <w:szCs w:val="20"/>
          <w:color w:val="auto"/>
        </w:rPr>
      </w:pPr>
    </w:p>
    <w:p>
      <w:pPr>
        <w:ind w:left="2240"/>
        <w:spacing w:after="0"/>
        <w:rPr>
          <w:sz w:val="20"/>
          <w:szCs w:val="20"/>
          <w:color w:val="auto"/>
        </w:rPr>
      </w:pPr>
      <w:r>
        <w:rPr>
          <w:rFonts w:ascii="Arial" w:cs="Arial" w:eastAsia="Arial" w:hAnsi="Arial"/>
          <w:sz w:val="14"/>
          <w:szCs w:val="14"/>
          <w:color w:val="auto"/>
        </w:rPr>
        <w:t>Title:</w:t>
      </w:r>
    </w:p>
    <w:p>
      <w:pPr>
        <w:spacing w:after="0" w:line="145" w:lineRule="exact"/>
        <w:rPr>
          <w:sz w:val="20"/>
          <w:szCs w:val="20"/>
          <w:color w:val="auto"/>
        </w:rPr>
      </w:pPr>
    </w:p>
    <w:tbl>
      <w:tblPr>
        <w:tblLayout w:type="fixed"/>
        <w:tblInd w:w="1480" w:type="dxa"/>
        <w:tblCellMar>
          <w:top w:w="0" w:type="dxa"/>
          <w:left w:w="0" w:type="dxa"/>
          <w:bottom w:w="0" w:type="dxa"/>
          <w:right w:w="0" w:type="dxa"/>
        </w:tblCellMar>
      </w:tblPr>
      <w:tr>
        <w:trPr>
          <w:trHeight w:val="182"/>
        </w:trPr>
        <w:tc>
          <w:tcPr>
            <w:tcW w:w="1180" w:type="dxa"/>
            <w:vAlign w:val="bottom"/>
          </w:tcPr>
          <w:p>
            <w:pPr>
              <w:spacing w:after="0"/>
              <w:rPr>
                <w:sz w:val="20"/>
                <w:szCs w:val="20"/>
                <w:color w:val="auto"/>
              </w:rPr>
            </w:pPr>
            <w:r>
              <w:rPr>
                <w:rFonts w:ascii="Arial" w:cs="Arial" w:eastAsia="Arial" w:hAnsi="Arial"/>
                <w:sz w:val="14"/>
                <w:szCs w:val="14"/>
                <w:color w:val="auto"/>
              </w:rPr>
              <w:t>Date:</w:t>
            </w:r>
          </w:p>
        </w:tc>
        <w:tc>
          <w:tcPr>
            <w:tcW w:w="1260" w:type="dxa"/>
            <w:vAlign w:val="bottom"/>
          </w:tcPr>
          <w:p>
            <w:pPr>
              <w:jc w:val="right"/>
              <w:spacing w:after="0"/>
              <w:rPr>
                <w:sz w:val="20"/>
                <w:szCs w:val="20"/>
                <w:color w:val="auto"/>
              </w:rPr>
            </w:pPr>
            <w:r>
              <w:rPr>
                <w:rFonts w:ascii="Arial" w:cs="Arial" w:eastAsia="Arial" w:hAnsi="Arial"/>
                <w:sz w:val="14"/>
                <w:szCs w:val="14"/>
                <w:color w:val="auto"/>
              </w:rPr>
              <w:t>, 20[ ]</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0"/>
          <w:szCs w:val="10"/>
          <w:color w:val="auto"/>
        </w:rPr>
        <w:t>DB1/ 97585334.1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242570</wp:posOffset>
            </wp:positionV>
            <wp:extent cx="7329170" cy="368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740"/>
          </w:cols>
          <w:pgMar w:left="240" w:top="301" w:right="919" w:bottom="1440" w:gutter="0" w:footer="0" w:header="0"/>
        </w:sectPr>
      </w:pPr>
    </w:p>
    <w:bookmarkStart w:id="227" w:name="page228"/>
    <w:bookmarkEnd w:id="227"/>
    <w:p>
      <w:pPr>
        <w:ind w:left="5280"/>
        <w:spacing w:after="0"/>
        <w:rPr>
          <w:sz w:val="20"/>
          <w:szCs w:val="20"/>
          <w:color w:val="auto"/>
        </w:rPr>
      </w:pPr>
      <w:r>
        <w:rPr>
          <w:rFonts w:ascii="Arial" w:cs="Arial" w:eastAsia="Arial" w:hAnsi="Arial"/>
          <w:sz w:val="14"/>
          <w:szCs w:val="14"/>
          <w:b w:val="1"/>
          <w:bCs w:val="1"/>
          <w:color w:val="auto"/>
        </w:rPr>
        <w:t>EXHIBIT G-2</w:t>
      </w:r>
    </w:p>
    <w:p>
      <w:pPr>
        <w:spacing w:after="0" w:line="149" w:lineRule="exact"/>
        <w:rPr>
          <w:sz w:val="20"/>
          <w:szCs w:val="20"/>
          <w:color w:val="auto"/>
        </w:rPr>
      </w:pPr>
    </w:p>
    <w:p>
      <w:pPr>
        <w:ind w:left="2880"/>
        <w:spacing w:after="0"/>
        <w:rPr>
          <w:sz w:val="20"/>
          <w:szCs w:val="20"/>
          <w:color w:val="auto"/>
        </w:rPr>
      </w:pPr>
      <w:r>
        <w:rPr>
          <w:rFonts w:ascii="Arial" w:cs="Arial" w:eastAsia="Arial" w:hAnsi="Arial"/>
          <w:sz w:val="14"/>
          <w:szCs w:val="14"/>
          <w:u w:val="single" w:color="auto"/>
          <w:color w:val="auto"/>
        </w:rPr>
        <w:t>FORM OF U.S. TAX COMPLIANCE CERTIFICATE</w:t>
      </w:r>
    </w:p>
    <w:p>
      <w:pPr>
        <w:spacing w:after="0" w:line="141" w:lineRule="exact"/>
        <w:rPr>
          <w:sz w:val="20"/>
          <w:szCs w:val="20"/>
          <w:color w:val="auto"/>
        </w:rPr>
      </w:pPr>
    </w:p>
    <w:p>
      <w:pPr>
        <w:ind w:left="2860"/>
        <w:spacing w:after="0"/>
        <w:rPr>
          <w:sz w:val="20"/>
          <w:szCs w:val="20"/>
          <w:color w:val="auto"/>
        </w:rPr>
      </w:pPr>
      <w:r>
        <w:rPr>
          <w:rFonts w:ascii="Arial" w:cs="Arial" w:eastAsia="Arial" w:hAnsi="Arial"/>
          <w:sz w:val="14"/>
          <w:szCs w:val="14"/>
          <w:b w:val="1"/>
          <w:bCs w:val="1"/>
          <w:color w:val="auto"/>
        </w:rPr>
        <w:t>(For Foreign Participants That Are Not Partnerships For U.S. Federal Income Tax Purposes)</w:t>
      </w:r>
    </w:p>
    <w:p>
      <w:pPr>
        <w:spacing w:after="0" w:line="149" w:lineRule="exact"/>
        <w:rPr>
          <w:sz w:val="20"/>
          <w:szCs w:val="20"/>
          <w:color w:val="auto"/>
        </w:rPr>
      </w:pPr>
    </w:p>
    <w:p>
      <w:pPr>
        <w:jc w:val="both"/>
        <w:ind w:left="700" w:firstLine="675"/>
        <w:spacing w:after="0" w:line="270" w:lineRule="auto"/>
        <w:rPr>
          <w:sz w:val="20"/>
          <w:szCs w:val="20"/>
          <w:color w:val="auto"/>
        </w:rPr>
      </w:pPr>
      <w:r>
        <w:rPr>
          <w:rFonts w:ascii="Arial" w:cs="Arial" w:eastAsia="Arial" w:hAnsi="Arial"/>
          <w:sz w:val="13"/>
          <w:szCs w:val="13"/>
          <w:color w:val="auto"/>
        </w:rPr>
        <w:t>Reference is made to the Seventh Amended and Restated Credit Agreement dated as of May 24, 2018 (as amended, restated, supplemented or otherwise modified and in effect from time to time, the “</w:t>
      </w:r>
      <w:r>
        <w:rPr>
          <w:rFonts w:ascii="Arial" w:cs="Arial" w:eastAsia="Arial" w:hAnsi="Arial"/>
          <w:sz w:val="13"/>
          <w:szCs w:val="13"/>
          <w:u w:val="single" w:color="auto"/>
          <w:color w:val="auto"/>
        </w:rPr>
        <w:t>Credit Agreement</w:t>
      </w:r>
      <w:r>
        <w:rPr>
          <w:rFonts w:ascii="Arial" w:cs="Arial" w:eastAsia="Arial" w:hAnsi="Arial"/>
          <w:sz w:val="13"/>
          <w:szCs w:val="13"/>
          <w:color w:val="auto"/>
        </w:rPr>
        <w:t>”) by, among others, (i) DESTINATION XL GROUP, INC., a Delaware corporation, for itself and as Lead Borrower (in such capacity, the “</w:t>
      </w:r>
      <w:r>
        <w:rPr>
          <w:rFonts w:ascii="Arial" w:cs="Arial" w:eastAsia="Arial" w:hAnsi="Arial"/>
          <w:sz w:val="13"/>
          <w:szCs w:val="13"/>
          <w:u w:val="single" w:color="auto"/>
          <w:color w:val="auto"/>
        </w:rPr>
        <w:t>Lead Borrower</w:t>
      </w:r>
      <w:r>
        <w:rPr>
          <w:rFonts w:ascii="Arial" w:cs="Arial" w:eastAsia="Arial" w:hAnsi="Arial"/>
          <w:sz w:val="13"/>
          <w:szCs w:val="13"/>
          <w:color w:val="auto"/>
        </w:rPr>
        <w:t>”) for the other Borrowers party thereto from time to time (individually, a “</w:t>
      </w:r>
      <w:r>
        <w:rPr>
          <w:rFonts w:ascii="Arial" w:cs="Arial" w:eastAsia="Arial" w:hAnsi="Arial"/>
          <w:sz w:val="13"/>
          <w:szCs w:val="13"/>
          <w:u w:val="single" w:color="auto"/>
          <w:color w:val="auto"/>
        </w:rPr>
        <w:t>Borrower</w:t>
      </w:r>
      <w:r>
        <w:rPr>
          <w:rFonts w:ascii="Arial" w:cs="Arial" w:eastAsia="Arial" w:hAnsi="Arial"/>
          <w:sz w:val="13"/>
          <w:szCs w:val="13"/>
          <w:color w:val="auto"/>
        </w:rPr>
        <w:t>” and, collectively, the “</w:t>
      </w:r>
      <w:r>
        <w:rPr>
          <w:rFonts w:ascii="Arial" w:cs="Arial" w:eastAsia="Arial" w:hAnsi="Arial"/>
          <w:sz w:val="13"/>
          <w:szCs w:val="13"/>
          <w:u w:val="single" w:color="auto"/>
          <w:color w:val="auto"/>
        </w:rPr>
        <w:t>Borrowers</w:t>
      </w:r>
      <w:r>
        <w:rPr>
          <w:rFonts w:ascii="Arial" w:cs="Arial" w:eastAsia="Arial" w:hAnsi="Arial"/>
          <w:sz w:val="13"/>
          <w:szCs w:val="13"/>
          <w:color w:val="auto"/>
        </w:rPr>
        <w:t>”), (ii) the Borrowers party thereto from time to time, (iii) the Guarantors party thereto from time to time, (iv) Bank of America, N.A., as administrative agent and collateral agent (in such capacities, the “</w:t>
      </w:r>
      <w:r>
        <w:rPr>
          <w:rFonts w:ascii="Arial" w:cs="Arial" w:eastAsia="Arial" w:hAnsi="Arial"/>
          <w:sz w:val="13"/>
          <w:szCs w:val="13"/>
          <w:u w:val="single" w:color="auto"/>
          <w:color w:val="auto"/>
        </w:rPr>
        <w:t>Agent</w:t>
      </w:r>
      <w:r>
        <w:rPr>
          <w:rFonts w:ascii="Arial" w:cs="Arial" w:eastAsia="Arial" w:hAnsi="Arial"/>
          <w:sz w:val="13"/>
          <w:szCs w:val="13"/>
          <w:color w:val="auto"/>
        </w:rPr>
        <w:t>”) for its own benefit and the benefit of the other Credit Parties referred to therein, and (v) the lenders from time to time party thereto (individually, a “</w:t>
      </w:r>
      <w:r>
        <w:rPr>
          <w:rFonts w:ascii="Arial" w:cs="Arial" w:eastAsia="Arial" w:hAnsi="Arial"/>
          <w:sz w:val="13"/>
          <w:szCs w:val="13"/>
          <w:u w:val="single" w:color="auto"/>
          <w:color w:val="auto"/>
        </w:rPr>
        <w:t>Lender</w:t>
      </w:r>
      <w:r>
        <w:rPr>
          <w:rFonts w:ascii="Arial" w:cs="Arial" w:eastAsia="Arial" w:hAnsi="Arial"/>
          <w:sz w:val="13"/>
          <w:szCs w:val="13"/>
          <w:color w:val="auto"/>
        </w:rPr>
        <w:t>” and, collectively, the “</w:t>
      </w:r>
      <w:r>
        <w:rPr>
          <w:rFonts w:ascii="Arial" w:cs="Arial" w:eastAsia="Arial" w:hAnsi="Arial"/>
          <w:sz w:val="13"/>
          <w:szCs w:val="13"/>
          <w:u w:val="single" w:color="auto"/>
          <w:color w:val="auto"/>
        </w:rPr>
        <w:t>Lenders</w:t>
      </w:r>
      <w:r>
        <w:rPr>
          <w:rFonts w:ascii="Arial" w:cs="Arial" w:eastAsia="Arial" w:hAnsi="Arial"/>
          <w:sz w:val="13"/>
          <w:szCs w:val="13"/>
          <w:color w:val="auto"/>
        </w:rPr>
        <w:t>”). All capitalized terms used herein and not otherwise defined shall have the same meaning herein as in the Credit Agreement.</w:t>
      </w:r>
    </w:p>
    <w:p>
      <w:pPr>
        <w:spacing w:after="0" w:line="108" w:lineRule="exact"/>
        <w:rPr>
          <w:sz w:val="20"/>
          <w:szCs w:val="20"/>
          <w:color w:val="auto"/>
        </w:rPr>
      </w:pPr>
    </w:p>
    <w:p>
      <w:pPr>
        <w:jc w:val="both"/>
        <w:ind w:left="700" w:firstLine="675"/>
        <w:spacing w:after="0" w:line="252" w:lineRule="auto"/>
        <w:rPr>
          <w:sz w:val="20"/>
          <w:szCs w:val="20"/>
          <w:color w:val="auto"/>
        </w:rPr>
      </w:pPr>
      <w:r>
        <w:rPr>
          <w:rFonts w:ascii="Arial" w:cs="Arial" w:eastAsia="Arial" w:hAnsi="Arial"/>
          <w:sz w:val="14"/>
          <w:szCs w:val="14"/>
          <w:color w:val="auto"/>
        </w:rPr>
        <w:t>Pursuant to the provisions of Section 3.01(e)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Lead Borrower within the meaning of Section 871(h)(3)(B) of the Code, and (iv) it is not a controlled foreign corporation related to the Lead Borrower as described in Section 881(c)(3)(C) of the Code.</w:t>
      </w:r>
    </w:p>
    <w:p>
      <w:pPr>
        <w:spacing w:after="0" w:line="116" w:lineRule="exact"/>
        <w:rPr>
          <w:sz w:val="20"/>
          <w:szCs w:val="20"/>
          <w:color w:val="auto"/>
        </w:rPr>
      </w:pPr>
    </w:p>
    <w:p>
      <w:pPr>
        <w:jc w:val="both"/>
        <w:ind w:left="700" w:firstLine="675"/>
        <w:spacing w:after="0" w:line="252" w:lineRule="auto"/>
        <w:rPr>
          <w:sz w:val="20"/>
          <w:szCs w:val="20"/>
          <w:color w:val="auto"/>
        </w:rPr>
      </w:pPr>
      <w:r>
        <w:rPr>
          <w:rFonts w:ascii="Arial" w:cs="Arial" w:eastAsia="Arial" w:hAnsi="Arial"/>
          <w:sz w:val="14"/>
          <w:szCs w:val="14"/>
          <w:color w:val="auto"/>
        </w:rPr>
        <w:t>The undersigned has furnished its participating Lender with a certificate of its non-U.S. Person status on IRS Form W-8BEN or W8BEN-E, as applicable.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16"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[NAME OF PARTICIPANT]</w:t>
      </w:r>
    </w:p>
    <w:p>
      <w:pPr>
        <w:spacing w:after="0" w:line="145"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By:</w:t>
      </w:r>
    </w:p>
    <w:p>
      <w:pPr>
        <w:spacing w:after="0" w:line="145" w:lineRule="exact"/>
        <w:rPr>
          <w:sz w:val="20"/>
          <w:szCs w:val="20"/>
          <w:color w:val="auto"/>
        </w:rPr>
      </w:pPr>
    </w:p>
    <w:p>
      <w:pPr>
        <w:ind w:left="2240"/>
        <w:spacing w:after="0"/>
        <w:rPr>
          <w:sz w:val="20"/>
          <w:szCs w:val="20"/>
          <w:color w:val="auto"/>
        </w:rPr>
      </w:pPr>
      <w:r>
        <w:rPr>
          <w:rFonts w:ascii="Arial" w:cs="Arial" w:eastAsia="Arial" w:hAnsi="Arial"/>
          <w:sz w:val="14"/>
          <w:szCs w:val="14"/>
          <w:color w:val="auto"/>
        </w:rPr>
        <w:t>Name:</w:t>
      </w:r>
    </w:p>
    <w:p>
      <w:pPr>
        <w:spacing w:after="0" w:line="145" w:lineRule="exact"/>
        <w:rPr>
          <w:sz w:val="20"/>
          <w:szCs w:val="20"/>
          <w:color w:val="auto"/>
        </w:rPr>
      </w:pPr>
    </w:p>
    <w:p>
      <w:pPr>
        <w:ind w:left="2240"/>
        <w:spacing w:after="0"/>
        <w:rPr>
          <w:sz w:val="20"/>
          <w:szCs w:val="20"/>
          <w:color w:val="auto"/>
        </w:rPr>
      </w:pPr>
      <w:r>
        <w:rPr>
          <w:rFonts w:ascii="Arial" w:cs="Arial" w:eastAsia="Arial" w:hAnsi="Arial"/>
          <w:sz w:val="14"/>
          <w:szCs w:val="14"/>
          <w:color w:val="auto"/>
        </w:rPr>
        <w:t>Title:</w:t>
      </w:r>
    </w:p>
    <w:p>
      <w:pPr>
        <w:spacing w:after="0" w:line="145" w:lineRule="exact"/>
        <w:rPr>
          <w:sz w:val="20"/>
          <w:szCs w:val="20"/>
          <w:color w:val="auto"/>
        </w:rPr>
      </w:pPr>
    </w:p>
    <w:tbl>
      <w:tblPr>
        <w:tblLayout w:type="fixed"/>
        <w:tblInd w:w="1480" w:type="dxa"/>
        <w:tblCellMar>
          <w:top w:w="0" w:type="dxa"/>
          <w:left w:w="0" w:type="dxa"/>
          <w:bottom w:w="0" w:type="dxa"/>
          <w:right w:w="0" w:type="dxa"/>
        </w:tblCellMar>
      </w:tblPr>
      <w:tr>
        <w:trPr>
          <w:trHeight w:val="182"/>
        </w:trPr>
        <w:tc>
          <w:tcPr>
            <w:tcW w:w="1180" w:type="dxa"/>
            <w:vAlign w:val="bottom"/>
          </w:tcPr>
          <w:p>
            <w:pPr>
              <w:spacing w:after="0"/>
              <w:rPr>
                <w:sz w:val="20"/>
                <w:szCs w:val="20"/>
                <w:color w:val="auto"/>
              </w:rPr>
            </w:pPr>
            <w:r>
              <w:rPr>
                <w:rFonts w:ascii="Arial" w:cs="Arial" w:eastAsia="Arial" w:hAnsi="Arial"/>
                <w:sz w:val="14"/>
                <w:szCs w:val="14"/>
                <w:color w:val="auto"/>
              </w:rPr>
              <w:t>Date:</w:t>
            </w:r>
          </w:p>
        </w:tc>
        <w:tc>
          <w:tcPr>
            <w:tcW w:w="1260" w:type="dxa"/>
            <w:vAlign w:val="bottom"/>
          </w:tcPr>
          <w:p>
            <w:pPr>
              <w:jc w:val="right"/>
              <w:spacing w:after="0"/>
              <w:rPr>
                <w:sz w:val="20"/>
                <w:szCs w:val="20"/>
                <w:color w:val="auto"/>
              </w:rPr>
            </w:pPr>
            <w:r>
              <w:rPr>
                <w:rFonts w:ascii="Arial" w:cs="Arial" w:eastAsia="Arial" w:hAnsi="Arial"/>
                <w:sz w:val="14"/>
                <w:szCs w:val="14"/>
                <w:color w:val="auto"/>
              </w:rPr>
              <w:t>, 20[ ]</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0"/>
          <w:szCs w:val="10"/>
          <w:color w:val="auto"/>
        </w:rPr>
        <w:t>DB1/ 97585334.1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242570</wp:posOffset>
            </wp:positionV>
            <wp:extent cx="7329170" cy="368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740"/>
          </w:cols>
          <w:pgMar w:left="240" w:top="392" w:right="919" w:bottom="1440" w:gutter="0" w:footer="0" w:header="0"/>
        </w:sectPr>
      </w:pPr>
    </w:p>
    <w:bookmarkStart w:id="228" w:name="page229"/>
    <w:bookmarkEnd w:id="228"/>
    <w:p>
      <w:pPr>
        <w:ind w:left="5280"/>
        <w:spacing w:after="0"/>
        <w:rPr>
          <w:sz w:val="20"/>
          <w:szCs w:val="20"/>
          <w:color w:val="auto"/>
        </w:rPr>
      </w:pPr>
      <w:r>
        <w:rPr>
          <w:rFonts w:ascii="Arial" w:cs="Arial" w:eastAsia="Arial" w:hAnsi="Arial"/>
          <w:sz w:val="14"/>
          <w:szCs w:val="14"/>
          <w:b w:val="1"/>
          <w:bCs w:val="1"/>
          <w:color w:val="auto"/>
        </w:rPr>
        <w:t>EXHIBIT G-3</w:t>
      </w:r>
    </w:p>
    <w:p>
      <w:pPr>
        <w:spacing w:after="0" w:line="149" w:lineRule="exact"/>
        <w:rPr>
          <w:sz w:val="20"/>
          <w:szCs w:val="20"/>
          <w:color w:val="auto"/>
        </w:rPr>
      </w:pPr>
    </w:p>
    <w:p>
      <w:pPr>
        <w:ind w:left="2880"/>
        <w:spacing w:after="0"/>
        <w:rPr>
          <w:sz w:val="20"/>
          <w:szCs w:val="20"/>
          <w:color w:val="auto"/>
        </w:rPr>
      </w:pPr>
      <w:r>
        <w:rPr>
          <w:rFonts w:ascii="Arial" w:cs="Arial" w:eastAsia="Arial" w:hAnsi="Arial"/>
          <w:sz w:val="14"/>
          <w:szCs w:val="14"/>
          <w:u w:val="single" w:color="auto"/>
          <w:color w:val="auto"/>
        </w:rPr>
        <w:t>FORM OF U.S. TAX COMPLIANCE CERTIFICATE</w:t>
      </w:r>
    </w:p>
    <w:p>
      <w:pPr>
        <w:spacing w:after="0" w:line="141"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auto"/>
        </w:rPr>
        <w:t>(For Foreign Participants That Are Partnerships For U.S. Federal Income Tax Purposes)</w:t>
      </w:r>
    </w:p>
    <w:p>
      <w:pPr>
        <w:spacing w:after="0" w:line="149" w:lineRule="exact"/>
        <w:rPr>
          <w:sz w:val="20"/>
          <w:szCs w:val="20"/>
          <w:color w:val="auto"/>
        </w:rPr>
      </w:pPr>
    </w:p>
    <w:p>
      <w:pPr>
        <w:jc w:val="both"/>
        <w:ind w:left="700" w:firstLine="675"/>
        <w:spacing w:after="0" w:line="270" w:lineRule="auto"/>
        <w:rPr>
          <w:sz w:val="20"/>
          <w:szCs w:val="20"/>
          <w:color w:val="auto"/>
        </w:rPr>
      </w:pPr>
      <w:r>
        <w:rPr>
          <w:rFonts w:ascii="Arial" w:cs="Arial" w:eastAsia="Arial" w:hAnsi="Arial"/>
          <w:sz w:val="13"/>
          <w:szCs w:val="13"/>
          <w:color w:val="auto"/>
        </w:rPr>
        <w:t>Reference is made to the Seventh Amended and Restated Credit Agreement dated as of May 24, 2018 (as amended, restated, supplemented or otherwise modified and in effect from time to time, the “</w:t>
      </w:r>
      <w:r>
        <w:rPr>
          <w:rFonts w:ascii="Arial" w:cs="Arial" w:eastAsia="Arial" w:hAnsi="Arial"/>
          <w:sz w:val="13"/>
          <w:szCs w:val="13"/>
          <w:u w:val="single" w:color="auto"/>
          <w:color w:val="auto"/>
        </w:rPr>
        <w:t>Credit Agreement</w:t>
      </w:r>
      <w:r>
        <w:rPr>
          <w:rFonts w:ascii="Arial" w:cs="Arial" w:eastAsia="Arial" w:hAnsi="Arial"/>
          <w:sz w:val="13"/>
          <w:szCs w:val="13"/>
          <w:color w:val="auto"/>
        </w:rPr>
        <w:t>”) by, among others, (i) DESTINATION XL GROUP, INC., a Delaware corporation, for itself and as Lead Borrower (in such capacity, the “</w:t>
      </w:r>
      <w:r>
        <w:rPr>
          <w:rFonts w:ascii="Arial" w:cs="Arial" w:eastAsia="Arial" w:hAnsi="Arial"/>
          <w:sz w:val="13"/>
          <w:szCs w:val="13"/>
          <w:u w:val="single" w:color="auto"/>
          <w:color w:val="auto"/>
        </w:rPr>
        <w:t>Lead Borrower</w:t>
      </w:r>
      <w:r>
        <w:rPr>
          <w:rFonts w:ascii="Arial" w:cs="Arial" w:eastAsia="Arial" w:hAnsi="Arial"/>
          <w:sz w:val="13"/>
          <w:szCs w:val="13"/>
          <w:color w:val="auto"/>
        </w:rPr>
        <w:t>”) for the other Borrowers party thereto from time to time (individually, a “</w:t>
      </w:r>
      <w:r>
        <w:rPr>
          <w:rFonts w:ascii="Arial" w:cs="Arial" w:eastAsia="Arial" w:hAnsi="Arial"/>
          <w:sz w:val="13"/>
          <w:szCs w:val="13"/>
          <w:u w:val="single" w:color="auto"/>
          <w:color w:val="auto"/>
        </w:rPr>
        <w:t>Borrower</w:t>
      </w:r>
      <w:r>
        <w:rPr>
          <w:rFonts w:ascii="Arial" w:cs="Arial" w:eastAsia="Arial" w:hAnsi="Arial"/>
          <w:sz w:val="13"/>
          <w:szCs w:val="13"/>
          <w:color w:val="auto"/>
        </w:rPr>
        <w:t>” and, collectively, the “</w:t>
      </w:r>
      <w:r>
        <w:rPr>
          <w:rFonts w:ascii="Arial" w:cs="Arial" w:eastAsia="Arial" w:hAnsi="Arial"/>
          <w:sz w:val="13"/>
          <w:szCs w:val="13"/>
          <w:u w:val="single" w:color="auto"/>
          <w:color w:val="auto"/>
        </w:rPr>
        <w:t>Borrowers</w:t>
      </w:r>
      <w:r>
        <w:rPr>
          <w:rFonts w:ascii="Arial" w:cs="Arial" w:eastAsia="Arial" w:hAnsi="Arial"/>
          <w:sz w:val="13"/>
          <w:szCs w:val="13"/>
          <w:color w:val="auto"/>
        </w:rPr>
        <w:t>”), (ii) the Borrowers party thereto from time to time, (iii) the Guarantors party thereto from time to time, (iv) Bank of America, N.A., as administrative agent and collateral agent (in such capacities, the “</w:t>
      </w:r>
      <w:r>
        <w:rPr>
          <w:rFonts w:ascii="Arial" w:cs="Arial" w:eastAsia="Arial" w:hAnsi="Arial"/>
          <w:sz w:val="13"/>
          <w:szCs w:val="13"/>
          <w:u w:val="single" w:color="auto"/>
          <w:color w:val="auto"/>
        </w:rPr>
        <w:t>Agent</w:t>
      </w:r>
      <w:r>
        <w:rPr>
          <w:rFonts w:ascii="Arial" w:cs="Arial" w:eastAsia="Arial" w:hAnsi="Arial"/>
          <w:sz w:val="13"/>
          <w:szCs w:val="13"/>
          <w:color w:val="auto"/>
        </w:rPr>
        <w:t>”) for its own benefit and the benefit of the other Credit Parties referred to therein, and (v) the lenders from time to time party thereto (individually, a “</w:t>
      </w:r>
      <w:r>
        <w:rPr>
          <w:rFonts w:ascii="Arial" w:cs="Arial" w:eastAsia="Arial" w:hAnsi="Arial"/>
          <w:sz w:val="13"/>
          <w:szCs w:val="13"/>
          <w:u w:val="single" w:color="auto"/>
          <w:color w:val="auto"/>
        </w:rPr>
        <w:t>Lender</w:t>
      </w:r>
      <w:r>
        <w:rPr>
          <w:rFonts w:ascii="Arial" w:cs="Arial" w:eastAsia="Arial" w:hAnsi="Arial"/>
          <w:sz w:val="13"/>
          <w:szCs w:val="13"/>
          <w:color w:val="auto"/>
        </w:rPr>
        <w:t>” and, collectively, the “</w:t>
      </w:r>
      <w:r>
        <w:rPr>
          <w:rFonts w:ascii="Arial" w:cs="Arial" w:eastAsia="Arial" w:hAnsi="Arial"/>
          <w:sz w:val="13"/>
          <w:szCs w:val="13"/>
          <w:u w:val="single" w:color="auto"/>
          <w:color w:val="auto"/>
        </w:rPr>
        <w:t>Lenders</w:t>
      </w:r>
      <w:r>
        <w:rPr>
          <w:rFonts w:ascii="Arial" w:cs="Arial" w:eastAsia="Arial" w:hAnsi="Arial"/>
          <w:sz w:val="13"/>
          <w:szCs w:val="13"/>
          <w:color w:val="auto"/>
        </w:rPr>
        <w:t>”). All capitalized terms used herein and not otherwise defined shall have the same meaning herein as in the Credit Agreement.</w:t>
      </w:r>
    </w:p>
    <w:p>
      <w:pPr>
        <w:spacing w:after="0" w:line="108" w:lineRule="exact"/>
        <w:rPr>
          <w:sz w:val="20"/>
          <w:szCs w:val="20"/>
          <w:color w:val="auto"/>
        </w:rPr>
      </w:pPr>
    </w:p>
    <w:p>
      <w:pPr>
        <w:jc w:val="both"/>
        <w:ind w:left="700" w:firstLine="675"/>
        <w:spacing w:after="0" w:line="248" w:lineRule="auto"/>
        <w:rPr>
          <w:sz w:val="20"/>
          <w:szCs w:val="20"/>
          <w:color w:val="auto"/>
        </w:rPr>
      </w:pPr>
      <w:r>
        <w:rPr>
          <w:rFonts w:ascii="Arial" w:cs="Arial" w:eastAsia="Arial" w:hAnsi="Arial"/>
          <w:sz w:val="14"/>
          <w:szCs w:val="14"/>
          <w:color w:val="auto"/>
        </w:rPr>
        <w:t>Pursuant to the provisions of Section 3.01(e)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Lead Borrower within the meaning of Section 871(h)(3)(B) of the Code and (v) none of its direct or indirect partners/members is a controlled foreign corporation related to the Lead Borrower as described in Section 881(c)(3)(C) of the Code.</w:t>
      </w:r>
    </w:p>
    <w:p>
      <w:pPr>
        <w:spacing w:after="0" w:line="119" w:lineRule="exact"/>
        <w:rPr>
          <w:sz w:val="20"/>
          <w:szCs w:val="20"/>
          <w:color w:val="auto"/>
        </w:rPr>
      </w:pPr>
    </w:p>
    <w:p>
      <w:pPr>
        <w:jc w:val="both"/>
        <w:ind w:left="700" w:firstLine="675"/>
        <w:spacing w:after="0" w:line="265" w:lineRule="auto"/>
        <w:rPr>
          <w:sz w:val="20"/>
          <w:szCs w:val="20"/>
          <w:color w:val="auto"/>
        </w:rPr>
      </w:pPr>
      <w:r>
        <w:rPr>
          <w:rFonts w:ascii="Arial" w:cs="Arial" w:eastAsia="Arial" w:hAnsi="Arial"/>
          <w:sz w:val="13"/>
          <w:szCs w:val="13"/>
          <w:color w:val="auto"/>
        </w:rPr>
        <w:t>The undersigned has furnished its participating Lender with IRS Form W-8IMY accompanied by one of the following forms from each of its partners/members that is claiming the portfolio interest exemption: (i) an IRS Form W-8BEN or W8BEN-E, as applicable, or (ii) an IRS Form W-8IMY accompanied by an IRS Form W-8BEN or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such Lender and</w:t>
      </w:r>
    </w:p>
    <w:p>
      <w:pPr>
        <w:ind w:left="700"/>
        <w:spacing w:after="0" w:line="255" w:lineRule="auto"/>
        <w:tabs>
          <w:tab w:leader="none" w:pos="921" w:val="left"/>
        </w:tabs>
        <w:numPr>
          <w:ilvl w:val="0"/>
          <w:numId w:val="224"/>
        </w:numPr>
        <w:rPr>
          <w:rFonts w:ascii="Arial" w:cs="Arial" w:eastAsia="Arial" w:hAnsi="Arial"/>
          <w:sz w:val="14"/>
          <w:szCs w:val="14"/>
          <w:color w:val="auto"/>
        </w:rPr>
      </w:pPr>
      <w:r>
        <w:rPr>
          <w:rFonts w:ascii="Arial" w:cs="Arial" w:eastAsia="Arial" w:hAnsi="Arial"/>
          <w:sz w:val="14"/>
          <w:szCs w:val="14"/>
          <w:color w:val="auto"/>
        </w:rPr>
        <w:t>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278" w:lineRule="exact"/>
        <w:rPr>
          <w:sz w:val="20"/>
          <w:szCs w:val="20"/>
          <w:color w:val="auto"/>
        </w:rPr>
      </w:pPr>
    </w:p>
    <w:p>
      <w:pPr>
        <w:spacing w:after="0"/>
        <w:rPr>
          <w:sz w:val="20"/>
          <w:szCs w:val="20"/>
          <w:color w:val="auto"/>
        </w:rPr>
      </w:pPr>
      <w:r>
        <w:rPr>
          <w:rFonts w:ascii="Arial" w:cs="Arial" w:eastAsia="Arial" w:hAnsi="Arial"/>
          <w:sz w:val="10"/>
          <w:szCs w:val="10"/>
          <w:color w:val="auto"/>
        </w:rPr>
        <w:t>DB1/ 97585334.1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242570</wp:posOffset>
            </wp:positionV>
            <wp:extent cx="7329170" cy="3683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740"/>
          </w:cols>
          <w:pgMar w:left="240" w:top="392" w:right="919" w:bottom="1440" w:gutter="0" w:footer="0" w:header="0"/>
        </w:sectPr>
      </w:pPr>
    </w:p>
    <w:bookmarkStart w:id="229" w:name="page230"/>
    <w:bookmarkEnd w:id="229"/>
    <w:p>
      <w:pPr>
        <w:ind w:left="1480"/>
        <w:spacing w:after="0"/>
        <w:rPr>
          <w:sz w:val="20"/>
          <w:szCs w:val="20"/>
          <w:color w:val="auto"/>
        </w:rPr>
      </w:pPr>
      <w:r>
        <w:rPr>
          <w:rFonts w:ascii="Arial" w:cs="Arial" w:eastAsia="Arial" w:hAnsi="Arial"/>
          <w:sz w:val="14"/>
          <w:szCs w:val="14"/>
          <w:color w:val="auto"/>
        </w:rPr>
        <w:t>[NAME OF PARTICIPANT]</w:t>
      </w:r>
    </w:p>
    <w:p>
      <w:pPr>
        <w:spacing w:after="0" w:line="145"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By:</w:t>
      </w:r>
    </w:p>
    <w:p>
      <w:pPr>
        <w:spacing w:after="0" w:line="145" w:lineRule="exact"/>
        <w:rPr>
          <w:sz w:val="20"/>
          <w:szCs w:val="20"/>
          <w:color w:val="auto"/>
        </w:rPr>
      </w:pPr>
    </w:p>
    <w:p>
      <w:pPr>
        <w:ind w:left="2240"/>
        <w:spacing w:after="0"/>
        <w:rPr>
          <w:sz w:val="20"/>
          <w:szCs w:val="20"/>
          <w:color w:val="auto"/>
        </w:rPr>
      </w:pPr>
      <w:r>
        <w:rPr>
          <w:rFonts w:ascii="Arial" w:cs="Arial" w:eastAsia="Arial" w:hAnsi="Arial"/>
          <w:sz w:val="14"/>
          <w:szCs w:val="14"/>
          <w:color w:val="auto"/>
        </w:rPr>
        <w:t>Name:</w:t>
      </w:r>
    </w:p>
    <w:p>
      <w:pPr>
        <w:spacing w:after="0" w:line="145" w:lineRule="exact"/>
        <w:rPr>
          <w:sz w:val="20"/>
          <w:szCs w:val="20"/>
          <w:color w:val="auto"/>
        </w:rPr>
      </w:pPr>
    </w:p>
    <w:p>
      <w:pPr>
        <w:ind w:left="2240"/>
        <w:spacing w:after="0"/>
        <w:rPr>
          <w:sz w:val="20"/>
          <w:szCs w:val="20"/>
          <w:color w:val="auto"/>
        </w:rPr>
      </w:pPr>
      <w:r>
        <w:rPr>
          <w:rFonts w:ascii="Arial" w:cs="Arial" w:eastAsia="Arial" w:hAnsi="Arial"/>
          <w:sz w:val="14"/>
          <w:szCs w:val="14"/>
          <w:color w:val="auto"/>
        </w:rPr>
        <w:t>Title:</w:t>
      </w:r>
    </w:p>
    <w:p>
      <w:pPr>
        <w:spacing w:after="0" w:line="145" w:lineRule="exact"/>
        <w:rPr>
          <w:sz w:val="20"/>
          <w:szCs w:val="20"/>
          <w:color w:val="auto"/>
        </w:rPr>
      </w:pPr>
    </w:p>
    <w:tbl>
      <w:tblPr>
        <w:tblLayout w:type="fixed"/>
        <w:tblInd w:w="1480" w:type="dxa"/>
        <w:tblCellMar>
          <w:top w:w="0" w:type="dxa"/>
          <w:left w:w="0" w:type="dxa"/>
          <w:bottom w:w="0" w:type="dxa"/>
          <w:right w:w="0" w:type="dxa"/>
        </w:tblCellMar>
      </w:tblPr>
      <w:tr>
        <w:trPr>
          <w:trHeight w:val="182"/>
        </w:trPr>
        <w:tc>
          <w:tcPr>
            <w:tcW w:w="1180" w:type="dxa"/>
            <w:vAlign w:val="bottom"/>
          </w:tcPr>
          <w:p>
            <w:pPr>
              <w:spacing w:after="0"/>
              <w:rPr>
                <w:sz w:val="20"/>
                <w:szCs w:val="20"/>
                <w:color w:val="auto"/>
              </w:rPr>
            </w:pPr>
            <w:r>
              <w:rPr>
                <w:rFonts w:ascii="Arial" w:cs="Arial" w:eastAsia="Arial" w:hAnsi="Arial"/>
                <w:sz w:val="14"/>
                <w:szCs w:val="14"/>
                <w:color w:val="auto"/>
              </w:rPr>
              <w:t>Date:</w:t>
            </w:r>
          </w:p>
        </w:tc>
        <w:tc>
          <w:tcPr>
            <w:tcW w:w="1260" w:type="dxa"/>
            <w:vAlign w:val="bottom"/>
          </w:tcPr>
          <w:p>
            <w:pPr>
              <w:jc w:val="right"/>
              <w:spacing w:after="0"/>
              <w:rPr>
                <w:sz w:val="20"/>
                <w:szCs w:val="20"/>
                <w:color w:val="auto"/>
              </w:rPr>
            </w:pPr>
            <w:r>
              <w:rPr>
                <w:rFonts w:ascii="Arial" w:cs="Arial" w:eastAsia="Arial" w:hAnsi="Arial"/>
                <w:sz w:val="14"/>
                <w:szCs w:val="14"/>
                <w:color w:val="auto"/>
              </w:rPr>
              <w:t>, 20[ ]</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0"/>
          <w:szCs w:val="10"/>
          <w:color w:val="auto"/>
        </w:rPr>
        <w:t>DB1/ 97585334.1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242570</wp:posOffset>
            </wp:positionV>
            <wp:extent cx="7329170" cy="3683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19"/>
          </w:cols>
          <w:pgMar w:left="240" w:top="305" w:right="1440" w:bottom="1440" w:gutter="0" w:footer="0" w:header="0"/>
        </w:sectPr>
      </w:pPr>
    </w:p>
    <w:bookmarkStart w:id="230" w:name="page231"/>
    <w:bookmarkEnd w:id="230"/>
    <w:p>
      <w:pPr>
        <w:ind w:left="5280"/>
        <w:spacing w:after="0"/>
        <w:rPr>
          <w:sz w:val="20"/>
          <w:szCs w:val="20"/>
          <w:color w:val="auto"/>
        </w:rPr>
      </w:pPr>
      <w:r>
        <w:rPr>
          <w:rFonts w:ascii="Arial" w:cs="Arial" w:eastAsia="Arial" w:hAnsi="Arial"/>
          <w:sz w:val="14"/>
          <w:szCs w:val="14"/>
          <w:b w:val="1"/>
          <w:bCs w:val="1"/>
          <w:color w:val="auto"/>
        </w:rPr>
        <w:t>EXHIBIT G-4</w:t>
      </w:r>
    </w:p>
    <w:p>
      <w:pPr>
        <w:spacing w:after="0" w:line="149" w:lineRule="exact"/>
        <w:rPr>
          <w:sz w:val="20"/>
          <w:szCs w:val="20"/>
          <w:color w:val="auto"/>
        </w:rPr>
      </w:pPr>
    </w:p>
    <w:p>
      <w:pPr>
        <w:ind w:left="2880"/>
        <w:spacing w:after="0"/>
        <w:rPr>
          <w:sz w:val="20"/>
          <w:szCs w:val="20"/>
          <w:color w:val="auto"/>
        </w:rPr>
      </w:pPr>
      <w:r>
        <w:rPr>
          <w:rFonts w:ascii="Arial" w:cs="Arial" w:eastAsia="Arial" w:hAnsi="Arial"/>
          <w:sz w:val="14"/>
          <w:szCs w:val="14"/>
          <w:u w:val="single" w:color="auto"/>
          <w:color w:val="auto"/>
        </w:rPr>
        <w:t>FORM OF U.S. TAX COMPLIANCE CERTIFICATE</w:t>
      </w:r>
    </w:p>
    <w:p>
      <w:pPr>
        <w:spacing w:after="0" w:line="141" w:lineRule="exact"/>
        <w:rPr>
          <w:sz w:val="20"/>
          <w:szCs w:val="20"/>
          <w:color w:val="auto"/>
        </w:rPr>
      </w:pPr>
    </w:p>
    <w:p>
      <w:pPr>
        <w:ind w:left="1040"/>
        <w:spacing w:after="0"/>
        <w:rPr>
          <w:sz w:val="20"/>
          <w:szCs w:val="20"/>
          <w:color w:val="auto"/>
        </w:rPr>
      </w:pPr>
      <w:r>
        <w:rPr>
          <w:rFonts w:ascii="Arial" w:cs="Arial" w:eastAsia="Arial" w:hAnsi="Arial"/>
          <w:sz w:val="14"/>
          <w:szCs w:val="14"/>
          <w:b w:val="1"/>
          <w:bCs w:val="1"/>
          <w:color w:val="auto"/>
        </w:rPr>
        <w:t>(For Foreign Lenders That Are Partnerships For U.S. Federal Income Tax Purposes)</w:t>
      </w:r>
    </w:p>
    <w:p>
      <w:pPr>
        <w:spacing w:after="0" w:line="149" w:lineRule="exact"/>
        <w:rPr>
          <w:sz w:val="20"/>
          <w:szCs w:val="20"/>
          <w:color w:val="auto"/>
        </w:rPr>
      </w:pPr>
    </w:p>
    <w:p>
      <w:pPr>
        <w:jc w:val="both"/>
        <w:ind w:left="700" w:firstLine="675"/>
        <w:spacing w:after="0" w:line="270" w:lineRule="auto"/>
        <w:rPr>
          <w:sz w:val="20"/>
          <w:szCs w:val="20"/>
          <w:color w:val="auto"/>
        </w:rPr>
      </w:pPr>
      <w:r>
        <w:rPr>
          <w:rFonts w:ascii="Arial" w:cs="Arial" w:eastAsia="Arial" w:hAnsi="Arial"/>
          <w:sz w:val="13"/>
          <w:szCs w:val="13"/>
          <w:color w:val="auto"/>
        </w:rPr>
        <w:t>Reference is made to the Seventh Amended and Restated Credit Agreement dated as of May 24, 2018 (as amended, restated, supplemented or otherwise modified and in effect from time to time, the “</w:t>
      </w:r>
      <w:r>
        <w:rPr>
          <w:rFonts w:ascii="Arial" w:cs="Arial" w:eastAsia="Arial" w:hAnsi="Arial"/>
          <w:sz w:val="13"/>
          <w:szCs w:val="13"/>
          <w:u w:val="single" w:color="auto"/>
          <w:color w:val="auto"/>
        </w:rPr>
        <w:t>Credit Agreement</w:t>
      </w:r>
      <w:r>
        <w:rPr>
          <w:rFonts w:ascii="Arial" w:cs="Arial" w:eastAsia="Arial" w:hAnsi="Arial"/>
          <w:sz w:val="13"/>
          <w:szCs w:val="13"/>
          <w:color w:val="auto"/>
        </w:rPr>
        <w:t>”) by, among others, (i) DESTINATION XL GROUP, INC., a Delaware corporation, for itself and as Lead Borrower (in such capacity, the “</w:t>
      </w:r>
      <w:r>
        <w:rPr>
          <w:rFonts w:ascii="Arial" w:cs="Arial" w:eastAsia="Arial" w:hAnsi="Arial"/>
          <w:sz w:val="13"/>
          <w:szCs w:val="13"/>
          <w:u w:val="single" w:color="auto"/>
          <w:color w:val="auto"/>
        </w:rPr>
        <w:t>Lead Borrower</w:t>
      </w:r>
      <w:r>
        <w:rPr>
          <w:rFonts w:ascii="Arial" w:cs="Arial" w:eastAsia="Arial" w:hAnsi="Arial"/>
          <w:sz w:val="13"/>
          <w:szCs w:val="13"/>
          <w:color w:val="auto"/>
        </w:rPr>
        <w:t>”) for the other Borrowers party thereto from time to time (individually, a “</w:t>
      </w:r>
      <w:r>
        <w:rPr>
          <w:rFonts w:ascii="Arial" w:cs="Arial" w:eastAsia="Arial" w:hAnsi="Arial"/>
          <w:sz w:val="13"/>
          <w:szCs w:val="13"/>
          <w:u w:val="single" w:color="auto"/>
          <w:color w:val="auto"/>
        </w:rPr>
        <w:t>Borrower</w:t>
      </w:r>
      <w:r>
        <w:rPr>
          <w:rFonts w:ascii="Arial" w:cs="Arial" w:eastAsia="Arial" w:hAnsi="Arial"/>
          <w:sz w:val="13"/>
          <w:szCs w:val="13"/>
          <w:color w:val="auto"/>
        </w:rPr>
        <w:t>” and, collectively, the “</w:t>
      </w:r>
      <w:r>
        <w:rPr>
          <w:rFonts w:ascii="Arial" w:cs="Arial" w:eastAsia="Arial" w:hAnsi="Arial"/>
          <w:sz w:val="13"/>
          <w:szCs w:val="13"/>
          <w:u w:val="single" w:color="auto"/>
          <w:color w:val="auto"/>
        </w:rPr>
        <w:t>Borrowers</w:t>
      </w:r>
      <w:r>
        <w:rPr>
          <w:rFonts w:ascii="Arial" w:cs="Arial" w:eastAsia="Arial" w:hAnsi="Arial"/>
          <w:sz w:val="13"/>
          <w:szCs w:val="13"/>
          <w:color w:val="auto"/>
        </w:rPr>
        <w:t>”), (ii) the Borrowers party thereto from time to time, (iii) the Guarantors party thereto from time to time, (iv) Bank of America, N.A., as administrative agent and collateral agent (in such capacities, the “</w:t>
      </w:r>
      <w:r>
        <w:rPr>
          <w:rFonts w:ascii="Arial" w:cs="Arial" w:eastAsia="Arial" w:hAnsi="Arial"/>
          <w:sz w:val="13"/>
          <w:szCs w:val="13"/>
          <w:u w:val="single" w:color="auto"/>
          <w:color w:val="auto"/>
        </w:rPr>
        <w:t>Agent</w:t>
      </w:r>
      <w:r>
        <w:rPr>
          <w:rFonts w:ascii="Arial" w:cs="Arial" w:eastAsia="Arial" w:hAnsi="Arial"/>
          <w:sz w:val="13"/>
          <w:szCs w:val="13"/>
          <w:color w:val="auto"/>
        </w:rPr>
        <w:t>”) for its own benefit and the benefit of the other Credit Parties referred to therein, and (v) the lenders from time to time party thereto (individually, a “</w:t>
      </w:r>
      <w:r>
        <w:rPr>
          <w:rFonts w:ascii="Arial" w:cs="Arial" w:eastAsia="Arial" w:hAnsi="Arial"/>
          <w:sz w:val="13"/>
          <w:szCs w:val="13"/>
          <w:u w:val="single" w:color="auto"/>
          <w:color w:val="auto"/>
        </w:rPr>
        <w:t>Lender</w:t>
      </w:r>
      <w:r>
        <w:rPr>
          <w:rFonts w:ascii="Arial" w:cs="Arial" w:eastAsia="Arial" w:hAnsi="Arial"/>
          <w:sz w:val="13"/>
          <w:szCs w:val="13"/>
          <w:color w:val="auto"/>
        </w:rPr>
        <w:t>” and, collectively, the “</w:t>
      </w:r>
      <w:r>
        <w:rPr>
          <w:rFonts w:ascii="Arial" w:cs="Arial" w:eastAsia="Arial" w:hAnsi="Arial"/>
          <w:sz w:val="13"/>
          <w:szCs w:val="13"/>
          <w:u w:val="single" w:color="auto"/>
          <w:color w:val="auto"/>
        </w:rPr>
        <w:t>Lenders</w:t>
      </w:r>
      <w:r>
        <w:rPr>
          <w:rFonts w:ascii="Arial" w:cs="Arial" w:eastAsia="Arial" w:hAnsi="Arial"/>
          <w:sz w:val="13"/>
          <w:szCs w:val="13"/>
          <w:color w:val="auto"/>
        </w:rPr>
        <w:t>”). All capitalized terms used herein and not otherwise defined shall have the same meaning herein as in the Credit Agreement.</w:t>
      </w:r>
    </w:p>
    <w:p>
      <w:pPr>
        <w:spacing w:after="0" w:line="108" w:lineRule="exact"/>
        <w:rPr>
          <w:sz w:val="20"/>
          <w:szCs w:val="20"/>
          <w:color w:val="auto"/>
        </w:rPr>
      </w:pPr>
    </w:p>
    <w:p>
      <w:pPr>
        <w:jc w:val="both"/>
        <w:ind w:left="700" w:firstLine="675"/>
        <w:spacing w:after="0" w:line="245" w:lineRule="auto"/>
        <w:rPr>
          <w:sz w:val="20"/>
          <w:szCs w:val="20"/>
          <w:color w:val="auto"/>
        </w:rPr>
      </w:pPr>
      <w:r>
        <w:rPr>
          <w:rFonts w:ascii="Arial" w:cs="Arial" w:eastAsia="Arial" w:hAnsi="Arial"/>
          <w:sz w:val="14"/>
          <w:szCs w:val="14"/>
          <w:color w:val="auto"/>
        </w:rPr>
        <w:t>Pursuant to the provisions of Section 3.01(e)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the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w:t>
      </w:r>
    </w:p>
    <w:p>
      <w:pPr>
        <w:spacing w:after="0" w:line="1" w:lineRule="exact"/>
        <w:rPr>
          <w:sz w:val="20"/>
          <w:szCs w:val="20"/>
          <w:color w:val="auto"/>
        </w:rPr>
      </w:pPr>
    </w:p>
    <w:p>
      <w:pPr>
        <w:ind w:left="700" w:hanging="1"/>
        <w:spacing w:after="0" w:line="293" w:lineRule="auto"/>
        <w:tabs>
          <w:tab w:leader="none" w:pos="946" w:val="left"/>
        </w:tabs>
        <w:numPr>
          <w:ilvl w:val="0"/>
          <w:numId w:val="225"/>
        </w:numPr>
        <w:rPr>
          <w:rFonts w:ascii="Arial" w:cs="Arial" w:eastAsia="Arial" w:hAnsi="Arial"/>
          <w:sz w:val="13"/>
          <w:szCs w:val="13"/>
          <w:color w:val="auto"/>
        </w:rPr>
      </w:pPr>
      <w:r>
        <w:rPr>
          <w:rFonts w:ascii="Arial" w:cs="Arial" w:eastAsia="Arial" w:hAnsi="Arial"/>
          <w:sz w:val="13"/>
          <w:szCs w:val="13"/>
          <w:color w:val="auto"/>
        </w:rPr>
        <w:t>none of its direct or indirect partners/members is a ten percent shareholder of the Lead Borrower within the meaning of Section 871(h)(3)(B) of the Code and (v) none of its direct or indirect partners/members is a controlled foreign corporation related to the Lead Borrower as described in Section 881(c)(3)(C) of the Code.</w:t>
      </w:r>
    </w:p>
    <w:p>
      <w:pPr>
        <w:spacing w:after="0" w:line="91" w:lineRule="exact"/>
        <w:rPr>
          <w:sz w:val="20"/>
          <w:szCs w:val="20"/>
          <w:color w:val="auto"/>
        </w:rPr>
      </w:pPr>
    </w:p>
    <w:p>
      <w:pPr>
        <w:jc w:val="both"/>
        <w:ind w:left="700" w:firstLine="675"/>
        <w:spacing w:after="0" w:line="270" w:lineRule="auto"/>
        <w:rPr>
          <w:sz w:val="20"/>
          <w:szCs w:val="20"/>
          <w:color w:val="auto"/>
        </w:rPr>
      </w:pPr>
      <w:r>
        <w:rPr>
          <w:rFonts w:ascii="Arial" w:cs="Arial" w:eastAsia="Arial" w:hAnsi="Arial"/>
          <w:sz w:val="13"/>
          <w:szCs w:val="13"/>
          <w:color w:val="auto"/>
        </w:rPr>
        <w:t>The undersigned has furnished the Agent and the Lead Borrower with IRS Form W- 8IMY accompanied by one of the following forms from each of its partners/members that is claiming the portfolio interest exemption: (i) an IRS Form W-8BEN or W8BEN-E, as applicable, or (ii) an IRS Form W-8IMY accompanied by an IRS Form W-8BEN or W8BEN-E, as applicable,from each of such partner’s/member’s beneficial owners that is claiming the portfolio interest exemption. By executing this certificate, the undersigned agrees that (1) if the information provided on this certificate changes, the undersigned shall promptly so inform the Lead Borrower and the Agent, and (2) the undersigned shall have at all times furnished the Lead Borrower and the Agent with a properly completed and currently effective certificate in either the calendar year in which each payment is to be made to the undersigned, or in either of the two calendar years preceding such payments.</w:t>
      </w:r>
    </w:p>
    <w:p>
      <w:pPr>
        <w:spacing w:after="0" w:line="272" w:lineRule="exact"/>
        <w:rPr>
          <w:sz w:val="20"/>
          <w:szCs w:val="20"/>
          <w:color w:val="auto"/>
        </w:rPr>
      </w:pPr>
    </w:p>
    <w:p>
      <w:pPr>
        <w:spacing w:after="0"/>
        <w:rPr>
          <w:sz w:val="20"/>
          <w:szCs w:val="20"/>
          <w:color w:val="auto"/>
        </w:rPr>
      </w:pPr>
      <w:r>
        <w:rPr>
          <w:rFonts w:ascii="Arial" w:cs="Arial" w:eastAsia="Arial" w:hAnsi="Arial"/>
          <w:sz w:val="10"/>
          <w:szCs w:val="10"/>
          <w:color w:val="auto"/>
        </w:rPr>
        <w:t>DB1/ 97585334.1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242570</wp:posOffset>
            </wp:positionV>
            <wp:extent cx="7329170" cy="3683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740"/>
          </w:cols>
          <w:pgMar w:left="240" w:top="301" w:right="919" w:bottom="1440" w:gutter="0" w:footer="0" w:header="0"/>
        </w:sectPr>
      </w:pPr>
    </w:p>
    <w:bookmarkStart w:id="231" w:name="page232"/>
    <w:bookmarkEnd w:id="231"/>
    <w:p>
      <w:pPr>
        <w:ind w:left="1480"/>
        <w:spacing w:after="0"/>
        <w:rPr>
          <w:sz w:val="20"/>
          <w:szCs w:val="20"/>
          <w:color w:val="auto"/>
        </w:rPr>
      </w:pPr>
      <w:r>
        <w:rPr>
          <w:rFonts w:ascii="Arial" w:cs="Arial" w:eastAsia="Arial" w:hAnsi="Arial"/>
          <w:sz w:val="14"/>
          <w:szCs w:val="14"/>
          <w:color w:val="auto"/>
        </w:rPr>
        <w:t>[NAME OF LENDER]</w:t>
      </w:r>
    </w:p>
    <w:p>
      <w:pPr>
        <w:spacing w:after="0" w:line="145"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By:</w:t>
      </w:r>
    </w:p>
    <w:p>
      <w:pPr>
        <w:spacing w:after="0" w:line="145" w:lineRule="exact"/>
        <w:rPr>
          <w:sz w:val="20"/>
          <w:szCs w:val="20"/>
          <w:color w:val="auto"/>
        </w:rPr>
      </w:pPr>
    </w:p>
    <w:p>
      <w:pPr>
        <w:ind w:left="2240"/>
        <w:spacing w:after="0"/>
        <w:rPr>
          <w:sz w:val="20"/>
          <w:szCs w:val="20"/>
          <w:color w:val="auto"/>
        </w:rPr>
      </w:pPr>
      <w:r>
        <w:rPr>
          <w:rFonts w:ascii="Arial" w:cs="Arial" w:eastAsia="Arial" w:hAnsi="Arial"/>
          <w:sz w:val="14"/>
          <w:szCs w:val="14"/>
          <w:color w:val="auto"/>
        </w:rPr>
        <w:t>Name:</w:t>
      </w:r>
    </w:p>
    <w:p>
      <w:pPr>
        <w:spacing w:after="0" w:line="145" w:lineRule="exact"/>
        <w:rPr>
          <w:sz w:val="20"/>
          <w:szCs w:val="20"/>
          <w:color w:val="auto"/>
        </w:rPr>
      </w:pPr>
    </w:p>
    <w:p>
      <w:pPr>
        <w:ind w:left="2240"/>
        <w:spacing w:after="0"/>
        <w:rPr>
          <w:sz w:val="20"/>
          <w:szCs w:val="20"/>
          <w:color w:val="auto"/>
        </w:rPr>
      </w:pPr>
      <w:r>
        <w:rPr>
          <w:rFonts w:ascii="Arial" w:cs="Arial" w:eastAsia="Arial" w:hAnsi="Arial"/>
          <w:sz w:val="14"/>
          <w:szCs w:val="14"/>
          <w:color w:val="auto"/>
        </w:rPr>
        <w:t>Title:</w:t>
      </w:r>
    </w:p>
    <w:p>
      <w:pPr>
        <w:spacing w:after="0" w:line="145" w:lineRule="exact"/>
        <w:rPr>
          <w:sz w:val="20"/>
          <w:szCs w:val="20"/>
          <w:color w:val="auto"/>
        </w:rPr>
      </w:pPr>
    </w:p>
    <w:tbl>
      <w:tblPr>
        <w:tblLayout w:type="fixed"/>
        <w:tblInd w:w="1480" w:type="dxa"/>
        <w:tblCellMar>
          <w:top w:w="0" w:type="dxa"/>
          <w:left w:w="0" w:type="dxa"/>
          <w:bottom w:w="0" w:type="dxa"/>
          <w:right w:w="0" w:type="dxa"/>
        </w:tblCellMar>
      </w:tblPr>
      <w:tr>
        <w:trPr>
          <w:trHeight w:val="182"/>
        </w:trPr>
        <w:tc>
          <w:tcPr>
            <w:tcW w:w="1180" w:type="dxa"/>
            <w:vAlign w:val="bottom"/>
          </w:tcPr>
          <w:p>
            <w:pPr>
              <w:spacing w:after="0"/>
              <w:rPr>
                <w:sz w:val="20"/>
                <w:szCs w:val="20"/>
                <w:color w:val="auto"/>
              </w:rPr>
            </w:pPr>
            <w:r>
              <w:rPr>
                <w:rFonts w:ascii="Arial" w:cs="Arial" w:eastAsia="Arial" w:hAnsi="Arial"/>
                <w:sz w:val="14"/>
                <w:szCs w:val="14"/>
                <w:color w:val="auto"/>
              </w:rPr>
              <w:t>Date:</w:t>
            </w:r>
          </w:p>
        </w:tc>
        <w:tc>
          <w:tcPr>
            <w:tcW w:w="1260" w:type="dxa"/>
            <w:vAlign w:val="bottom"/>
          </w:tcPr>
          <w:p>
            <w:pPr>
              <w:jc w:val="right"/>
              <w:spacing w:after="0"/>
              <w:rPr>
                <w:sz w:val="20"/>
                <w:szCs w:val="20"/>
                <w:color w:val="auto"/>
              </w:rPr>
            </w:pPr>
            <w:r>
              <w:rPr>
                <w:rFonts w:ascii="Arial" w:cs="Arial" w:eastAsia="Arial" w:hAnsi="Arial"/>
                <w:sz w:val="14"/>
                <w:szCs w:val="14"/>
                <w:color w:val="auto"/>
              </w:rPr>
              <w:t>, 20[ ]</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0"/>
          <w:szCs w:val="10"/>
          <w:color w:val="auto"/>
        </w:rPr>
        <w:t>DB1/ 97585334.1</w:t>
      </w:r>
    </w:p>
    <w:sectPr>
      <w:pgSz w:w="11900" w:h="16838" w:orient="portrait"/>
      <w:cols w:equalWidth="0" w:num="1">
        <w:col w:w="10219"/>
      </w:cols>
      <w:pgMar w:left="240" w:top="3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E6D486"/>
    <w:multiLevelType w:val="hybridMultilevel"/>
    <w:lvl w:ilvl="0">
      <w:lvlJc w:val="left"/>
      <w:lvlText w:val="☐"/>
      <w:numFmt w:val="bullet"/>
      <w:start w:val="1"/>
    </w:lvl>
  </w:abstractNum>
  <w:abstractNum w:abstractNumId="1">
    <w:nsid w:val="5C10FE21"/>
    <w:multiLevelType w:val="hybridMultilevel"/>
    <w:lvl w:ilvl="0">
      <w:lvlJc w:val="left"/>
      <w:lvlText w:val="(%1)"/>
      <w:numFmt w:val="lowerLetter"/>
      <w:start w:val="1"/>
    </w:lvl>
  </w:abstractNum>
  <w:abstractNum w:abstractNumId="2">
    <w:nsid w:val="E7FFA2B"/>
    <w:multiLevelType w:val="hybridMultilevel"/>
    <w:lvl w:ilvl="0">
      <w:lvlJc w:val="left"/>
      <w:lvlText w:val="(%1)"/>
      <w:numFmt w:val="lowerLetter"/>
      <w:start w:val="4"/>
    </w:lvl>
  </w:abstractNum>
  <w:abstractNum w:abstractNumId="3">
    <w:nsid w:val="3C5991AA"/>
    <w:multiLevelType w:val="hybridMultilevel"/>
    <w:lvl w:ilvl="0">
      <w:lvlJc w:val="left"/>
      <w:lvlText w:val="(%1)"/>
      <w:numFmt w:val="lowerLetter"/>
      <w:start w:val="1"/>
    </w:lvl>
  </w:abstractNum>
  <w:abstractNum w:abstractNumId="4">
    <w:nsid w:val="4BD8591A"/>
    <w:multiLevelType w:val="hybridMultilevel"/>
    <w:lvl w:ilvl="0">
      <w:lvlJc w:val="left"/>
      <w:lvlText w:val="(%1)"/>
      <w:numFmt w:val="lowerLetter"/>
      <w:start w:val="1"/>
    </w:lvl>
  </w:abstractNum>
  <w:abstractNum w:abstractNumId="5">
    <w:nsid w:val="78DF6A55"/>
    <w:multiLevelType w:val="hybridMultilevel"/>
    <w:lvl w:ilvl="0">
      <w:lvlJc w:val="left"/>
      <w:lvlText w:val="(%1)"/>
      <w:numFmt w:val="lowerLetter"/>
      <w:start w:val="3"/>
    </w:lvl>
  </w:abstractNum>
  <w:abstractNum w:abstractNumId="6">
    <w:nsid w:val="39B7AAA2"/>
    <w:multiLevelType w:val="hybridMultilevel"/>
    <w:lvl w:ilvl="0">
      <w:lvlJc w:val="left"/>
      <w:lvlText w:val="(%1)"/>
      <w:numFmt w:val="lowerLetter"/>
      <w:start w:val="4"/>
    </w:lvl>
  </w:abstractNum>
  <w:abstractNum w:abstractNumId="7">
    <w:nsid w:val="2B0D8DBE"/>
    <w:multiLevelType w:val="hybridMultilevel"/>
    <w:lvl w:ilvl="0">
      <w:lvlJc w:val="left"/>
      <w:lvlText w:val="(%1)"/>
      <w:numFmt w:val="lowerLetter"/>
      <w:start w:val="5"/>
    </w:lvl>
  </w:abstractNum>
  <w:abstractNum w:abstractNumId="8">
    <w:nsid w:val="6C80EC70"/>
    <w:multiLevelType w:val="hybridMultilevel"/>
    <w:lvl w:ilvl="0">
      <w:lvlJc w:val="left"/>
      <w:lvlText w:val="(%1)"/>
      <w:numFmt w:val="lowerLetter"/>
      <w:start w:val="1"/>
    </w:lvl>
  </w:abstractNum>
  <w:abstractNum w:abstractNumId="9">
    <w:nsid w:val="379E21B5"/>
    <w:multiLevelType w:val="hybridMultilevel"/>
    <w:lvl w:ilvl="0">
      <w:lvlJc w:val="left"/>
      <w:lvlText w:val="(%1)"/>
      <w:numFmt w:val="lowerLetter"/>
      <w:start w:val="2"/>
    </w:lvl>
  </w:abstractNum>
  <w:abstractNum w:abstractNumId="10">
    <w:nsid w:val="69E373"/>
    <w:multiLevelType w:val="hybridMultilevel"/>
    <w:lvl w:ilvl="0">
      <w:lvlJc w:val="left"/>
      <w:lvlText w:val="(%1)"/>
      <w:numFmt w:val="lowerRoman"/>
      <w:start w:val="1"/>
    </w:lvl>
  </w:abstractNum>
  <w:abstractNum w:abstractNumId="11">
    <w:nsid w:val="2C27173B"/>
    <w:multiLevelType w:val="hybridMultilevel"/>
    <w:lvl w:ilvl="0">
      <w:lvlJc w:val="left"/>
      <w:lvlText w:val="(%1)"/>
      <w:numFmt w:val="lowerLetter"/>
      <w:start w:val="1"/>
    </w:lvl>
  </w:abstractNum>
  <w:abstractNum w:abstractNumId="12">
    <w:nsid w:val="4C9B0904"/>
    <w:multiLevelType w:val="hybridMultilevel"/>
    <w:lvl w:ilvl="0">
      <w:lvlJc w:val="left"/>
      <w:lvlText w:val="(%1)"/>
      <w:numFmt w:val="lowerLetter"/>
      <w:start w:val="3"/>
    </w:lvl>
  </w:abstractNum>
  <w:abstractNum w:abstractNumId="13">
    <w:nsid w:val="6AA7B75C"/>
    <w:multiLevelType w:val="hybridMultilevel"/>
    <w:lvl w:ilvl="0">
      <w:lvlJc w:val="left"/>
      <w:lvlText w:val="(%1)"/>
      <w:numFmt w:val="lowerLetter"/>
      <w:start w:val="1"/>
    </w:lvl>
  </w:abstractNum>
  <w:abstractNum w:abstractNumId="14">
    <w:nsid w:val="1DF029D3"/>
    <w:multiLevelType w:val="hybridMultilevel"/>
    <w:lvl w:ilvl="0">
      <w:lvlJc w:val="left"/>
      <w:lvlText w:val="(%1)"/>
      <w:numFmt w:val="lowerLetter"/>
      <w:start w:val="6"/>
    </w:lvl>
  </w:abstractNum>
  <w:abstractNum w:abstractNumId="15">
    <w:nsid w:val="5675FF36"/>
    <w:multiLevelType w:val="hybridMultilevel"/>
    <w:lvl w:ilvl="0">
      <w:lvlJc w:val="left"/>
      <w:lvlText w:val="%1"/>
      <w:numFmt w:val="upperLetter"/>
      <w:start w:val="1"/>
    </w:lvl>
    <w:lvl w:ilvl="1">
      <w:lvlJc w:val="left"/>
      <w:lvlText w:val="(%2)"/>
      <w:numFmt w:val="lowerLetter"/>
      <w:start w:val="1"/>
    </w:lvl>
  </w:abstractNum>
  <w:abstractNum w:abstractNumId="16">
    <w:nsid w:val="3DD15094"/>
    <w:multiLevelType w:val="hybridMultilevel"/>
    <w:lvl w:ilvl="0">
      <w:lvlJc w:val="left"/>
      <w:lvlText w:val="(%1)"/>
      <w:numFmt w:val="upperLetter"/>
      <w:start w:val="1"/>
    </w:lvl>
    <w:lvl w:ilvl="1">
      <w:lvlJc w:val="left"/>
      <w:lvlText w:val="(%2)"/>
      <w:numFmt w:val="lowerLetter"/>
      <w:start w:val="4"/>
    </w:lvl>
  </w:abstractNum>
  <w:abstractNum w:abstractNumId="17">
    <w:nsid w:val="3DB012B3"/>
    <w:multiLevelType w:val="hybridMultilevel"/>
    <w:lvl w:ilvl="0">
      <w:lvlJc w:val="left"/>
      <w:lvlText w:val="(%1)"/>
      <w:numFmt w:val="lowerLetter"/>
      <w:start w:val="7"/>
    </w:lvl>
  </w:abstractNum>
  <w:abstractNum w:abstractNumId="18">
    <w:nsid w:val="2708C9AF"/>
    <w:multiLevelType w:val="hybridMultilevel"/>
    <w:lvl w:ilvl="0">
      <w:lvlJc w:val="left"/>
      <w:lvlText w:val="(%1)"/>
      <w:numFmt w:val="lowerLetter"/>
      <w:start w:val="1"/>
    </w:lvl>
  </w:abstractNum>
  <w:abstractNum w:abstractNumId="19">
    <w:nsid w:val="5B25ACE2"/>
    <w:multiLevelType w:val="hybridMultilevel"/>
    <w:lvl w:ilvl="0">
      <w:lvlJc w:val="left"/>
      <w:lvlText w:val="(%1)"/>
      <w:numFmt w:val="lowerLetter"/>
      <w:start w:val="4"/>
    </w:lvl>
  </w:abstractNum>
  <w:abstractNum w:abstractNumId="20">
    <w:nsid w:val="175DFCF0"/>
    <w:multiLevelType w:val="hybridMultilevel"/>
    <w:lvl w:ilvl="0">
      <w:lvlJc w:val="left"/>
      <w:lvlText w:val="(%1)"/>
      <w:numFmt w:val="lowerLetter"/>
      <w:start w:val="1"/>
    </w:lvl>
  </w:abstractNum>
  <w:abstractNum w:abstractNumId="21">
    <w:nsid w:val="4F97E3E4"/>
    <w:multiLevelType w:val="hybridMultilevel"/>
    <w:lvl w:ilvl="0">
      <w:lvlJc w:val="left"/>
      <w:lvlText w:val="(%1)"/>
      <w:numFmt w:val="lowerLetter"/>
      <w:start w:val="3"/>
    </w:lvl>
  </w:abstractNum>
  <w:abstractNum w:abstractNumId="22">
    <w:nsid w:val="53B0A9E"/>
    <w:multiLevelType w:val="hybridMultilevel"/>
    <w:lvl w:ilvl="0">
      <w:lvlJc w:val="left"/>
      <w:lvlText w:val="(%1)"/>
      <w:numFmt w:val="lowerLetter"/>
      <w:start w:val="4"/>
    </w:lvl>
  </w:abstractNum>
  <w:abstractNum w:abstractNumId="23">
    <w:nsid w:val="34FD6B4F"/>
    <w:multiLevelType w:val="hybridMultilevel"/>
    <w:lvl w:ilvl="0">
      <w:lvlJc w:val="left"/>
      <w:lvlText w:val="(%1)"/>
      <w:numFmt w:val="lowerLetter"/>
      <w:start w:val="1"/>
    </w:lvl>
  </w:abstractNum>
  <w:abstractNum w:abstractNumId="24">
    <w:nsid w:val="5915FF32"/>
    <w:multiLevelType w:val="hybridMultilevel"/>
    <w:lvl w:ilvl="0">
      <w:lvlJc w:val="left"/>
      <w:lvlText w:val="(%1)"/>
      <w:numFmt w:val="lowerLetter"/>
      <w:start w:val="2"/>
    </w:lvl>
  </w:abstractNum>
  <w:abstractNum w:abstractNumId="25">
    <w:nsid w:val="56438D15"/>
    <w:multiLevelType w:val="hybridMultilevel"/>
    <w:lvl w:ilvl="0">
      <w:lvlJc w:val="left"/>
      <w:lvlText w:val="(%1)"/>
      <w:numFmt w:val="lowerLetter"/>
      <w:start w:val="3"/>
    </w:lvl>
  </w:abstractNum>
  <w:abstractNum w:abstractNumId="26">
    <w:nsid w:val="519E3149"/>
    <w:multiLevelType w:val="hybridMultilevel"/>
    <w:lvl w:ilvl="0">
      <w:lvlJc w:val="left"/>
      <w:lvlText w:val="(%1)"/>
      <w:numFmt w:val="lowerRoman"/>
      <w:start w:val="1"/>
    </w:lvl>
  </w:abstractNum>
  <w:abstractNum w:abstractNumId="27">
    <w:nsid w:val="2C6E4AFD"/>
    <w:multiLevelType w:val="hybridMultilevel"/>
    <w:lvl w:ilvl="0">
      <w:lvlJc w:val="left"/>
      <w:lvlText w:val="(%1)"/>
      <w:numFmt w:val="lowerLetter"/>
      <w:start w:val="1"/>
    </w:lvl>
  </w:abstractNum>
  <w:abstractNum w:abstractNumId="28">
    <w:nsid w:val="17A1B582"/>
    <w:multiLevelType w:val="hybridMultilevel"/>
    <w:lvl w:ilvl="0">
      <w:lvlJc w:val="left"/>
      <w:lvlText w:val="%1"/>
      <w:numFmt w:val="lowerLetter"/>
      <w:start w:val="1"/>
    </w:lvl>
    <w:lvl w:ilvl="1">
      <w:lvlJc w:val="left"/>
      <w:lvlText w:val="(%2)"/>
      <w:numFmt w:val="lowerLetter"/>
      <w:start w:val="4"/>
    </w:lvl>
  </w:abstractNum>
  <w:abstractNum w:abstractNumId="29">
    <w:nsid w:val="4DF72E4E"/>
    <w:multiLevelType w:val="hybridMultilevel"/>
    <w:lvl w:ilvl="0">
      <w:lvlJc w:val="left"/>
      <w:lvlText w:val="(%1)"/>
      <w:numFmt w:val="lowerLetter"/>
      <w:start w:val="9"/>
    </w:lvl>
    <w:lvl w:ilvl="1">
      <w:lvlJc w:val="left"/>
      <w:lvlText w:val="%2"/>
      <w:numFmt w:val="lowerLetter"/>
      <w:start w:val="1"/>
    </w:lvl>
  </w:abstractNum>
  <w:abstractNum w:abstractNumId="30">
    <w:nsid w:val="5046B5A9"/>
    <w:multiLevelType w:val="hybridMultilevel"/>
    <w:lvl w:ilvl="0">
      <w:lvlJc w:val="left"/>
      <w:lvlText w:val="(%1)"/>
      <w:numFmt w:val="lowerLetter"/>
      <w:start w:val="2"/>
    </w:lvl>
  </w:abstractNum>
  <w:abstractNum w:abstractNumId="31">
    <w:nsid w:val="5D888A08"/>
    <w:multiLevelType w:val="hybridMultilevel"/>
    <w:lvl w:ilvl="0">
      <w:lvlJc w:val="left"/>
      <w:lvlText w:val="(%1)"/>
      <w:numFmt w:val="lowerRoman"/>
      <w:start w:val="10"/>
    </w:lvl>
  </w:abstractNum>
  <w:abstractNum w:abstractNumId="32">
    <w:nsid w:val="2A082C70"/>
    <w:multiLevelType w:val="hybridMultilevel"/>
    <w:lvl w:ilvl="0">
      <w:lvlJc w:val="left"/>
      <w:lvlText w:val="(%1)"/>
      <w:numFmt w:val="lowerLetter"/>
      <w:start w:val="1"/>
    </w:lvl>
  </w:abstractNum>
  <w:abstractNum w:abstractNumId="33">
    <w:nsid w:val="5EC6AFD4"/>
    <w:multiLevelType w:val="hybridMultilevel"/>
    <w:lvl w:ilvl="0">
      <w:lvlJc w:val="left"/>
      <w:lvlText w:val="(%1)"/>
      <w:numFmt w:val="lowerLetter"/>
      <w:start w:val="1"/>
    </w:lvl>
  </w:abstractNum>
  <w:abstractNum w:abstractNumId="34">
    <w:nsid w:val="19E21BB2"/>
    <w:multiLevelType w:val="hybridMultilevel"/>
    <w:lvl w:ilvl="0">
      <w:lvlJc w:val="left"/>
      <w:lvlText w:val="%1"/>
      <w:numFmt w:val="upperLetter"/>
      <w:start w:val="1"/>
    </w:lvl>
    <w:lvl w:ilvl="1">
      <w:lvlJc w:val="left"/>
      <w:lvlText w:val="(%2)"/>
      <w:numFmt w:val="lowerLetter"/>
      <w:start w:val="2"/>
    </w:lvl>
  </w:abstractNum>
  <w:abstractNum w:abstractNumId="35">
    <w:nsid w:val="75E0858A"/>
    <w:multiLevelType w:val="hybridMultilevel"/>
    <w:lvl w:ilvl="0">
      <w:lvlJc w:val="left"/>
      <w:lvlText w:val="(%1)"/>
      <w:numFmt w:val="upperLetter"/>
      <w:start w:val="1"/>
    </w:lvl>
    <w:lvl w:ilvl="1">
      <w:lvlJc w:val="left"/>
      <w:lvlText w:val="%2"/>
      <w:numFmt w:val="lowerLetter"/>
      <w:start w:val="1"/>
    </w:lvl>
  </w:abstractNum>
  <w:abstractNum w:abstractNumId="36">
    <w:nsid w:val="57A61A29"/>
    <w:multiLevelType w:val="hybridMultilevel"/>
    <w:lvl w:ilvl="0">
      <w:lvlJc w:val="left"/>
      <w:lvlText w:val="(%1)"/>
      <w:numFmt w:val="lowerLetter"/>
      <w:start w:val="1"/>
    </w:lvl>
  </w:abstractNum>
  <w:abstractNum w:abstractNumId="37">
    <w:nsid w:val="5399C654"/>
    <w:multiLevelType w:val="hybridMultilevel"/>
    <w:lvl w:ilvl="0">
      <w:lvlJc w:val="left"/>
      <w:lvlText w:val="(%1)"/>
      <w:numFmt w:val="lowerLetter"/>
      <w:start w:val="6"/>
    </w:lvl>
  </w:abstractNum>
  <w:abstractNum w:abstractNumId="38">
    <w:nsid w:val="20EE1348"/>
    <w:multiLevelType w:val="hybridMultilevel"/>
    <w:lvl w:ilvl="0">
      <w:lvlJc w:val="left"/>
      <w:lvlText w:val="(%1)"/>
      <w:numFmt w:val="lowerLetter"/>
      <w:start w:val="1"/>
    </w:lvl>
  </w:abstractNum>
  <w:abstractNum w:abstractNumId="39">
    <w:nsid w:val="4427069A"/>
    <w:multiLevelType w:val="hybridMultilevel"/>
    <w:lvl w:ilvl="0">
      <w:lvlJc w:val="left"/>
      <w:lvlText w:val="%1"/>
      <w:numFmt w:val="lowerLetter"/>
      <w:start w:val="1"/>
    </w:lvl>
    <w:lvl w:ilvl="1">
      <w:lvlJc w:val="left"/>
      <w:lvlText w:val="(%2)"/>
      <w:numFmt w:val="lowerLetter"/>
      <w:start w:val="1"/>
    </w:lvl>
  </w:abstractNum>
  <w:abstractNum w:abstractNumId="40">
    <w:nsid w:val="B37E80A"/>
    <w:multiLevelType w:val="hybridMultilevel"/>
    <w:lvl w:ilvl="0">
      <w:lvlJc w:val="left"/>
      <w:lvlText w:val="(%1)"/>
      <w:numFmt w:val="lowerLetter"/>
      <w:start w:val="2"/>
    </w:lvl>
    <w:lvl w:ilvl="1">
      <w:lvlJc w:val="left"/>
      <w:lvlText w:val="(%2)"/>
      <w:numFmt w:val="lowerLetter"/>
      <w:start w:val="4"/>
    </w:lvl>
  </w:abstractNum>
  <w:abstractNum w:abstractNumId="41">
    <w:nsid w:val="2157F6BC"/>
    <w:multiLevelType w:val="hybridMultilevel"/>
    <w:lvl w:ilvl="0">
      <w:lvlJc w:val="left"/>
      <w:lvlText w:val="(%1)"/>
      <w:numFmt w:val="lowerLetter"/>
      <w:start w:val="8"/>
    </w:lvl>
  </w:abstractNum>
  <w:abstractNum w:abstractNumId="42">
    <w:nsid w:val="704E1DD5"/>
    <w:multiLevelType w:val="hybridMultilevel"/>
    <w:lvl w:ilvl="0">
      <w:lvlJc w:val="left"/>
      <w:lvlText w:val="(%1)"/>
      <w:numFmt w:val="lowerLetter"/>
      <w:start w:val="1"/>
    </w:lvl>
  </w:abstractNum>
  <w:abstractNum w:abstractNumId="43">
    <w:nsid w:val="57D2F10E"/>
    <w:multiLevelType w:val="hybridMultilevel"/>
    <w:lvl w:ilvl="0">
      <w:lvlJc w:val="left"/>
      <w:lvlText w:val="(%1)"/>
      <w:numFmt w:val="lowerLetter"/>
      <w:start w:val="2"/>
    </w:lvl>
  </w:abstractNum>
  <w:abstractNum w:abstractNumId="44">
    <w:nsid w:val="BFFAE18"/>
    <w:multiLevelType w:val="hybridMultilevel"/>
    <w:lvl w:ilvl="0">
      <w:lvlJc w:val="left"/>
      <w:lvlText w:val="(%1)"/>
      <w:numFmt w:val="lowerLetter"/>
      <w:start w:val="2"/>
    </w:lvl>
  </w:abstractNum>
  <w:abstractNum w:abstractNumId="45">
    <w:nsid w:val="E3E47A8"/>
    <w:multiLevelType w:val="hybridMultilevel"/>
    <w:lvl w:ilvl="0">
      <w:lvlJc w:val="left"/>
      <w:lvlText w:val="(%1)"/>
      <w:numFmt w:val="lowerLetter"/>
      <w:start w:val="1"/>
    </w:lvl>
  </w:abstractNum>
  <w:abstractNum w:abstractNumId="46">
    <w:nsid w:val="2E48F044"/>
    <w:multiLevelType w:val="hybridMultilevel"/>
    <w:lvl w:ilvl="0">
      <w:lvlJc w:val="left"/>
      <w:lvlText w:val="(%1)"/>
      <w:numFmt w:val="lowerLetter"/>
      <w:start w:val="3"/>
    </w:lvl>
  </w:abstractNum>
  <w:abstractNum w:abstractNumId="47">
    <w:nsid w:val="49D0FEAC"/>
    <w:multiLevelType w:val="hybridMultilevel"/>
    <w:lvl w:ilvl="0">
      <w:lvlJc w:val="left"/>
      <w:lvlText w:val="(%1)"/>
      <w:numFmt w:val="lowerLetter"/>
      <w:start w:val="1"/>
    </w:lvl>
  </w:abstractNum>
  <w:abstractNum w:abstractNumId="48">
    <w:nsid w:val="4BEE5A5B"/>
    <w:multiLevelType w:val="hybridMultilevel"/>
    <w:lvl w:ilvl="0">
      <w:lvlJc w:val="left"/>
      <w:lvlText w:val="(%1)"/>
      <w:numFmt w:val="lowerLetter"/>
      <w:start w:val="1"/>
    </w:lvl>
    <w:lvl w:ilvl="1">
      <w:lvlJc w:val="left"/>
      <w:lvlText w:val="(%2)"/>
      <w:numFmt w:val="lowerRoman"/>
      <w:start w:val="1"/>
    </w:lvl>
  </w:abstractNum>
  <w:abstractNum w:abstractNumId="49">
    <w:nsid w:val="5551B9F3"/>
    <w:multiLevelType w:val="hybridMultilevel"/>
    <w:lvl w:ilvl="0">
      <w:lvlJc w:val="left"/>
      <w:lvlText w:val="(%1)"/>
      <w:numFmt w:val="lowerLetter"/>
      <w:start w:val="2"/>
    </w:lvl>
  </w:abstractNum>
  <w:abstractNum w:abstractNumId="50">
    <w:nsid w:val="24F6AB8E"/>
    <w:multiLevelType w:val="hybridMultilevel"/>
    <w:lvl w:ilvl="0">
      <w:lvlJc w:val="left"/>
      <w:lvlText w:val="(%1)"/>
      <w:numFmt w:val="lowerLetter"/>
      <w:start w:val="1"/>
    </w:lvl>
  </w:abstractNum>
  <w:abstractNum w:abstractNumId="51">
    <w:nsid w:val="634C574C"/>
    <w:multiLevelType w:val="hybridMultilevel"/>
    <w:lvl w:ilvl="0">
      <w:lvlJc w:val="left"/>
      <w:lvlText w:val="(%1)"/>
      <w:numFmt w:val="lowerLetter"/>
      <w:start w:val="2"/>
    </w:lvl>
  </w:abstractNum>
  <w:abstractNum w:abstractNumId="52">
    <w:nsid w:val="24E99DD7"/>
    <w:multiLevelType w:val="hybridMultilevel"/>
    <w:lvl w:ilvl="0">
      <w:lvlJc w:val="left"/>
      <w:lvlText w:val="(%1)"/>
      <w:numFmt w:val="lowerLetter"/>
      <w:start w:val="4"/>
    </w:lvl>
  </w:abstractNum>
  <w:abstractNum w:abstractNumId="53">
    <w:nsid w:val="2A31B62D"/>
    <w:multiLevelType w:val="hybridMultilevel"/>
    <w:lvl w:ilvl="0">
      <w:lvlJc w:val="left"/>
      <w:lvlText w:val="(%1)"/>
      <w:numFmt w:val="lowerLetter"/>
      <w:start w:val="1"/>
    </w:lvl>
    <w:lvl w:ilvl="1">
      <w:lvlJc w:val="left"/>
      <w:lvlText w:val="(%2)"/>
      <w:numFmt w:val="lowerLetter"/>
      <w:start w:val="9"/>
    </w:lvl>
  </w:abstractNum>
  <w:abstractNum w:abstractNumId="54">
    <w:nsid w:val="1849C29B"/>
    <w:multiLevelType w:val="hybridMultilevel"/>
    <w:lvl w:ilvl="0">
      <w:lvlJc w:val="left"/>
      <w:lvlText w:val="(%1)"/>
      <w:numFmt w:val="lowerRoman"/>
      <w:start w:val="2"/>
    </w:lvl>
    <w:lvl w:ilvl="1">
      <w:lvlJc w:val="left"/>
      <w:lvlText w:val="(%2)"/>
      <w:numFmt w:val="upperLetter"/>
      <w:start w:val="1"/>
    </w:lvl>
  </w:abstractNum>
  <w:abstractNum w:abstractNumId="55">
    <w:nsid w:val="7DFF9D0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4)"/>
      <w:numFmt w:val="upperLetter"/>
      <w:start w:val="7"/>
    </w:lvl>
  </w:abstractNum>
  <w:abstractNum w:abstractNumId="56">
    <w:nsid w:val="75434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lvl w:ilvl="3">
      <w:lvlJc w:val="left"/>
      <w:lvlText w:val="%4"/>
      <w:numFmt w:val="upperLetter"/>
      <w:start w:val="1"/>
    </w:lvl>
  </w:abstractNum>
  <w:abstractNum w:abstractNumId="57">
    <w:nsid w:val="69E7F3E5"/>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58">
    <w:nsid w:val="2A6DE806"/>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59">
    <w:nsid w:val="1816F8C4"/>
    <w:multiLevelType w:val="hybridMultilevel"/>
    <w:lvl w:ilvl="0">
      <w:lvlJc w:val="left"/>
      <w:lvlText w:val="(%1)"/>
      <w:numFmt w:val="lowerRoman"/>
      <w:start w:val="2"/>
    </w:lvl>
  </w:abstractNum>
  <w:abstractNum w:abstractNumId="60">
    <w:nsid w:val="37DF2233"/>
    <w:multiLevelType w:val="hybridMultilevel"/>
    <w:lvl w:ilvl="0">
      <w:lvlJc w:val="left"/>
      <w:lvlText w:val="%1"/>
      <w:numFmt w:val="lowerLetter"/>
      <w:start w:val="1"/>
    </w:lvl>
    <w:lvl w:ilvl="1">
      <w:lvlJc w:val="left"/>
      <w:lvlText w:val="(%2)"/>
      <w:numFmt w:val="lowerLetter"/>
      <w:start w:val="22"/>
    </w:lvl>
  </w:abstractNum>
  <w:abstractNum w:abstractNumId="61">
    <w:nsid w:val="7AB49DAF"/>
    <w:multiLevelType w:val="hybridMultilevel"/>
    <w:lvl w:ilvl="0">
      <w:lvlJc w:val="left"/>
      <w:lvlText w:val="(%1)"/>
      <w:numFmt w:val="lowerLetter"/>
      <w:start w:val="3"/>
    </w:lvl>
    <w:lvl w:ilvl="1">
      <w:lvlJc w:val="left"/>
      <w:lvlText w:val="(%2)"/>
      <w:numFmt w:val="lowerLetter"/>
      <w:start w:val="9"/>
    </w:lvl>
  </w:abstractNum>
  <w:abstractNum w:abstractNumId="62">
    <w:nsid w:val="759F82CD"/>
    <w:multiLevelType w:val="hybridMultilevel"/>
    <w:lvl w:ilvl="0">
      <w:lvlJc w:val="left"/>
      <w:lvlText w:val="(%1)"/>
      <w:numFmt w:val="lowerRoman"/>
      <w:start w:val="2"/>
    </w:lvl>
  </w:abstractNum>
  <w:abstractNum w:abstractNumId="63">
    <w:nsid w:val="61E74EA3"/>
    <w:multiLevelType w:val="hybridMultilevel"/>
    <w:lvl w:ilvl="0">
      <w:lvlJc w:val="left"/>
      <w:lvlText w:val="%1"/>
      <w:numFmt w:val="lowerLetter"/>
      <w:start w:val="1"/>
    </w:lvl>
    <w:lvl w:ilvl="1">
      <w:lvlJc w:val="left"/>
      <w:lvlText w:val="(%2)"/>
      <w:numFmt w:val="lowerRoman"/>
      <w:start w:val="6"/>
    </w:lvl>
  </w:abstractNum>
  <w:abstractNum w:abstractNumId="64">
    <w:nsid w:val="597B4D84"/>
    <w:multiLevelType w:val="hybridMultilevel"/>
    <w:lvl w:ilvl="0">
      <w:lvlJc w:val="left"/>
      <w:lvlText w:val="(%1)"/>
      <w:numFmt w:val="lowerLetter"/>
      <w:start w:val="4"/>
    </w:lvl>
    <w:lvl w:ilvl="1">
      <w:lvlJc w:val="left"/>
      <w:lvlText w:val="(%2)"/>
      <w:numFmt w:val="lowerRoman"/>
      <w:start w:val="1"/>
    </w:lvl>
  </w:abstractNum>
  <w:abstractNum w:abstractNumId="65">
    <w:nsid w:val="F819E7F"/>
    <w:multiLevelType w:val="hybridMultilevel"/>
    <w:lvl w:ilvl="0">
      <w:lvlJc w:val="left"/>
      <w:lvlText w:val="(%1)"/>
      <w:numFmt w:val="lowerRoman"/>
      <w:start w:val="1"/>
    </w:lvl>
  </w:abstractNum>
  <w:abstractNum w:abstractNumId="66">
    <w:nsid w:val="57C7D42D"/>
    <w:multiLevelType w:val="hybridMultilevel"/>
    <w:lvl w:ilvl="0">
      <w:lvlJc w:val="left"/>
      <w:lvlText w:val="(%1)"/>
      <w:numFmt w:val="lowerLetter"/>
      <w:start w:val="7"/>
    </w:lvl>
  </w:abstractNum>
  <w:abstractNum w:abstractNumId="67">
    <w:nsid w:val="312167AD"/>
    <w:multiLevelType w:val="hybridMultilevel"/>
    <w:lvl w:ilvl="0">
      <w:lvlJc w:val="left"/>
      <w:lvlText w:val="(%1)"/>
      <w:numFmt w:val="lowerLetter"/>
      <w:start w:val="8"/>
    </w:lvl>
  </w:abstractNum>
  <w:abstractNum w:abstractNumId="68">
    <w:nsid w:val="631B64D4"/>
    <w:multiLevelType w:val="hybridMultilevel"/>
    <w:lvl w:ilvl="0">
      <w:lvlJc w:val="left"/>
      <w:lvlText w:val="(%1)"/>
      <w:numFmt w:val="lowerLetter"/>
      <w:start w:val="1"/>
    </w:lvl>
  </w:abstractNum>
  <w:abstractNum w:abstractNumId="69">
    <w:nsid w:val="78B5E776"/>
    <w:multiLevelType w:val="hybridMultilevel"/>
    <w:lvl w:ilvl="0">
      <w:lvlJc w:val="left"/>
      <w:lvlText w:val="(%1)"/>
      <w:numFmt w:val="lowerLetter"/>
      <w:start w:val="2"/>
    </w:lvl>
  </w:abstractNum>
  <w:abstractNum w:abstractNumId="70">
    <w:nsid w:val="75486E47"/>
    <w:multiLevelType w:val="hybridMultilevel"/>
    <w:lvl w:ilvl="0">
      <w:lvlJc w:val="left"/>
      <w:lvlText w:val="(%1)"/>
      <w:numFmt w:val="lowerLetter"/>
      <w:start w:val="3"/>
    </w:lvl>
    <w:lvl w:ilvl="1">
      <w:lvlJc w:val="left"/>
      <w:lvlText w:val="(%2)"/>
      <w:numFmt w:val="lowerRoman"/>
      <w:start w:val="1"/>
    </w:lvl>
  </w:abstractNum>
  <w:abstractNum w:abstractNumId="71">
    <w:nsid w:val="6E534CDE"/>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72">
    <w:nsid w:val="1A0DDE32"/>
    <w:multiLevelType w:val="hybridMultilevel"/>
    <w:lvl w:ilvl="0">
      <w:lvlJc w:val="left"/>
      <w:lvlText w:val="(%1)"/>
      <w:numFmt w:val="lowerLetter"/>
      <w:start w:val="5"/>
    </w:lvl>
    <w:lvl w:ilvl="1">
      <w:lvlJc w:val="left"/>
      <w:lvlText w:val="%2"/>
      <w:numFmt w:val="lowerLetter"/>
      <w:start w:val="1"/>
    </w:lvl>
    <w:lvl w:ilvl="2">
      <w:lvlJc w:val="left"/>
      <w:lvlText w:val="%3"/>
      <w:numFmt w:val="lowerRoman"/>
      <w:start w:val="1"/>
    </w:lvl>
  </w:abstractNum>
  <w:abstractNum w:abstractNumId="73">
    <w:nsid w:val="65968C1C"/>
    <w:multiLevelType w:val="hybridMultilevel"/>
    <w:lvl w:ilvl="0">
      <w:lvlJc w:val="left"/>
      <w:lvlText w:val="(%1)"/>
      <w:numFmt w:val="lowerLetter"/>
      <w:start w:val="1"/>
    </w:lvl>
  </w:abstractNum>
  <w:abstractNum w:abstractNumId="74">
    <w:nsid w:val="46263DEC"/>
    <w:multiLevelType w:val="hybridMultilevel"/>
    <w:lvl w:ilvl="0">
      <w:lvlJc w:val="left"/>
      <w:lvlText w:val="(%1)"/>
      <w:numFmt w:val="lowerLetter"/>
      <w:start w:val="3"/>
    </w:lvl>
  </w:abstractNum>
  <w:abstractNum w:abstractNumId="75">
    <w:nsid w:val="260D8C4A"/>
    <w:multiLevelType w:val="hybridMultilevel"/>
    <w:lvl w:ilvl="0">
      <w:lvlJc w:val="left"/>
      <w:lvlText w:val="(%1)"/>
      <w:numFmt w:val="lowerLetter"/>
      <w:start w:val="7"/>
    </w:lvl>
  </w:abstractNum>
  <w:abstractNum w:abstractNumId="76">
    <w:nsid w:val="73D4D3C4"/>
    <w:multiLevelType w:val="hybridMultilevel"/>
    <w:lvl w:ilvl="0">
      <w:lvlJc w:val="left"/>
      <w:lvlText w:val="(%1)"/>
      <w:numFmt w:val="lowerLetter"/>
      <w:start w:val="1"/>
    </w:lvl>
  </w:abstractNum>
  <w:abstractNum w:abstractNumId="77">
    <w:nsid w:val="746F2E30"/>
    <w:multiLevelType w:val="hybridMultilevel"/>
    <w:lvl w:ilvl="0">
      <w:lvlJc w:val="left"/>
      <w:lvlText w:val="(%1)"/>
      <w:numFmt w:val="lowerLetter"/>
      <w:start w:val="1"/>
    </w:lvl>
    <w:lvl w:ilvl="1">
      <w:lvlJc w:val="left"/>
      <w:lvlText w:val="(%2)"/>
      <w:numFmt w:val="lowerRoman"/>
      <w:start w:val="2"/>
    </w:lvl>
  </w:abstractNum>
  <w:abstractNum w:abstractNumId="78">
    <w:nsid w:val="6FDE8AF6"/>
    <w:multiLevelType w:val="hybridMultilevel"/>
    <w:lvl w:ilvl="0">
      <w:lvlJc w:val="left"/>
      <w:lvlText w:val="(%1)"/>
      <w:numFmt w:val="lowerLetter"/>
      <w:start w:val="1"/>
    </w:lvl>
  </w:abstractNum>
  <w:abstractNum w:abstractNumId="79">
    <w:nsid w:val="3FC32E20"/>
    <w:multiLevelType w:val="hybridMultilevel"/>
    <w:lvl w:ilvl="0">
      <w:lvlJc w:val="left"/>
      <w:lvlText w:val="(%1)"/>
      <w:numFmt w:val="lowerLetter"/>
      <w:start w:val="2"/>
    </w:lvl>
  </w:abstractNum>
  <w:abstractNum w:abstractNumId="80">
    <w:nsid w:val="49C0E823"/>
    <w:multiLevelType w:val="hybridMultilevel"/>
    <w:lvl w:ilvl="0">
      <w:lvlJc w:val="left"/>
      <w:lvlText w:val="(%1)"/>
      <w:numFmt w:val="lowerLetter"/>
      <w:start w:val="1"/>
    </w:lvl>
  </w:abstractNum>
  <w:abstractNum w:abstractNumId="81">
    <w:nsid w:val="14D53685"/>
    <w:multiLevelType w:val="hybridMultilevel"/>
    <w:lvl w:ilvl="0">
      <w:lvlJc w:val="left"/>
      <w:lvlText w:val="(%1)"/>
      <w:numFmt w:val="lowerLetter"/>
      <w:start w:val="1"/>
    </w:lvl>
  </w:abstractNum>
  <w:abstractNum w:abstractNumId="82">
    <w:nsid w:val="230F856C"/>
    <w:multiLevelType w:val="hybridMultilevel"/>
    <w:lvl w:ilvl="0">
      <w:lvlJc w:val="left"/>
      <w:lvlText w:val="(%1)"/>
      <w:numFmt w:val="lowerLetter"/>
      <w:start w:val="2"/>
    </w:lvl>
  </w:abstractNum>
  <w:abstractNum w:abstractNumId="83">
    <w:nsid w:val="6EAA85FB"/>
    <w:multiLevelType w:val="hybridMultilevel"/>
    <w:lvl w:ilvl="0">
      <w:lvlJc w:val="left"/>
      <w:lvlText w:val="(%1)"/>
      <w:numFmt w:val="lowerRoman"/>
      <w:start w:val="2"/>
    </w:lvl>
  </w:abstractNum>
  <w:abstractNum w:abstractNumId="84">
    <w:nsid w:val="3F06ECB2"/>
    <w:multiLevelType w:val="hybridMultilevel"/>
    <w:lvl w:ilvl="0">
      <w:lvlJc w:val="left"/>
      <w:lvlText w:val="(%1)"/>
      <w:numFmt w:val="lowerLetter"/>
      <w:start w:val="3"/>
    </w:lvl>
  </w:abstractNum>
  <w:abstractNum w:abstractNumId="85">
    <w:nsid w:val="3B594807"/>
    <w:multiLevelType w:val="hybridMultilevel"/>
    <w:lvl w:ilvl="0">
      <w:lvlJc w:val="left"/>
      <w:lvlText w:val="(%1)"/>
      <w:numFmt w:val="lowerRoman"/>
      <w:start w:val="1"/>
    </w:lvl>
  </w:abstractNum>
  <w:abstractNum w:abstractNumId="86">
    <w:nsid w:val="6CAA2304"/>
    <w:multiLevelType w:val="hybridMultilevel"/>
    <w:lvl w:ilvl="0">
      <w:lvlJc w:val="left"/>
      <w:lvlText w:val="(%1)"/>
      <w:numFmt w:val="lowerLetter"/>
      <w:start w:val="1"/>
    </w:lvl>
  </w:abstractNum>
  <w:abstractNum w:abstractNumId="87">
    <w:nsid w:val="3F7C2FF4"/>
    <w:multiLevelType w:val="hybridMultilevel"/>
    <w:lvl w:ilvl="0">
      <w:lvlJc w:val="left"/>
      <w:lvlText w:val="(%1)"/>
      <w:numFmt w:val="lowerLetter"/>
      <w:start w:val="1"/>
    </w:lvl>
  </w:abstractNum>
  <w:abstractNum w:abstractNumId="88">
    <w:nsid w:val="25413BEC"/>
    <w:multiLevelType w:val="hybridMultilevel"/>
    <w:lvl w:ilvl="0">
      <w:lvlJc w:val="left"/>
      <w:lvlText w:val="%1"/>
      <w:numFmt w:val="upperLetter"/>
      <w:start w:val="1"/>
    </w:lvl>
    <w:lvl w:ilvl="1">
      <w:lvlJc w:val="left"/>
      <w:lvlText w:val="(%2)"/>
      <w:numFmt w:val="lowerLetter"/>
      <w:start w:val="4"/>
    </w:lvl>
  </w:abstractNum>
  <w:abstractNum w:abstractNumId="89">
    <w:nsid w:val="17180B0B"/>
    <w:multiLevelType w:val="hybridMultilevel"/>
    <w:lvl w:ilvl="0">
      <w:lvlJc w:val="left"/>
      <w:lvlText w:val="(%1)"/>
      <w:numFmt w:val="upperLetter"/>
      <w:start w:val="2"/>
    </w:lvl>
    <w:lvl w:ilvl="1">
      <w:lvlJc w:val="left"/>
      <w:lvlText w:val="(%2)"/>
      <w:numFmt w:val="lowerLetter"/>
      <w:start w:val="6"/>
    </w:lvl>
  </w:abstractNum>
  <w:abstractNum w:abstractNumId="90">
    <w:nsid w:val="579328B9"/>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lvl w:ilvl="3">
      <w:lvlJc w:val="left"/>
      <w:lvlText w:val="(%4)"/>
      <w:numFmt w:val="upperLetter"/>
      <w:start w:val="1"/>
    </w:lvl>
  </w:abstractNum>
  <w:abstractNum w:abstractNumId="91">
    <w:nsid w:val="5D205E2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92">
    <w:nsid w:val="11CCA8BA"/>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93">
    <w:nsid w:val="4D32AB86"/>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94">
    <w:nsid w:val="3F07ACC3"/>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95">
    <w:nsid w:val="6B47F63E"/>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3"/>
    </w:lvl>
    <w:lvl w:ilvl="3">
      <w:lvlJc w:val="left"/>
      <w:lvlText w:val="(%4)"/>
      <w:numFmt w:val="lowerRoman"/>
      <w:start w:val="1"/>
    </w:lvl>
  </w:abstractNum>
  <w:abstractNum w:abstractNumId="96">
    <w:nsid w:val="5CB44A05"/>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97">
    <w:nsid w:val="16CF80F1"/>
    <w:multiLevelType w:val="hybridMultilevel"/>
    <w:lvl w:ilvl="0">
      <w:lvlJc w:val="left"/>
      <w:lvlText w:val="(%1)"/>
      <w:numFmt w:val="upperLetter"/>
      <w:start w:val="9"/>
    </w:lvl>
  </w:abstractNum>
  <w:abstractNum w:abstractNumId="98">
    <w:nsid w:val="1C695DEC"/>
    <w:multiLevelType w:val="hybridMultilevel"/>
    <w:lvl w:ilvl="0">
      <w:lvlJc w:val="left"/>
      <w:lvlText w:val="(%1)"/>
      <w:numFmt w:val="upperLetter"/>
      <w:start w:val="35"/>
    </w:lvl>
    <w:lvl w:ilvl="1">
      <w:lvlJc w:val="left"/>
      <w:lvlText w:val="%2"/>
      <w:numFmt w:val="upperLetter"/>
      <w:start w:val="1"/>
    </w:lvl>
  </w:abstractNum>
  <w:abstractNum w:abstractNumId="99">
    <w:nsid w:val="3FCFAED9"/>
    <w:multiLevelType w:val="hybridMultilevel"/>
    <w:lvl w:ilvl="0">
      <w:lvlJc w:val="left"/>
      <w:lvlText w:val="(%1)"/>
      <w:numFmt w:val="upperLetter"/>
      <w:start w:val="61"/>
    </w:lvl>
    <w:lvl w:ilvl="1">
      <w:lvlJc w:val="left"/>
      <w:lvlText w:val="%2"/>
      <w:numFmt w:val="upperLetter"/>
      <w:start w:val="1"/>
    </w:lvl>
  </w:abstractNum>
  <w:abstractNum w:abstractNumId="100">
    <w:nsid w:val="F856867"/>
    <w:multiLevelType w:val="hybridMultilevel"/>
    <w:lvl w:ilvl="0">
      <w:lvlJc w:val="left"/>
      <w:lvlText w:val="(%1)"/>
      <w:numFmt w:val="upperLetter"/>
      <w:start w:val="3"/>
    </w:lvl>
  </w:abstractNum>
  <w:abstractNum w:abstractNumId="101">
    <w:nsid w:val="11B1CC33"/>
    <w:multiLevelType w:val="hybridMultilevel"/>
    <w:lvl w:ilvl="0">
      <w:lvlJc w:val="left"/>
      <w:lvlText w:val="%1"/>
      <w:numFmt w:val="lowerLetter"/>
      <w:start w:val="1"/>
    </w:lvl>
    <w:lvl w:ilvl="1">
      <w:lvlJc w:val="left"/>
      <w:lvlText w:val="(%2)"/>
      <w:numFmt w:val="lowerLetter"/>
      <w:start w:val="61"/>
    </w:lvl>
  </w:abstractNum>
  <w:abstractNum w:abstractNumId="102">
    <w:nsid w:val="2E22FBB7"/>
    <w:multiLevelType w:val="hybridMultilevel"/>
    <w:lvl w:ilvl="0">
      <w:lvlJc w:val="left"/>
      <w:lvlText w:val="(%1)"/>
      <w:numFmt w:val="lowerLetter"/>
      <w:start w:val="6"/>
    </w:lvl>
    <w:lvl w:ilvl="1">
      <w:lvlJc w:val="left"/>
      <w:lvlText w:val="%2"/>
      <w:numFmt w:val="lowerLetter"/>
      <w:start w:val="1"/>
    </w:lvl>
  </w:abstractNum>
  <w:abstractNum w:abstractNumId="103">
    <w:nsid w:val="29934699"/>
    <w:multiLevelType w:val="hybridMultilevel"/>
    <w:lvl w:ilvl="0">
      <w:lvlJc w:val="left"/>
      <w:lvlText w:val="(%1)"/>
      <w:numFmt w:val="lowerLetter"/>
      <w:start w:val="1"/>
    </w:lvl>
    <w:lvl w:ilvl="1">
      <w:lvlJc w:val="left"/>
      <w:lvlText w:val="(%2)"/>
      <w:numFmt w:val="lowerRoman"/>
      <w:start w:val="1"/>
    </w:lvl>
  </w:abstractNum>
  <w:abstractNum w:abstractNumId="104">
    <w:nsid w:val="77485850"/>
    <w:multiLevelType w:val="hybridMultilevel"/>
    <w:lvl w:ilvl="0">
      <w:lvlJc w:val="left"/>
      <w:lvlText w:val="(%1)"/>
      <w:numFmt w:val="lowerRoman"/>
      <w:start w:val="3"/>
    </w:lvl>
  </w:abstractNum>
  <w:abstractNum w:abstractNumId="105">
    <w:nsid w:val="744939A3"/>
    <w:multiLevelType w:val="hybridMultilevel"/>
    <w:lvl w:ilvl="0">
      <w:lvlJc w:val="left"/>
      <w:lvlText w:val="(%1)"/>
      <w:numFmt w:val="lowerLetter"/>
      <w:start w:val="2"/>
    </w:lvl>
  </w:abstractNum>
  <w:abstractNum w:abstractNumId="106">
    <w:nsid w:val="4FA0D2E3"/>
    <w:multiLevelType w:val="hybridMultilevel"/>
    <w:lvl w:ilvl="0">
      <w:lvlJc w:val="left"/>
      <w:lvlText w:val="(%1)"/>
      <w:numFmt w:val="lowerLetter"/>
      <w:start w:val="1"/>
    </w:lvl>
  </w:abstractNum>
  <w:abstractNum w:abstractNumId="107">
    <w:nsid w:val="6B1D2C14"/>
    <w:multiLevelType w:val="hybridMultilevel"/>
    <w:lvl w:ilvl="0">
      <w:lvlJc w:val="left"/>
      <w:lvlText w:val="(%1)"/>
      <w:numFmt w:val="lowerLetter"/>
      <w:start w:val="1"/>
    </w:lvl>
  </w:abstractNum>
  <w:abstractNum w:abstractNumId="108">
    <w:nsid w:val="68B867D3"/>
    <w:multiLevelType w:val="hybridMultilevel"/>
    <w:lvl w:ilvl="0">
      <w:lvlJc w:val="left"/>
      <w:lvlText w:val="(%1)"/>
      <w:numFmt w:val="lowerLetter"/>
      <w:start w:val="1"/>
    </w:lvl>
  </w:abstractNum>
  <w:abstractNum w:abstractNumId="109">
    <w:nsid w:val="3F7F5DD9"/>
    <w:multiLevelType w:val="hybridMultilevel"/>
    <w:lvl w:ilvl="0">
      <w:lvlJc w:val="left"/>
      <w:lvlText w:val="(%1)"/>
      <w:numFmt w:val="lowerLetter"/>
      <w:start w:val="1"/>
    </w:lvl>
    <w:lvl w:ilvl="1">
      <w:lvlJc w:val="left"/>
      <w:lvlText w:val="(%2)"/>
      <w:numFmt w:val="lowerRoman"/>
      <w:start w:val="1"/>
    </w:lvl>
  </w:abstractNum>
  <w:abstractNum w:abstractNumId="110">
    <w:nsid w:val="2AE05A34"/>
    <w:multiLevelType w:val="hybridMultilevel"/>
    <w:lvl w:ilvl="0">
      <w:lvlJc w:val="left"/>
      <w:lvlText w:val="(%1)"/>
      <w:numFmt w:val="lowerRoman"/>
      <w:start w:val="3"/>
    </w:lvl>
  </w:abstractNum>
  <w:abstractNum w:abstractNumId="111">
    <w:nsid w:val="32794FF7"/>
    <w:multiLevelType w:val="hybridMultilevel"/>
    <w:lvl w:ilvl="0">
      <w:lvlJc w:val="left"/>
      <w:lvlText w:val="%1"/>
      <w:numFmt w:val="upperLetter"/>
      <w:start w:val="1"/>
    </w:lvl>
    <w:lvl w:ilvl="1">
      <w:lvlJc w:val="left"/>
      <w:lvlText w:val="(%2)"/>
      <w:numFmt w:val="lowerRoman"/>
      <w:start w:val="4"/>
    </w:lvl>
  </w:abstractNum>
  <w:abstractNum w:abstractNumId="112">
    <w:nsid w:val="5454945E"/>
    <w:multiLevelType w:val="hybridMultilevel"/>
    <w:lvl w:ilvl="0">
      <w:lvlJc w:val="left"/>
      <w:lvlText w:val="(%1)"/>
      <w:numFmt w:val="upperLetter"/>
      <w:start w:val="2"/>
    </w:lvl>
    <w:lvl w:ilvl="1">
      <w:lvlJc w:val="left"/>
      <w:lvlText w:val="(%2)"/>
      <w:numFmt w:val="lowerRoman"/>
      <w:start w:val="7"/>
    </w:lvl>
  </w:abstractNum>
  <w:abstractNum w:abstractNumId="113">
    <w:nsid w:val="4DEFDFA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3"/>
    </w:lvl>
  </w:abstractNum>
  <w:abstractNum w:abstractNumId="114">
    <w:nsid w:val="2123D5F2"/>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15">
    <w:nsid w:val="135B8110"/>
    <w:multiLevelType w:val="hybridMultilevel"/>
    <w:lvl w:ilvl="0">
      <w:lvlJc w:val="left"/>
      <w:lvlText w:val="(%1)"/>
      <w:numFmt w:val="lowerLetter"/>
      <w:start w:val="25"/>
    </w:lvl>
    <w:lvl w:ilvl="1">
      <w:lvlJc w:val="left"/>
      <w:lvlText w:val="(%2)"/>
      <w:numFmt w:val="lowerLetter"/>
      <w:start w:val="6"/>
    </w:lvl>
    <w:lvl w:ilvl="2">
      <w:lvlJc w:val="left"/>
      <w:lvlText w:val="%3"/>
      <w:numFmt w:val="lowerRoman"/>
      <w:start w:val="1"/>
    </w:lvl>
  </w:abstractNum>
  <w:abstractNum w:abstractNumId="116">
    <w:nsid w:val="94927A8"/>
    <w:multiLevelType w:val="hybridMultilevel"/>
    <w:lvl w:ilvl="0">
      <w:lvlJc w:val="left"/>
      <w:lvlText w:val="(%1)"/>
      <w:numFmt w:val="lowerLetter"/>
      <w:start w:val="8"/>
    </w:lvl>
  </w:abstractNum>
  <w:abstractNum w:abstractNumId="117">
    <w:nsid w:val="DCDF8F6"/>
    <w:multiLevelType w:val="hybridMultilevel"/>
    <w:lvl w:ilvl="0">
      <w:lvlJc w:val="left"/>
      <w:lvlText w:val="(%1)"/>
      <w:numFmt w:val="lowerLetter"/>
      <w:start w:val="10"/>
    </w:lvl>
  </w:abstractNum>
  <w:abstractNum w:abstractNumId="118">
    <w:nsid w:val="52D7B105"/>
    <w:multiLevelType w:val="hybridMultilevel"/>
    <w:lvl w:ilvl="0">
      <w:lvlJc w:val="left"/>
      <w:lvlText w:val="(%1)"/>
      <w:numFmt w:val="lowerLetter"/>
      <w:start w:val="1"/>
    </w:lvl>
  </w:abstractNum>
  <w:abstractNum w:abstractNumId="119">
    <w:nsid w:val="2E8A6394"/>
    <w:multiLevelType w:val="hybridMultilevel"/>
    <w:lvl w:ilvl="0">
      <w:lvlJc w:val="left"/>
      <w:lvlText w:val="(%1)"/>
      <w:numFmt w:val="lowerLetter"/>
      <w:start w:val="3"/>
    </w:lvl>
  </w:abstractNum>
  <w:abstractNum w:abstractNumId="120">
    <w:nsid w:val="24E60401"/>
    <w:multiLevelType w:val="hybridMultilevel"/>
    <w:lvl w:ilvl="0">
      <w:lvlJc w:val="left"/>
      <w:lvlText w:val="(%1)"/>
      <w:numFmt w:val="lowerLetter"/>
      <w:start w:val="1"/>
    </w:lvl>
  </w:abstractNum>
  <w:abstractNum w:abstractNumId="121">
    <w:nsid w:val="2A6AD9BE"/>
    <w:multiLevelType w:val="hybridMultilevel"/>
    <w:lvl w:ilvl="0">
      <w:lvlJc w:val="left"/>
      <w:lvlText w:val="(%1)"/>
      <w:numFmt w:val="lowerLetter"/>
      <w:start w:val="1"/>
    </w:lvl>
  </w:abstractNum>
  <w:abstractNum w:abstractNumId="122">
    <w:nsid w:val="BAAC1B4"/>
    <w:multiLevelType w:val="hybridMultilevel"/>
    <w:lvl w:ilvl="0">
      <w:lvlJc w:val="left"/>
      <w:lvlText w:val="(%1)"/>
      <w:numFmt w:val="lowerLetter"/>
      <w:start w:val="35"/>
    </w:lvl>
    <w:lvl w:ilvl="1">
      <w:lvlJc w:val="left"/>
      <w:lvlText w:val="(%2)"/>
      <w:numFmt w:val="lowerLetter"/>
      <w:start w:val="2"/>
    </w:lvl>
  </w:abstractNum>
  <w:abstractNum w:abstractNumId="123">
    <w:nsid w:val="36B2ACBC"/>
    <w:multiLevelType w:val="hybridMultilevel"/>
    <w:lvl w:ilvl="0">
      <w:lvlJc w:val="left"/>
      <w:lvlText w:val="(%1)"/>
      <w:numFmt w:val="lowerLetter"/>
      <w:start w:val="3"/>
    </w:lvl>
  </w:abstractNum>
  <w:abstractNum w:abstractNumId="124">
    <w:nsid w:val="779D8544"/>
    <w:multiLevelType w:val="hybridMultilevel"/>
    <w:lvl w:ilvl="0">
      <w:lvlJc w:val="left"/>
      <w:lvlText w:val="(%1)"/>
      <w:numFmt w:val="lowerLetter"/>
      <w:start w:val="1"/>
    </w:lvl>
  </w:abstractNum>
  <w:abstractNum w:abstractNumId="125">
    <w:nsid w:val="4AB26E78"/>
    <w:multiLevelType w:val="hybridMultilevel"/>
    <w:lvl w:ilvl="0">
      <w:lvlJc w:val="left"/>
      <w:lvlText w:val="(%1)"/>
      <w:numFmt w:val="lowerLetter"/>
      <w:start w:val="3"/>
    </w:lvl>
  </w:abstractNum>
  <w:abstractNum w:abstractNumId="126">
    <w:nsid w:val="21FAA2FA"/>
    <w:multiLevelType w:val="hybridMultilevel"/>
    <w:lvl w:ilvl="0">
      <w:lvlJc w:val="left"/>
      <w:lvlText w:val="(%1)"/>
      <w:numFmt w:val="lowerLetter"/>
      <w:start w:val="1"/>
    </w:lvl>
  </w:abstractNum>
  <w:abstractNum w:abstractNumId="127">
    <w:nsid w:val="5451CF49"/>
    <w:multiLevelType w:val="hybridMultilevel"/>
    <w:lvl w:ilvl="0">
      <w:lvlJc w:val="left"/>
      <w:lvlText w:val="(%1)"/>
      <w:numFmt w:val="lowerLetter"/>
      <w:start w:val="1"/>
    </w:lvl>
  </w:abstractNum>
  <w:abstractNum w:abstractNumId="128">
    <w:nsid w:val="6181EF69"/>
    <w:multiLevelType w:val="hybridMultilevel"/>
    <w:lvl w:ilvl="0">
      <w:lvlJc w:val="left"/>
      <w:lvlText w:val="(%1)"/>
      <w:numFmt w:val="lowerLetter"/>
      <w:start w:val="1"/>
    </w:lvl>
  </w:abstractNum>
  <w:abstractNum w:abstractNumId="129">
    <w:nsid w:val="3E6400E6"/>
    <w:multiLevelType w:val="hybridMultilevel"/>
    <w:lvl w:ilvl="0">
      <w:lvlJc w:val="left"/>
      <w:lvlText w:val="(%1)"/>
      <w:numFmt w:val="lowerLetter"/>
      <w:start w:val="1"/>
    </w:lvl>
  </w:abstractNum>
  <w:abstractNum w:abstractNumId="130">
    <w:nsid w:val="14217E23"/>
    <w:multiLevelType w:val="hybridMultilevel"/>
    <w:lvl w:ilvl="0">
      <w:lvlJc w:val="left"/>
      <w:lvlText w:val="(%1)"/>
      <w:numFmt w:val="lowerLetter"/>
      <w:start w:val="1"/>
    </w:lvl>
  </w:abstractNum>
  <w:abstractNum w:abstractNumId="131">
    <w:nsid w:val="710757D0"/>
    <w:multiLevelType w:val="hybridMultilevel"/>
    <w:lvl w:ilvl="0">
      <w:lvlJc w:val="left"/>
      <w:lvlText w:val="(%1)"/>
      <w:numFmt w:val="lowerRoman"/>
      <w:start w:val="1"/>
    </w:lvl>
  </w:abstractNum>
  <w:abstractNum w:abstractNumId="132">
    <w:nsid w:val="5015CD1A"/>
    <w:multiLevelType w:val="hybridMultilevel"/>
    <w:lvl w:ilvl="0">
      <w:lvlJc w:val="left"/>
      <w:lvlText w:val="(%1)"/>
      <w:numFmt w:val="lowerLetter"/>
      <w:start w:val="1"/>
    </w:lvl>
  </w:abstractNum>
  <w:abstractNum w:abstractNumId="133">
    <w:nsid w:val="424479DA"/>
    <w:multiLevelType w:val="hybridMultilevel"/>
    <w:lvl w:ilvl="0">
      <w:lvlJc w:val="left"/>
      <w:lvlText w:val="(%1)"/>
      <w:numFmt w:val="lowerLetter"/>
      <w:start w:val="2"/>
    </w:lvl>
  </w:abstractNum>
  <w:abstractNum w:abstractNumId="134">
    <w:nsid w:val="1A9A9E69"/>
    <w:multiLevelType w:val="hybridMultilevel"/>
    <w:lvl w:ilvl="0">
      <w:lvlJc w:val="left"/>
      <w:lvlText w:val="(%1)"/>
      <w:numFmt w:val="lowerLetter"/>
      <w:start w:val="1"/>
    </w:lvl>
  </w:abstractNum>
  <w:abstractNum w:abstractNumId="135">
    <w:nsid w:val="475E256A"/>
    <w:multiLevelType w:val="hybridMultilevel"/>
    <w:lvl w:ilvl="0">
      <w:lvlJc w:val="left"/>
      <w:lvlText w:val="(%1)"/>
      <w:numFmt w:val="lowerLetter"/>
      <w:start w:val="5"/>
    </w:lvl>
  </w:abstractNum>
  <w:abstractNum w:abstractNumId="136">
    <w:nsid w:val="368DB37E"/>
    <w:multiLevelType w:val="hybridMultilevel"/>
    <w:lvl w:ilvl="0">
      <w:lvlJc w:val="left"/>
      <w:lvlText w:val="(%1)"/>
      <w:numFmt w:val="lowerLetter"/>
      <w:start w:val="1"/>
    </w:lvl>
  </w:abstractNum>
  <w:abstractNum w:abstractNumId="137">
    <w:nsid w:val="6A3B714C"/>
    <w:multiLevelType w:val="hybridMultilevel"/>
    <w:lvl w:ilvl="0">
      <w:lvlJc w:val="left"/>
      <w:lvlText w:val="(%1)"/>
      <w:numFmt w:val="lowerLetter"/>
      <w:start w:val="1"/>
    </w:lvl>
  </w:abstractNum>
  <w:abstractNum w:abstractNumId="138">
    <w:nsid w:val="327B517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39">
    <w:nsid w:val="1F461B51"/>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140">
    <w:nsid w:val="29BACF25"/>
    <w:multiLevelType w:val="hybridMultilevel"/>
    <w:lvl w:ilvl="0">
      <w:lvlJc w:val="left"/>
      <w:lvlText w:val="%1"/>
      <w:numFmt w:val="lowerLetter"/>
      <w:start w:val="1"/>
    </w:lvl>
    <w:lvl w:ilvl="1">
      <w:lvlJc w:val="left"/>
      <w:lvlText w:val="(%2)"/>
      <w:numFmt w:val="lowerRoman"/>
      <w:start w:val="4"/>
    </w:lvl>
  </w:abstractNum>
  <w:abstractNum w:abstractNumId="141">
    <w:nsid w:val="5D5BABB3"/>
    <w:multiLevelType w:val="hybridMultilevel"/>
    <w:lvl w:ilvl="0">
      <w:lvlJc w:val="left"/>
      <w:lvlText w:val="(%1)"/>
      <w:numFmt w:val="lowerLetter"/>
      <w:start w:val="4"/>
    </w:lvl>
    <w:lvl w:ilvl="1">
      <w:lvlJc w:val="left"/>
      <w:lvlText w:val="%2"/>
      <w:numFmt w:val="lowerRoman"/>
      <w:start w:val="1"/>
    </w:lvl>
  </w:abstractNum>
  <w:abstractNum w:abstractNumId="142">
    <w:nsid w:val="51BF6B48"/>
    <w:multiLevelType w:val="hybridMultilevel"/>
    <w:lvl w:ilvl="0">
      <w:lvlJc w:val="left"/>
      <w:lvlText w:val="(%1)"/>
      <w:numFmt w:val="lowerRoman"/>
      <w:start w:val="4"/>
    </w:lvl>
  </w:abstractNum>
  <w:abstractNum w:abstractNumId="143">
    <w:nsid w:val="7E0F6384"/>
    <w:multiLevelType w:val="hybridMultilevel"/>
    <w:lvl w:ilvl="0">
      <w:lvlJc w:val="left"/>
      <w:lvlText w:val="(%1)"/>
      <w:numFmt w:val="lowerLetter"/>
      <w:start w:val="1"/>
    </w:lvl>
  </w:abstractNum>
  <w:abstractNum w:abstractNumId="144">
    <w:nsid w:val="2B4B8B53"/>
    <w:multiLevelType w:val="hybridMultilevel"/>
    <w:lvl w:ilvl="0">
      <w:lvlJc w:val="left"/>
      <w:lvlText w:val="(%1)"/>
      <w:numFmt w:val="lowerLetter"/>
      <w:start w:val="2"/>
    </w:lvl>
  </w:abstractNum>
  <w:abstractNum w:abstractNumId="145">
    <w:nsid w:val="72E3413A"/>
    <w:multiLevelType w:val="hybridMultilevel"/>
    <w:lvl w:ilvl="0">
      <w:lvlJc w:val="left"/>
      <w:lvlText w:val="(%1)"/>
      <w:numFmt w:val="lowerLetter"/>
      <w:start w:val="1"/>
    </w:lvl>
  </w:abstractNum>
  <w:abstractNum w:abstractNumId="146">
    <w:nsid w:val="116AE494"/>
    <w:multiLevelType w:val="hybridMultilevel"/>
    <w:lvl w:ilvl="0">
      <w:lvlJc w:val="left"/>
      <w:lvlText w:val="(%1)"/>
      <w:numFmt w:val="lowerLetter"/>
      <w:start w:val="1"/>
    </w:lvl>
  </w:abstractNum>
  <w:abstractNum w:abstractNumId="147">
    <w:nsid w:val="3494B2FB"/>
    <w:multiLevelType w:val="hybridMultilevel"/>
    <w:lvl w:ilvl="0">
      <w:lvlJc w:val="left"/>
      <w:lvlText w:val="(%1)"/>
      <w:numFmt w:val="lowerLetter"/>
      <w:start w:val="3"/>
    </w:lvl>
  </w:abstractNum>
  <w:abstractNum w:abstractNumId="148">
    <w:nsid w:val="B13A31"/>
    <w:multiLevelType w:val="hybridMultilevel"/>
    <w:lvl w:ilvl="0">
      <w:lvlJc w:val="left"/>
      <w:lvlText w:val="(%1)"/>
      <w:numFmt w:val="lowerLetter"/>
      <w:start w:val="1"/>
    </w:lvl>
  </w:abstractNum>
  <w:abstractNum w:abstractNumId="149">
    <w:nsid w:val="64429599"/>
    <w:multiLevelType w:val="hybridMultilevel"/>
    <w:lvl w:ilvl="0">
      <w:lvlJc w:val="left"/>
      <w:lvlText w:val="(%1)"/>
      <w:numFmt w:val="lowerLetter"/>
      <w:start w:val="1"/>
    </w:lvl>
  </w:abstractNum>
  <w:abstractNum w:abstractNumId="150">
    <w:nsid w:val="631F1690"/>
    <w:multiLevelType w:val="hybridMultilevel"/>
    <w:lvl w:ilvl="0">
      <w:lvlJc w:val="left"/>
      <w:lvlText w:val="(%1)"/>
      <w:numFmt w:val="lowerLetter"/>
      <w:start w:val="1"/>
    </w:lvl>
  </w:abstractNum>
  <w:abstractNum w:abstractNumId="151">
    <w:nsid w:val="25973E32"/>
    <w:multiLevelType w:val="hybridMultilevel"/>
    <w:lvl w:ilvl="0">
      <w:lvlJc w:val="left"/>
      <w:lvlText w:val="(%1)"/>
      <w:numFmt w:val="lowerLetter"/>
      <w:start w:val="1"/>
    </w:lvl>
  </w:abstractNum>
  <w:abstractNum w:abstractNumId="152">
    <w:nsid w:val="EAD6F57"/>
    <w:multiLevelType w:val="hybridMultilevel"/>
    <w:lvl w:ilvl="0">
      <w:lvlJc w:val="left"/>
      <w:lvlText w:val="(%1)"/>
      <w:numFmt w:val="lowerLetter"/>
      <w:start w:val="4"/>
    </w:lvl>
  </w:abstractNum>
  <w:abstractNum w:abstractNumId="153">
    <w:nsid w:val="6EC9D844"/>
    <w:multiLevelType w:val="hybridMultilevel"/>
    <w:lvl w:ilvl="0">
      <w:lvlJc w:val="left"/>
      <w:lvlText w:val="%1"/>
      <w:numFmt w:val="upperLetter"/>
      <w:start w:val="1"/>
    </w:lvl>
    <w:lvl w:ilvl="1">
      <w:lvlJc w:val="left"/>
      <w:lvlText w:val="(%2)"/>
      <w:numFmt w:val="lowerLetter"/>
      <w:start w:val="9"/>
    </w:lvl>
    <w:lvl w:ilvl="2">
      <w:lvlJc w:val="left"/>
      <w:lvlText w:val="(%3)"/>
      <w:numFmt w:val="lowerLetter"/>
      <w:start w:val="11"/>
    </w:lvl>
    <w:lvl w:ilvl="3">
      <w:lvlJc w:val="left"/>
      <w:lvlText w:val="(%4)"/>
      <w:numFmt w:val="lowerLetter"/>
      <w:start w:val="11"/>
    </w:lvl>
  </w:abstractNum>
  <w:abstractNum w:abstractNumId="154">
    <w:nsid w:val="5C49EAEE"/>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155">
    <w:nsid w:val="64AF49B"/>
    <w:multiLevelType w:val="hybridMultilevel"/>
    <w:lvl w:ilvl="0">
      <w:lvlJc w:val="left"/>
      <w:lvlText w:val="(%1)"/>
      <w:numFmt w:val="lowerLetter"/>
      <w:start w:val="16"/>
    </w:lvl>
  </w:abstractNum>
  <w:abstractNum w:abstractNumId="156">
    <w:nsid w:val="397C46BC"/>
    <w:multiLevelType w:val="hybridMultilevel"/>
    <w:lvl w:ilvl="0">
      <w:lvlJc w:val="left"/>
      <w:lvlText w:val="(%1)"/>
      <w:numFmt w:val="lowerLetter"/>
      <w:start w:val="1"/>
    </w:lvl>
  </w:abstractNum>
  <w:abstractNum w:abstractNumId="157">
    <w:nsid w:val="7E448DE9"/>
    <w:multiLevelType w:val="hybridMultilevel"/>
    <w:lvl w:ilvl="0">
      <w:lvlJc w:val="left"/>
      <w:lvlText w:val="(%1)"/>
      <w:numFmt w:val="lowerLetter"/>
      <w:start w:val="1"/>
    </w:lvl>
  </w:abstractNum>
  <w:abstractNum w:abstractNumId="158">
    <w:nsid w:val="5A9CC3E5"/>
    <w:multiLevelType w:val="hybridMultilevel"/>
    <w:lvl w:ilvl="0">
      <w:lvlJc w:val="left"/>
      <w:lvlText w:val="(%1)"/>
      <w:numFmt w:val="lowerLetter"/>
      <w:start w:val="2"/>
    </w:lvl>
  </w:abstractNum>
  <w:abstractNum w:abstractNumId="159">
    <w:nsid w:val="1AFE3625"/>
    <w:multiLevelType w:val="hybridMultilevel"/>
    <w:lvl w:ilvl="0">
      <w:lvlJc w:val="left"/>
      <w:lvlText w:val="(%1)"/>
      <w:numFmt w:val="lowerLetter"/>
      <w:start w:val="1"/>
    </w:lvl>
  </w:abstractNum>
  <w:abstractNum w:abstractNumId="160">
    <w:nsid w:val="3CA88ECF"/>
    <w:multiLevelType w:val="hybridMultilevel"/>
    <w:lvl w:ilvl="0">
      <w:lvlJc w:val="left"/>
      <w:lvlText w:val="(%1)"/>
      <w:numFmt w:val="lowerLetter"/>
      <w:start w:val="1"/>
    </w:lvl>
  </w:abstractNum>
  <w:abstractNum w:abstractNumId="161">
    <w:nsid w:val="6EBE4208"/>
    <w:multiLevelType w:val="hybridMultilevel"/>
    <w:lvl w:ilvl="0">
      <w:lvlJc w:val="left"/>
      <w:lvlText w:val="(%1)"/>
      <w:numFmt w:val="lowerLetter"/>
      <w:start w:val="2"/>
    </w:lvl>
  </w:abstractNum>
  <w:abstractNum w:abstractNumId="162">
    <w:nsid w:val="C058DF5"/>
    <w:multiLevelType w:val="hybridMultilevel"/>
    <w:lvl w:ilvl="0">
      <w:lvlJc w:val="left"/>
      <w:lvlText w:val="(%1)"/>
      <w:numFmt w:val="lowerLetter"/>
      <w:start w:val="1"/>
    </w:lvl>
  </w:abstractNum>
  <w:abstractNum w:abstractNumId="163">
    <w:nsid w:val="CBE5BE9"/>
    <w:multiLevelType w:val="hybridMultilevel"/>
    <w:lvl w:ilvl="0">
      <w:lvlJc w:val="left"/>
      <w:lvlText w:val="(%1)"/>
      <w:numFmt w:val="lowerLetter"/>
      <w:start w:val="5"/>
    </w:lvl>
  </w:abstractNum>
  <w:abstractNum w:abstractNumId="164">
    <w:nsid w:val="3102BBE2"/>
    <w:multiLevelType w:val="hybridMultilevel"/>
    <w:lvl w:ilvl="0">
      <w:lvlJc w:val="left"/>
      <w:lvlText w:val="(%1)"/>
      <w:numFmt w:val="lowerRoman"/>
      <w:start w:val="1"/>
    </w:lvl>
  </w:abstractNum>
  <w:abstractNum w:abstractNumId="165">
    <w:nsid w:val="26A02C5E"/>
    <w:multiLevelType w:val="hybridMultilevel"/>
    <w:lvl w:ilvl="0">
      <w:lvlJc w:val="left"/>
      <w:lvlText w:val="(%1)"/>
      <w:numFmt w:val="lowerRoman"/>
      <w:start w:val="10"/>
    </w:lvl>
  </w:abstractNum>
  <w:abstractNum w:abstractNumId="166">
    <w:nsid w:val="541C8153"/>
    <w:multiLevelType w:val="hybridMultilevel"/>
    <w:lvl w:ilvl="0">
      <w:lvlJc w:val="left"/>
      <w:lvlText w:val="(%1)"/>
      <w:numFmt w:val="lowerLetter"/>
      <w:start w:val="61"/>
    </w:lvl>
    <w:lvl w:ilvl="1">
      <w:lvlJc w:val="left"/>
      <w:lvlText w:val="(%2)"/>
      <w:numFmt w:val="lowerLetter"/>
      <w:start w:val="2"/>
    </w:lvl>
  </w:abstractNum>
  <w:abstractNum w:abstractNumId="167">
    <w:nsid w:val="67906F60"/>
    <w:multiLevelType w:val="hybridMultilevel"/>
    <w:lvl w:ilvl="0">
      <w:lvlJc w:val="left"/>
      <w:lvlText w:val="(%1)"/>
      <w:numFmt w:val="lowerLetter"/>
      <w:start w:val="4"/>
    </w:lvl>
  </w:abstractNum>
  <w:abstractNum w:abstractNumId="168">
    <w:nsid w:val="10DB9DAA"/>
    <w:multiLevelType w:val="hybridMultilevel"/>
    <w:lvl w:ilvl="0">
      <w:lvlJc w:val="left"/>
      <w:lvlText w:val="(%1)"/>
      <w:numFmt w:val="lowerLetter"/>
      <w:start w:val="1"/>
    </w:lvl>
    <w:lvl w:ilvl="1">
      <w:lvlJc w:val="left"/>
      <w:lvlText w:val="(%2)"/>
      <w:numFmt w:val="lowerRoman"/>
      <w:start w:val="1"/>
    </w:lvl>
  </w:abstractNum>
  <w:abstractNum w:abstractNumId="169">
    <w:nsid w:val="697D2D2"/>
    <w:multiLevelType w:val="hybridMultilevel"/>
    <w:lvl w:ilvl="0">
      <w:lvlJc w:val="left"/>
      <w:lvlText w:val="(%1)"/>
      <w:numFmt w:val="lowerLetter"/>
      <w:start w:val="2"/>
    </w:lvl>
  </w:abstractNum>
  <w:abstractNum w:abstractNumId="170">
    <w:nsid w:val="6D68AB2"/>
    <w:multiLevelType w:val="hybridMultilevel"/>
    <w:lvl w:ilvl="0">
      <w:lvlJc w:val="left"/>
      <w:lvlText w:val="(%1)"/>
      <w:numFmt w:val="lowerLetter"/>
      <w:start w:val="3"/>
    </w:lvl>
  </w:abstractNum>
  <w:abstractNum w:abstractNumId="171">
    <w:nsid w:val="3A966CD0"/>
    <w:multiLevelType w:val="hybridMultilevel"/>
    <w:lvl w:ilvl="0">
      <w:lvlJc w:val="left"/>
      <w:lvlText w:val="(%1)"/>
      <w:numFmt w:val="lowerLetter"/>
      <w:start w:val="1"/>
    </w:lvl>
  </w:abstractNum>
  <w:abstractNum w:abstractNumId="172">
    <w:nsid w:val="63F37E85"/>
    <w:multiLevelType w:val="hybridMultilevel"/>
    <w:lvl w:ilvl="0">
      <w:lvlJc w:val="left"/>
      <w:lvlText w:val="(%1)"/>
      <w:numFmt w:val="lowerLetter"/>
      <w:start w:val="3"/>
    </w:lvl>
  </w:abstractNum>
  <w:abstractNum w:abstractNumId="173">
    <w:nsid w:val="5895F5F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74">
    <w:nsid w:val="38A5D054"/>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abstractNum>
  <w:abstractNum w:abstractNumId="175">
    <w:nsid w:val="F3F09D8"/>
    <w:multiLevelType w:val="hybridMultilevel"/>
    <w:lvl w:ilvl="0">
      <w:lvlJc w:val="left"/>
      <w:lvlText w:val="%1"/>
      <w:numFmt w:val="upperLetter"/>
      <w:start w:val="1"/>
    </w:lvl>
    <w:lvl w:ilvl="1">
      <w:lvlJc w:val="left"/>
      <w:lvlText w:val="(%2)"/>
      <w:numFmt w:val="lowerRoman"/>
      <w:start w:val="4"/>
    </w:lvl>
    <w:lvl w:ilvl="2">
      <w:lvlJc w:val="left"/>
      <w:lvlText w:val="%3"/>
      <w:numFmt w:val="upperLetter"/>
      <w:start w:val="1"/>
    </w:lvl>
  </w:abstractNum>
  <w:abstractNum w:abstractNumId="176">
    <w:nsid w:val="4B793735"/>
    <w:multiLevelType w:val="hybridMultilevel"/>
    <w:lvl w:ilvl="0">
      <w:lvlJc w:val="left"/>
      <w:lvlText w:val="(%1)"/>
      <w:numFmt w:val="upperLetter"/>
      <w:start w:val="3"/>
    </w:lvl>
    <w:lvl w:ilvl="1">
      <w:lvlJc w:val="left"/>
      <w:lvlText w:val="(%2)"/>
      <w:numFmt w:val="lowerRoman"/>
      <w:start w:val="6"/>
    </w:lvl>
    <w:lvl w:ilvl="2">
      <w:lvlJc w:val="left"/>
      <w:lvlText w:val="%3"/>
      <w:numFmt w:val="upperLetter"/>
      <w:start w:val="1"/>
    </w:lvl>
  </w:abstractNum>
  <w:abstractNum w:abstractNumId="177">
    <w:nsid w:val="4A10B4E8"/>
    <w:multiLevelType w:val="hybridMultilevel"/>
    <w:lvl w:ilvl="0">
      <w:lvlJc w:val="left"/>
      <w:lvlText w:val="(%1)"/>
      <w:numFmt w:val="lowerLetter"/>
      <w:start w:val="3"/>
    </w:lvl>
    <w:lvl w:ilvl="1">
      <w:lvlJc w:val="left"/>
      <w:lvlText w:val="(%2)"/>
      <w:numFmt w:val="lowerRoman"/>
      <w:start w:val="2"/>
    </w:lvl>
  </w:abstractNum>
  <w:abstractNum w:abstractNumId="178">
    <w:nsid w:val="43D3BCD4"/>
    <w:multiLevelType w:val="hybridMultilevel"/>
    <w:lvl w:ilvl="0">
      <w:lvlJc w:val="left"/>
      <w:lvlText w:val="(%1)"/>
      <w:numFmt w:val="lowerLetter"/>
      <w:start w:val="5"/>
    </w:lvl>
  </w:abstractNum>
  <w:abstractNum w:abstractNumId="179">
    <w:nsid w:val="4C2A7166"/>
    <w:multiLevelType w:val="hybridMultilevel"/>
    <w:lvl w:ilvl="0">
      <w:lvlJc w:val="left"/>
      <w:lvlText w:val="(%1)"/>
      <w:numFmt w:val="lowerLetter"/>
      <w:start w:val="1"/>
    </w:lvl>
    <w:lvl w:ilvl="1">
      <w:lvlJc w:val="left"/>
      <w:lvlText w:val="(%2)"/>
      <w:numFmt w:val="lowerLetter"/>
      <w:start w:val="4"/>
    </w:lvl>
  </w:abstractNum>
  <w:abstractNum w:abstractNumId="180">
    <w:nsid w:val="2E534A82"/>
    <w:multiLevelType w:val="hybridMultilevel"/>
    <w:lvl w:ilvl="0">
      <w:lvlJc w:val="left"/>
      <w:lvlText w:val="(%1)"/>
      <w:numFmt w:val="lowerLetter"/>
      <w:start w:val="5"/>
    </w:lvl>
  </w:abstractNum>
  <w:abstractNum w:abstractNumId="181">
    <w:nsid w:val="26F2D364"/>
    <w:multiLevelType w:val="hybridMultilevel"/>
    <w:lvl w:ilvl="0">
      <w:lvlJc w:val="left"/>
      <w:lvlText w:val="(%1)"/>
      <w:numFmt w:val="lowerLetter"/>
      <w:start w:val="1"/>
    </w:lvl>
  </w:abstractNum>
  <w:abstractNum w:abstractNumId="182">
    <w:nsid w:val="71C1AF98"/>
    <w:multiLevelType w:val="hybridMultilevel"/>
    <w:lvl w:ilvl="0">
      <w:lvlJc w:val="left"/>
      <w:lvlText w:val="(%1)"/>
      <w:numFmt w:val="lowerLetter"/>
      <w:start w:val="2"/>
    </w:lvl>
  </w:abstractNum>
  <w:abstractNum w:abstractNumId="183">
    <w:nsid w:val="3D00B9D9"/>
    <w:multiLevelType w:val="hybridMultilevel"/>
    <w:lvl w:ilvl="0">
      <w:lvlJc w:val="left"/>
      <w:lvlText w:val="(%1)"/>
      <w:numFmt w:val="lowerLetter"/>
      <w:start w:val="1"/>
    </w:lvl>
  </w:abstractNum>
  <w:abstractNum w:abstractNumId="184">
    <w:nsid w:val="15BCABA8"/>
    <w:multiLevelType w:val="hybridMultilevel"/>
    <w:lvl w:ilvl="0">
      <w:lvlJc w:val="left"/>
      <w:lvlText w:val="(%1)"/>
      <w:numFmt w:val="lowerLetter"/>
      <w:start w:val="1"/>
    </w:lvl>
  </w:abstractNum>
  <w:abstractNum w:abstractNumId="185">
    <w:nsid w:val="4E0B9A87"/>
    <w:multiLevelType w:val="hybridMultilevel"/>
    <w:lvl w:ilvl="0">
      <w:lvlJc w:val="left"/>
      <w:lvlText w:val="(%1)"/>
      <w:numFmt w:val="lowerLetter"/>
      <w:start w:val="3"/>
    </w:lvl>
  </w:abstractNum>
  <w:abstractNum w:abstractNumId="186">
    <w:nsid w:val="434BAE75"/>
    <w:multiLevelType w:val="hybridMultilevel"/>
    <w:lvl w:ilvl="0">
      <w:lvlJc w:val="left"/>
      <w:lvlText w:val="(%1)"/>
      <w:numFmt w:val="lowerLetter"/>
      <w:start w:val="1"/>
    </w:lvl>
    <w:lvl w:ilvl="1">
      <w:lvlJc w:val="left"/>
      <w:lvlText w:val="(%2)"/>
      <w:numFmt w:val="lowerRoman"/>
      <w:start w:val="1"/>
    </w:lvl>
  </w:abstractNum>
  <w:abstractNum w:abstractNumId="187">
    <w:nsid w:val="4F38F265"/>
    <w:multiLevelType w:val="hybridMultilevel"/>
    <w:lvl w:ilvl="0">
      <w:lvlJc w:val="left"/>
      <w:lvlText w:val="(%1)"/>
      <w:numFmt w:val="lowerRoman"/>
      <w:start w:val="3"/>
    </w:lvl>
  </w:abstractNum>
  <w:abstractNum w:abstractNumId="188">
    <w:nsid w:val="4C502870"/>
    <w:multiLevelType w:val="hybridMultilevel"/>
    <w:lvl w:ilvl="0">
      <w:lvlJc w:val="left"/>
      <w:lvlText w:val="***"/>
      <w:numFmt w:val="bullet"/>
      <w:start w:val="1"/>
    </w:lvl>
  </w:abstractNum>
  <w:abstractNum w:abstractNumId="189">
    <w:nsid w:val="1DE8725A"/>
    <w:multiLevelType w:val="hybridMultilevel"/>
    <w:lvl w:ilvl="0">
      <w:lvlJc w:val="left"/>
      <w:lvlText w:val="***"/>
      <w:numFmt w:val="bullet"/>
      <w:start w:val="1"/>
    </w:lvl>
  </w:abstractNum>
  <w:abstractNum w:abstractNumId="190">
    <w:nsid w:val="6A37288A"/>
    <w:multiLevelType w:val="hybridMultilevel"/>
    <w:lvl w:ilvl="0">
      <w:lvlJc w:val="left"/>
      <w:lvlText w:val="***"/>
      <w:numFmt w:val="bullet"/>
      <w:start w:val="1"/>
    </w:lvl>
  </w:abstractNum>
  <w:abstractNum w:abstractNumId="191">
    <w:nsid w:val="8F8B73F"/>
    <w:multiLevelType w:val="hybridMultilevel"/>
    <w:lvl w:ilvl="0">
      <w:lvlJc w:val="left"/>
      <w:lvlText w:val="*"/>
      <w:numFmt w:val="bullet"/>
      <w:start w:val="1"/>
    </w:lvl>
  </w:abstractNum>
  <w:abstractNum w:abstractNumId="192">
    <w:nsid w:val="CA6B462"/>
    <w:multiLevelType w:val="hybridMultilevel"/>
    <w:lvl w:ilvl="0">
      <w:lvlJc w:val="left"/>
      <w:lvlText w:val="***"/>
      <w:numFmt w:val="bullet"/>
      <w:start w:val="1"/>
    </w:lvl>
  </w:abstractNum>
  <w:abstractNum w:abstractNumId="193">
    <w:nsid w:val="763CB680"/>
    <w:multiLevelType w:val="hybridMultilevel"/>
    <w:lvl w:ilvl="0">
      <w:lvlJc w:val="left"/>
      <w:lvlText w:val="***"/>
      <w:numFmt w:val="bullet"/>
      <w:start w:val="1"/>
    </w:lvl>
  </w:abstractNum>
  <w:abstractNum w:abstractNumId="194">
    <w:nsid w:val="15B71329"/>
    <w:multiLevelType w:val="hybridMultilevel"/>
    <w:lvl w:ilvl="0">
      <w:lvlJc w:val="left"/>
      <w:lvlText w:val="***"/>
      <w:numFmt w:val="bullet"/>
      <w:start w:val="1"/>
    </w:lvl>
  </w:abstractNum>
  <w:abstractNum w:abstractNumId="195">
    <w:nsid w:val="3DA97044"/>
    <w:multiLevelType w:val="hybridMultilevel"/>
    <w:lvl w:ilvl="0">
      <w:lvlJc w:val="left"/>
      <w:lvlText w:val="***"/>
      <w:numFmt w:val="bullet"/>
      <w:start w:val="1"/>
    </w:lvl>
  </w:abstractNum>
  <w:abstractNum w:abstractNumId="196">
    <w:nsid w:val="1CDCE2DE"/>
    <w:multiLevelType w:val="hybridMultilevel"/>
    <w:lvl w:ilvl="0">
      <w:lvlJc w:val="left"/>
      <w:lvlText w:val="***"/>
      <w:numFmt w:val="bullet"/>
      <w:start w:val="1"/>
    </w:lvl>
  </w:abstractNum>
  <w:abstractNum w:abstractNumId="197">
    <w:nsid w:val="69D3947C"/>
    <w:multiLevelType w:val="hybridMultilevel"/>
    <w:lvl w:ilvl="0">
      <w:lvlJc w:val="left"/>
      <w:lvlText w:val="%1)"/>
      <w:numFmt w:val="lowerLetter"/>
      <w:start w:val="2"/>
    </w:lvl>
  </w:abstractNum>
  <w:abstractNum w:abstractNumId="198">
    <w:nsid w:val="2539DFA5"/>
    <w:multiLevelType w:val="hybridMultilevel"/>
    <w:lvl w:ilvl="0">
      <w:lvlJc w:val="left"/>
      <w:lvlText w:val="•"/>
      <w:numFmt w:val="bullet"/>
      <w:start w:val="1"/>
    </w:lvl>
  </w:abstractNum>
  <w:abstractNum w:abstractNumId="199">
    <w:nsid w:val="2DB88089"/>
    <w:multiLevelType w:val="hybridMultilevel"/>
    <w:lvl w:ilvl="0">
      <w:lvlJc w:val="left"/>
      <w:lvlText w:val="%1."/>
      <w:numFmt w:val="upperLetter"/>
      <w:start w:val="2"/>
    </w:lvl>
    <w:lvl w:ilvl="1">
      <w:lvlJc w:val="left"/>
      <w:lvlText w:val="%2."/>
      <w:numFmt w:val="decimal"/>
      <w:start w:val="1"/>
    </w:lvl>
  </w:abstractNum>
  <w:abstractNum w:abstractNumId="200">
    <w:nsid w:val="706B674E"/>
    <w:multiLevelType w:val="hybridMultilevel"/>
    <w:lvl w:ilvl="0">
      <w:lvlJc w:val="left"/>
      <w:lvlText w:val="%1."/>
      <w:numFmt w:val="upperLetter"/>
      <w:start w:val="3"/>
    </w:lvl>
    <w:lvl w:ilvl="1">
      <w:lvlJc w:val="left"/>
      <w:lvlText w:val="%2."/>
      <w:numFmt w:val="decimal"/>
      <w:start w:val="1"/>
    </w:lvl>
  </w:abstractNum>
  <w:abstractNum w:abstractNumId="201">
    <w:nsid w:val="2C106A57"/>
    <w:multiLevelType w:val="hybridMultilevel"/>
    <w:lvl w:ilvl="0">
      <w:lvlJc w:val="left"/>
      <w:lvlText w:val="%1."/>
      <w:numFmt w:val="upperLetter"/>
      <w:start w:val="4"/>
    </w:lvl>
    <w:lvl w:ilvl="1">
      <w:lvlJc w:val="left"/>
      <w:lvlText w:val="%2."/>
      <w:numFmt w:val="decimal"/>
      <w:start w:val="1"/>
    </w:lvl>
  </w:abstractNum>
  <w:abstractNum w:abstractNumId="202">
    <w:nsid w:val="684EED59"/>
    <w:multiLevelType w:val="hybridMultilevel"/>
    <w:lvl w:ilvl="0">
      <w:lvlJc w:val="left"/>
      <w:lvlText w:val="(%1)"/>
      <w:numFmt w:val="decimal"/>
      <w:start w:val="1"/>
    </w:lvl>
  </w:abstractNum>
  <w:abstractNum w:abstractNumId="203">
    <w:nsid w:val="545EE5D3"/>
    <w:multiLevelType w:val="hybridMultilevel"/>
    <w:lvl w:ilvl="0">
      <w:lvlJc w:val="left"/>
      <w:lvlText w:val="%1."/>
      <w:numFmt w:val="decimal"/>
      <w:start w:val="1"/>
    </w:lvl>
  </w:abstractNum>
  <w:abstractNum w:abstractNumId="204">
    <w:nsid w:val="4A66051"/>
    <w:multiLevelType w:val="hybridMultilevel"/>
    <w:lvl w:ilvl="0">
      <w:lvlJc w:val="left"/>
      <w:lvlText w:val="(%1)"/>
      <w:numFmt w:val="lowerLetter"/>
      <w:start w:val="3"/>
    </w:lvl>
  </w:abstractNum>
  <w:abstractNum w:abstractNumId="205">
    <w:nsid w:val="20F4BDAD"/>
    <w:multiLevelType w:val="hybridMultilevel"/>
    <w:lvl w:ilvl="0">
      <w:lvlJc w:val="left"/>
      <w:lvlText w:val="(%1)"/>
      <w:numFmt w:val="decimal"/>
      <w:start w:val="5"/>
    </w:lvl>
  </w:abstractNum>
  <w:abstractNum w:abstractNumId="206">
    <w:nsid w:val="639DEFAC"/>
    <w:multiLevelType w:val="hybridMultilevel"/>
    <w:lvl w:ilvl="0">
      <w:lvlJc w:val="left"/>
      <w:lvlText w:val="%1."/>
      <w:numFmt w:val="decimal"/>
      <w:start w:val="1"/>
    </w:lvl>
  </w:abstractNum>
  <w:abstractNum w:abstractNumId="207">
    <w:nsid w:val="501F9786"/>
    <w:multiLevelType w:val="hybridMultilevel"/>
    <w:lvl w:ilvl="0">
      <w:lvlJc w:val="left"/>
      <w:lvlText w:val="1"/>
      <w:numFmt w:val="bullet"/>
      <w:start w:val="1"/>
    </w:lvl>
  </w:abstractNum>
  <w:abstractNum w:abstractNumId="208">
    <w:nsid w:val="6B057295"/>
    <w:multiLevelType w:val="hybridMultilevel"/>
    <w:lvl w:ilvl="0">
      <w:lvlJc w:val="left"/>
      <w:lvlText w:val="2"/>
      <w:numFmt w:val="bullet"/>
      <w:start w:val="1"/>
    </w:lvl>
  </w:abstractNum>
  <w:abstractNum w:abstractNumId="209">
    <w:nsid w:val="2771AC80"/>
    <w:multiLevelType w:val="hybridMultilevel"/>
    <w:lvl w:ilvl="0">
      <w:lvlJc w:val="left"/>
      <w:lvlText w:val="%1."/>
      <w:numFmt w:val="decimal"/>
      <w:start w:val="1"/>
    </w:lvl>
    <w:lvl w:ilvl="1">
      <w:lvlJc w:val="left"/>
      <w:lvlText w:val="(%2)"/>
      <w:numFmt w:val="lowerLetter"/>
      <w:start w:val="1"/>
    </w:lvl>
  </w:abstractNum>
  <w:abstractNum w:abstractNumId="210">
    <w:nsid w:val="1C4A08EC"/>
    <w:multiLevelType w:val="hybridMultilevel"/>
    <w:lvl w:ilvl="0">
      <w:lvlJc w:val="left"/>
      <w:lvlText w:val="%1."/>
      <w:numFmt w:val="decimal"/>
      <w:start w:val="3"/>
    </w:lvl>
    <w:lvl w:ilvl="1">
      <w:lvlJc w:val="left"/>
      <w:lvlText w:val="(%2)"/>
      <w:numFmt w:val="lowerLetter"/>
      <w:start w:val="1"/>
    </w:lvl>
  </w:abstractNum>
  <w:abstractNum w:abstractNumId="211">
    <w:nsid w:val="1958BD17"/>
    <w:multiLevelType w:val="hybridMultilevel"/>
    <w:lvl w:ilvl="0">
      <w:lvlJc w:val="left"/>
      <w:lvlText w:val="(%1)"/>
      <w:numFmt w:val="lowerLetter"/>
      <w:start w:val="2"/>
    </w:lvl>
  </w:abstractNum>
  <w:abstractNum w:abstractNumId="212">
    <w:nsid w:val="4E647FE4"/>
    <w:multiLevelType w:val="hybridMultilevel"/>
    <w:lvl w:ilvl="0">
      <w:lvlJc w:val="left"/>
      <w:lvlText w:val="%1"/>
      <w:numFmt w:val="decimal"/>
      <w:start w:val="1"/>
    </w:lvl>
    <w:lvl w:ilvl="1">
      <w:lvlJc w:val="left"/>
      <w:lvlText w:val="(%2)"/>
      <w:numFmt w:val="lowerLetter"/>
      <w:start w:val="3"/>
    </w:lvl>
  </w:abstractNum>
  <w:abstractNum w:abstractNumId="213">
    <w:nsid w:val="E0BB885"/>
    <w:multiLevelType w:val="hybridMultilevel"/>
    <w:lvl w:ilvl="0">
      <w:lvlJc w:val="left"/>
      <w:lvlText w:val="%1."/>
      <w:numFmt w:val="decimal"/>
      <w:start w:val="4"/>
    </w:lvl>
    <w:lvl w:ilvl="1">
      <w:lvlJc w:val="left"/>
      <w:lvlText w:val="%2"/>
      <w:numFmt w:val="lowerLetter"/>
      <w:start w:val="1"/>
    </w:lvl>
  </w:abstractNum>
  <w:abstractNum w:abstractNumId="214">
    <w:nsid w:val="565976F1"/>
    <w:multiLevelType w:val="hybridMultilevel"/>
    <w:lvl w:ilvl="0">
      <w:lvlJc w:val="left"/>
      <w:lvlText w:val="%1"/>
      <w:numFmt w:val="decimal"/>
      <w:start w:val="1"/>
    </w:lvl>
    <w:lvl w:ilvl="1">
      <w:lvlJc w:val="left"/>
      <w:lvlText w:val="(%2)"/>
      <w:numFmt w:val="lowerLetter"/>
      <w:start w:val="1"/>
    </w:lvl>
  </w:abstractNum>
  <w:abstractNum w:abstractNumId="215">
    <w:nsid w:val="64212B8C"/>
    <w:multiLevelType w:val="hybridMultilevel"/>
    <w:lvl w:ilvl="0">
      <w:lvlJc w:val="left"/>
      <w:lvlText w:val="%1."/>
      <w:numFmt w:val="decimal"/>
      <w:start w:val="5"/>
    </w:lvl>
    <w:lvl w:ilvl="1">
      <w:lvlJc w:val="left"/>
      <w:lvlText w:val="%2"/>
      <w:numFmt w:val="lowerLetter"/>
      <w:start w:val="1"/>
    </w:lvl>
  </w:abstractNum>
  <w:abstractNum w:abstractNumId="216">
    <w:nsid w:val="5C17530C"/>
    <w:multiLevelType w:val="hybridMultilevel"/>
    <w:lvl w:ilvl="0">
      <w:lvlJc w:val="left"/>
      <w:lvlText w:val="%1."/>
      <w:numFmt w:val="decimal"/>
      <w:start w:val="1"/>
    </w:lvl>
    <w:lvl w:ilvl="1">
      <w:lvlJc w:val="left"/>
      <w:lvlText w:val="(%2)"/>
      <w:numFmt w:val="lowerLetter"/>
      <w:start w:val="1"/>
    </w:lvl>
  </w:abstractNum>
  <w:abstractNum w:abstractNumId="217">
    <w:nsid w:val="19A52566"/>
    <w:multiLevelType w:val="hybridMultilevel"/>
    <w:lvl w:ilvl="0">
      <w:lvlJc w:val="left"/>
      <w:lvlText w:val="%1."/>
      <w:numFmt w:val="decimal"/>
      <w:start w:val="4"/>
    </w:lvl>
    <w:lvl w:ilvl="1">
      <w:lvlJc w:val="left"/>
      <w:lvlText w:val="(%2)"/>
      <w:numFmt w:val="lowerLetter"/>
      <w:start w:val="1"/>
    </w:lvl>
  </w:abstractNum>
  <w:abstractNum w:abstractNumId="218">
    <w:nsid w:val="335A1DF1"/>
    <w:multiLevelType w:val="hybridMultilevel"/>
    <w:lvl w:ilvl="0">
      <w:lvlJc w:val="left"/>
      <w:lvlText w:val="(%1)"/>
      <w:numFmt w:val="lowerRoman"/>
      <w:start w:val="10"/>
    </w:lvl>
  </w:abstractNum>
  <w:abstractNum w:abstractNumId="219">
    <w:nsid w:val="28677B7C"/>
    <w:multiLevelType w:val="hybridMultilevel"/>
    <w:lvl w:ilvl="0">
      <w:lvlJc w:val="left"/>
      <w:lvlText w:val="%1."/>
      <w:numFmt w:val="decimal"/>
      <w:start w:val="1"/>
    </w:lvl>
  </w:abstractNum>
  <w:abstractNum w:abstractNumId="220">
    <w:nsid w:val="378D97C0"/>
    <w:multiLevelType w:val="hybridMultilevel"/>
    <w:lvl w:ilvl="0">
      <w:lvlJc w:val="left"/>
      <w:lvlText w:val="%1."/>
      <w:numFmt w:val="decimal"/>
      <w:start w:val="2"/>
    </w:lvl>
  </w:abstractNum>
  <w:abstractNum w:abstractNumId="221">
    <w:nsid w:val="1D91467C"/>
    <w:multiLevelType w:val="hybridMultilevel"/>
    <w:lvl w:ilvl="0">
      <w:lvlJc w:val="left"/>
      <w:lvlText w:val="%1."/>
      <w:numFmt w:val="decimal"/>
      <w:start w:val="3"/>
    </w:lvl>
  </w:abstractNum>
  <w:abstractNum w:abstractNumId="222">
    <w:nsid w:val="316032BB"/>
    <w:multiLevelType w:val="hybridMultilevel"/>
    <w:lvl w:ilvl="0">
      <w:lvlJc w:val="left"/>
      <w:lvlText w:val="(%1)"/>
      <w:numFmt w:val="lowerLetter"/>
      <w:start w:val="1"/>
    </w:lvl>
  </w:abstractNum>
  <w:abstractNum w:abstractNumId="223">
    <w:nsid w:val="44344C22"/>
    <w:multiLevelType w:val="hybridMultilevel"/>
    <w:lvl w:ilvl="0">
      <w:lvlJc w:val="left"/>
      <w:lvlText w:val="(%1)"/>
      <w:numFmt w:val="decimal"/>
      <w:start w:val="2"/>
    </w:lvl>
  </w:abstractNum>
  <w:abstractNum w:abstractNumId="224">
    <w:nsid w:val="13CDFCF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2019-12-28T21:47:24Z</dcterms:created>
  <dcterms:modified xsi:type="dcterms:W3CDTF">2019-12-28T21:47:24Z</dcterms:modified>
</cp:coreProperties>
</file>