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September 14, 2007</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58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58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p>
      <w:pPr>
        <w:spacing w:after="0" w:line="29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ind w:right="2840"/>
        <w:spacing w:after="0" w:line="33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 DEPARTURE OF DIRECTORS OR CERTAIN OFFICERS; ELECTION OF DIRECTORS; APPOINTMENTOF CERTAIN OFFICERS; COMPENSATORY ARRANGEMENTS OF CERTAIN OFFICERS.</w:t>
      </w:r>
    </w:p>
    <w:p>
      <w:pPr>
        <w:spacing w:after="0" w:line="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September 14, 2007, Casual Male Retail Group, Inc. (the “Company”) entered into an employment agreement (the “Employment Agreement”) with Jack R. McKinney, a Named Executive Officer in the Company’s 2007 Proxy Statement. The Employment Agreement remains in effect until terminated by either party. The Employment Agreement provides that Mr. McKinney will be paid a base salary at an annual rate of $245,700 and will be eligible to participate in the Company’s annual performance appraisal process. Pursuant to the Employment Agreement, Mr. McKinney will also be eligible to participate in the Company’s annual incentive plan and Long Term Incentive Plan.</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Employment Agreement provides that in the event that the executive officer’s employment is terminated by the Company at any time for any reason other than “justifiable cause” (as defined in the Employment Agreement), disability or death, the Company is required to pay the executive officer his then current salary for five months after the effectiveness of such termination. In the event the executive’s employment is terminated at any time during the twelve months following a Change in Control (as defined in the Employment Agreement) other than for “justifiable cause”, the Company shall pay the executive an amount equal to twelve months of base annual salary in effect at the time of the termination. Mr. McKinney has also agreed to maintain the confidentiality of the Company’s confidential information and not to compete with the Company while his Employment Agreement is in effect and for a period of two years thereafter.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description of the Employment Agreement is fully qualified by reference to the Employment Agreement, which is attached to this report as Exhibit 10.1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 REGULATION FD DISCLOSURE</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will be presenting a slide presentation to various investment groups. A copy of the slides to be presented at those meetings is attached to this report as Exhibit 99.1, which slide presentation is incorporated by reference herein.</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Employment Agreement dated September 14, 2007 between the Company and Jack R. McKinney</w:t>
            </w:r>
          </w:p>
        </w:tc>
      </w:tr>
      <w:tr>
        <w:trPr>
          <w:trHeight w:val="3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Presentation dated September 14, 2007</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tabs>
          <w:tab w:leader="none" w:pos="3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2007</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Employment Agreement (“Agreement”) is made as of September 14, 2007 between CASUAL MALE RETAIL GROUP, INC., a Delaware corporation with an office at 555 Turnpike Street, Canton, Massachusetts, 02021 (the “Company”), and Jack R. McKinney (the “Executive”) having an address at 304 Liberty Street, Braintree, MA 02184.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Chief Information Officer,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Chief Information Officer.</w:t>
      </w:r>
    </w:p>
    <w:p>
      <w:pPr>
        <w:spacing w:after="0" w:line="2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0" w:firstLine="464"/>
        <w:spacing w:after="0" w:line="259" w:lineRule="auto"/>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Forty-Five Thousand Seven Hundred Dollars and 00/100 Cents ($245,700.00).</w:t>
      </w:r>
    </w:p>
    <w:p>
      <w:pPr>
        <w:spacing w:after="0" w:line="140" w:lineRule="exact"/>
        <w:rPr>
          <w:rFonts w:ascii="Arial" w:cs="Arial" w:eastAsia="Arial" w:hAnsi="Arial"/>
          <w:sz w:val="18"/>
          <w:szCs w:val="18"/>
          <w:color w:val="auto"/>
        </w:rPr>
      </w:pPr>
    </w:p>
    <w:p>
      <w:pPr>
        <w:ind w:right="20" w:firstLine="464"/>
        <w:spacing w:after="0" w:line="254" w:lineRule="auto"/>
        <w:tabs>
          <w:tab w:leader="none" w:pos="705"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4" w:name="page5"/>
    <w:bookmarkEnd w:id="4"/>
    <w:p>
      <w:pPr>
        <w:ind w:right="100" w:firstLine="464"/>
        <w:spacing w:after="0" w:line="298" w:lineRule="auto"/>
        <w:tabs>
          <w:tab w:leader="none" w:pos="695"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464"/>
        <w:spacing w:after="0" w:line="335" w:lineRule="auto"/>
        <w:tabs>
          <w:tab w:leader="none" w:pos="695" w:val="left"/>
        </w:tabs>
        <w:numPr>
          <w:ilvl w:val="1"/>
          <w:numId w:val="7"/>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firstLine="464"/>
        <w:spacing w:after="0" w:line="298" w:lineRule="auto"/>
        <w:tabs>
          <w:tab w:leader="none" w:pos="705"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20" w:firstLine="464"/>
        <w:spacing w:after="0" w:line="332" w:lineRule="auto"/>
        <w:tabs>
          <w:tab w:leader="none" w:pos="695" w:val="left"/>
        </w:tabs>
        <w:numPr>
          <w:ilvl w:val="1"/>
          <w:numId w:val="7"/>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his position as Chief Information Officer and/or as the Company shall from time to time determine and Executive shall comply in the performance of his duties with the policies of, and be subject to the direction of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20" w:right="60" w:firstLine="464"/>
        <w:spacing w:after="0" w:line="298" w:lineRule="auto"/>
        <w:tabs>
          <w:tab w:leader="none" w:pos="685"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20" w:right="40" w:firstLine="464"/>
        <w:spacing w:after="0" w:line="306" w:lineRule="auto"/>
        <w:tabs>
          <w:tab w:leader="none" w:pos="675"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28" w:lineRule="exact"/>
        <w:rPr>
          <w:rFonts w:ascii="Arial" w:cs="Arial" w:eastAsia="Arial" w:hAnsi="Arial"/>
          <w:sz w:val="16"/>
          <w:szCs w:val="16"/>
          <w:color w:val="auto"/>
        </w:rPr>
      </w:pPr>
    </w:p>
    <w:p>
      <w:pPr>
        <w:ind w:left="880" w:hanging="44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680" w:hanging="236"/>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40" w:firstLine="443"/>
        <w:spacing w:after="0" w:line="259" w:lineRule="auto"/>
        <w:tabs>
          <w:tab w:leader="none" w:pos="1088" w:val="left"/>
        </w:tabs>
        <w:numPr>
          <w:ilvl w:val="2"/>
          <w:numId w:val="9"/>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40" w:hanging="257"/>
        <w:spacing w:after="0"/>
        <w:tabs>
          <w:tab w:leader="none" w:pos="1140" w:val="left"/>
        </w:tabs>
        <w:numPr>
          <w:ilvl w:val="2"/>
          <w:numId w:val="9"/>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2"/>
          <w:numId w:val="9"/>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75"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20" w:right="220" w:firstLine="464"/>
        <w:spacing w:after="0" w:line="306" w:lineRule="auto"/>
        <w:tabs>
          <w:tab w:leader="none" w:pos="685"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6" w:name="page7"/>
    <w:bookmarkEnd w:id="6"/>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60" w:firstLine="464"/>
        <w:spacing w:after="0" w:line="287"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ind w:firstLine="464"/>
        <w:spacing w:after="0" w:line="290" w:lineRule="auto"/>
        <w:tabs>
          <w:tab w:leader="none" w:pos="66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right="160" w:firstLine="464"/>
        <w:spacing w:after="0" w:line="370" w:lineRule="auto"/>
        <w:tabs>
          <w:tab w:leader="none" w:pos="695" w:val="left"/>
        </w:tabs>
        <w:numPr>
          <w:ilvl w:val="1"/>
          <w:numId w:val="1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right="240" w:firstLine="464"/>
        <w:spacing w:after="0" w:line="259"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ind w:left="880" w:hanging="44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rFonts w:ascii="Arial" w:cs="Arial" w:eastAsia="Arial" w:hAnsi="Arial"/>
          <w:sz w:val="18"/>
          <w:szCs w:val="18"/>
          <w:color w:val="auto"/>
        </w:rPr>
      </w:pPr>
    </w:p>
    <w:p>
      <w:pPr>
        <w:ind w:left="-20" w:right="20" w:firstLine="464"/>
        <w:spacing w:after="0" w:line="286" w:lineRule="auto"/>
        <w:tabs>
          <w:tab w:leader="none" w:pos="67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left="-20" w:right="160" w:firstLine="464"/>
        <w:spacing w:after="0" w:line="298" w:lineRule="auto"/>
        <w:tabs>
          <w:tab w:leader="none" w:pos="685" w:val="left"/>
        </w:tabs>
        <w:numPr>
          <w:ilvl w:val="1"/>
          <w:numId w:val="13"/>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left="-20" w:firstLine="464"/>
        <w:spacing w:after="0" w:line="294" w:lineRule="auto"/>
        <w:tabs>
          <w:tab w:leader="none" w:pos="67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240" w:firstLine="464"/>
        <w:spacing w:after="0" w:line="256" w:lineRule="auto"/>
        <w:tabs>
          <w:tab w:leader="none" w:pos="6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9" w:name="page10"/>
    <w:bookmarkEnd w:id="9"/>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4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6"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right="3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jc w:val="both"/>
        <w:ind w:right="60" w:firstLine="464"/>
        <w:spacing w:after="0" w:line="298"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1" w:name="page12"/>
    <w:bookmarkEnd w:id="11"/>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24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25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ASSURANCES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ind w:left="100"/>
              <w:spacing w:after="0"/>
              <w:rPr>
                <w:sz w:val="20"/>
                <w:szCs w:val="20"/>
                <w:color w:val="auto"/>
              </w:rPr>
            </w:pPr>
            <w:r>
              <w:rPr>
                <w:rFonts w:ascii="Arial" w:cs="Arial" w:eastAsia="Arial" w:hAnsi="Arial"/>
                <w:sz w:val="18"/>
                <w:szCs w:val="18"/>
                <w:color w:val="auto"/>
              </w:rPr>
              <w:t>/s/</w:t>
            </w:r>
          </w:p>
        </w:tc>
        <w:tc>
          <w:tcPr>
            <w:tcW w:w="4600" w:type="dxa"/>
            <w:vAlign w:val="bottom"/>
          </w:tcPr>
          <w:p>
            <w:pPr>
              <w:ind w:left="100"/>
              <w:spacing w:after="0"/>
              <w:rPr>
                <w:sz w:val="20"/>
                <w:szCs w:val="20"/>
                <w:color w:val="auto"/>
              </w:rPr>
            </w:pPr>
            <w:r>
              <w:rPr>
                <w:rFonts w:ascii="Arial" w:cs="Arial" w:eastAsia="Arial" w:hAnsi="Arial"/>
                <w:sz w:val="18"/>
                <w:szCs w:val="18"/>
                <w:color w:val="auto"/>
              </w:rPr>
              <w:t>DAVID A. LEVIN</w:t>
            </w:r>
          </w:p>
        </w:tc>
        <w:tc>
          <w:tcPr>
            <w:tcW w:w="6000" w:type="dxa"/>
            <w:vAlign w:val="bottom"/>
            <w:gridSpan w:val="2"/>
          </w:tcPr>
          <w:p>
            <w:pPr>
              <w:ind w:left="640"/>
              <w:spacing w:after="0"/>
              <w:rPr>
                <w:sz w:val="20"/>
                <w:szCs w:val="20"/>
                <w:color w:val="auto"/>
              </w:rPr>
            </w:pPr>
            <w:r>
              <w:rPr>
                <w:rFonts w:ascii="Arial" w:cs="Arial" w:eastAsia="Arial" w:hAnsi="Arial"/>
                <w:sz w:val="18"/>
                <w:szCs w:val="18"/>
                <w:color w:val="auto"/>
              </w:rPr>
              <w:t>Date:</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40" w:type="dxa"/>
            <w:vAlign w:val="bottom"/>
            <w:tcBorders>
              <w:top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David A. Levin</w:t>
            </w:r>
          </w:p>
        </w:tc>
        <w:tc>
          <w:tcPr>
            <w:tcW w:w="1040" w:type="dxa"/>
            <w:vAlign w:val="bottom"/>
          </w:tcPr>
          <w:p>
            <w:pPr>
              <w:spacing w:after="0"/>
              <w:rPr>
                <w:sz w:val="17"/>
                <w:szCs w:val="17"/>
                <w:color w:val="auto"/>
              </w:rPr>
            </w:pPr>
          </w:p>
        </w:tc>
        <w:tc>
          <w:tcPr>
            <w:tcW w:w="4960" w:type="dxa"/>
            <w:vAlign w:val="bottom"/>
            <w:tcBorders>
              <w:top w:val="single" w:sz="8" w:color="auto"/>
            </w:tcBorders>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w:t>
            </w:r>
          </w:p>
        </w:tc>
        <w:tc>
          <w:tcPr>
            <w:tcW w:w="104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ind w:left="100"/>
              <w:spacing w:after="0"/>
              <w:rPr>
                <w:sz w:val="20"/>
                <w:szCs w:val="20"/>
                <w:color w:val="auto"/>
              </w:rPr>
            </w:pPr>
            <w:r>
              <w:rPr>
                <w:rFonts w:ascii="Arial" w:cs="Arial" w:eastAsia="Arial" w:hAnsi="Arial"/>
                <w:sz w:val="18"/>
                <w:szCs w:val="18"/>
                <w:color w:val="auto"/>
              </w:rPr>
              <w:t>/s/</w:t>
            </w:r>
          </w:p>
        </w:tc>
        <w:tc>
          <w:tcPr>
            <w:tcW w:w="4600" w:type="dxa"/>
            <w:vAlign w:val="bottom"/>
          </w:tcPr>
          <w:p>
            <w:pPr>
              <w:ind w:left="100"/>
              <w:spacing w:after="0"/>
              <w:rPr>
                <w:sz w:val="20"/>
                <w:szCs w:val="20"/>
                <w:color w:val="auto"/>
              </w:rPr>
            </w:pPr>
            <w:r>
              <w:rPr>
                <w:rFonts w:ascii="Arial" w:cs="Arial" w:eastAsia="Arial" w:hAnsi="Arial"/>
                <w:sz w:val="18"/>
                <w:szCs w:val="18"/>
                <w:color w:val="auto"/>
              </w:rPr>
              <w:t>DENNIS R. HERNREICH</w:t>
            </w:r>
          </w:p>
        </w:tc>
        <w:tc>
          <w:tcPr>
            <w:tcW w:w="6000" w:type="dxa"/>
            <w:vAlign w:val="bottom"/>
            <w:gridSpan w:val="2"/>
          </w:tcPr>
          <w:p>
            <w:pPr>
              <w:ind w:left="640"/>
              <w:spacing w:after="0"/>
              <w:rPr>
                <w:sz w:val="20"/>
                <w:szCs w:val="20"/>
                <w:color w:val="auto"/>
              </w:rPr>
            </w:pPr>
            <w:r>
              <w:rPr>
                <w:rFonts w:ascii="Arial" w:cs="Arial" w:eastAsia="Arial" w:hAnsi="Arial"/>
                <w:sz w:val="18"/>
                <w:szCs w:val="18"/>
                <w:color w:val="auto"/>
              </w:rPr>
              <w:t>Date:</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4940" w:type="dxa"/>
            <w:vAlign w:val="bottom"/>
            <w:tcBorders>
              <w:top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Dennis R. Hernreich</w:t>
            </w:r>
          </w:p>
        </w:tc>
        <w:tc>
          <w:tcPr>
            <w:tcW w:w="1040" w:type="dxa"/>
            <w:vAlign w:val="bottom"/>
          </w:tcPr>
          <w:p>
            <w:pPr>
              <w:spacing w:after="0"/>
              <w:rPr>
                <w:sz w:val="17"/>
                <w:szCs w:val="17"/>
                <w:color w:val="auto"/>
              </w:rPr>
            </w:pPr>
          </w:p>
        </w:tc>
        <w:tc>
          <w:tcPr>
            <w:tcW w:w="4960" w:type="dxa"/>
            <w:vAlign w:val="bottom"/>
            <w:tcBorders>
              <w:top w:val="single" w:sz="8" w:color="auto"/>
            </w:tcBorders>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40" w:type="dxa"/>
            <w:vAlign w:val="bottom"/>
            <w:gridSpan w:val="2"/>
          </w:tcPr>
          <w:p>
            <w:pPr>
              <w:ind w:left="100"/>
              <w:spacing w:after="0"/>
              <w:rPr>
                <w:sz w:val="20"/>
                <w:szCs w:val="20"/>
                <w:color w:val="auto"/>
              </w:rPr>
            </w:pPr>
            <w:r>
              <w:rPr>
                <w:rFonts w:ascii="Arial" w:cs="Arial" w:eastAsia="Arial" w:hAnsi="Arial"/>
                <w:sz w:val="18"/>
                <w:szCs w:val="18"/>
                <w:color w:val="auto"/>
              </w:rPr>
              <w:t>Executive VP, COO, CFO</w:t>
            </w:r>
          </w:p>
        </w:tc>
        <w:tc>
          <w:tcPr>
            <w:tcW w:w="104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33"/>
        </w:trPr>
        <w:tc>
          <w:tcPr>
            <w:tcW w:w="5420" w:type="dxa"/>
            <w:vAlign w:val="bottom"/>
            <w:gridSpan w:val="3"/>
          </w:tcPr>
          <w:p>
            <w:pPr>
              <w:spacing w:after="0"/>
              <w:rPr>
                <w:sz w:val="20"/>
                <w:szCs w:val="20"/>
                <w:color w:val="auto"/>
              </w:rPr>
            </w:pPr>
            <w:r>
              <w:rPr>
                <w:rFonts w:ascii="Arial" w:cs="Arial" w:eastAsia="Arial" w:hAnsi="Arial"/>
                <w:sz w:val="18"/>
                <w:szCs w:val="18"/>
                <w:color w:val="auto"/>
              </w:rPr>
              <w:t>/s/ JACK R. McKINNEY</w:t>
            </w:r>
          </w:p>
        </w:tc>
        <w:tc>
          <w:tcPr>
            <w:tcW w:w="6000" w:type="dxa"/>
            <w:vAlign w:val="bottom"/>
            <w:gridSpan w:val="2"/>
          </w:tcPr>
          <w:p>
            <w:pPr>
              <w:ind w:left="640"/>
              <w:spacing w:after="0"/>
              <w:rPr>
                <w:sz w:val="20"/>
                <w:szCs w:val="20"/>
                <w:color w:val="auto"/>
              </w:rPr>
            </w:pPr>
            <w:r>
              <w:rPr>
                <w:rFonts w:ascii="Arial" w:cs="Arial" w:eastAsia="Arial" w:hAnsi="Arial"/>
                <w:sz w:val="18"/>
                <w:szCs w:val="18"/>
                <w:color w:val="auto"/>
              </w:rPr>
              <w:t>Date:  SEPTEMBER 14, 2007</w:t>
            </w:r>
          </w:p>
        </w:tc>
      </w:tr>
      <w:tr>
        <w:trPr>
          <w:trHeight w:val="217"/>
        </w:trPr>
        <w:tc>
          <w:tcPr>
            <w:tcW w:w="5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Jack R. McKinney</w:t>
            </w:r>
          </w:p>
        </w:tc>
        <w:tc>
          <w:tcPr>
            <w:tcW w:w="104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r>
      <w:tr>
        <w:trPr>
          <w:trHeight w:val="356"/>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10</w:t>
            </w:r>
          </w:p>
        </w:tc>
        <w:tc>
          <w:tcPr>
            <w:tcW w:w="49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wp:posOffset>
            </wp:positionV>
            <wp:extent cx="5831840" cy="4364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FFFFFF"/>
        </w:rPr>
        <w:t>September 2007</w:t>
      </w:r>
    </w:p>
    <w:p>
      <w:pPr>
        <w:sectPr>
          <w:pgSz w:w="11900" w:h="16838" w:orient="portrait"/>
          <w:cols w:equalWidth="0" w:num="1">
            <w:col w:w="11420"/>
          </w:cols>
          <w:pgMar w:left="240" w:top="125"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FFFFFF"/>
        </w:rPr>
        <w:t>Big &amp; Tall Market</w:t>
      </w:r>
    </w:p>
    <w:p>
      <w:pPr>
        <w:spacing w:after="0"/>
        <w:rPr>
          <w:sz w:val="20"/>
          <w:szCs w:val="20"/>
          <w:color w:val="auto"/>
        </w:rPr>
      </w:pPr>
      <w:r>
        <w:rPr>
          <w:rFonts w:ascii="Arial" w:cs="Arial" w:eastAsia="Arial" w:hAnsi="Arial"/>
          <w:sz w:val="3"/>
          <w:szCs w:val="3"/>
          <w:color w:val="FFFFFF"/>
        </w:rPr>
        <w:t>• Market defined as:</w:t>
      </w:r>
    </w:p>
    <w:p>
      <w:pPr>
        <w:spacing w:after="0" w:line="194" w:lineRule="auto"/>
        <w:rPr>
          <w:sz w:val="20"/>
          <w:szCs w:val="20"/>
          <w:color w:val="auto"/>
        </w:rPr>
      </w:pPr>
      <w:r>
        <w:rPr>
          <w:rFonts w:ascii="Arial" w:cs="Arial" w:eastAsia="Arial" w:hAnsi="Arial"/>
          <w:sz w:val="5"/>
          <w:szCs w:val="5"/>
          <w:color w:val="FFFFFF"/>
        </w:rPr>
        <w:t>– big = waist size between 40” and 70” – tall = height over 6’2”</w:t>
      </w:r>
    </w:p>
    <w:p>
      <w:pPr>
        <w:spacing w:after="0" w:line="211" w:lineRule="auto"/>
        <w:rPr>
          <w:sz w:val="20"/>
          <w:szCs w:val="20"/>
          <w:color w:val="auto"/>
        </w:rPr>
      </w:pPr>
      <w:r>
        <w:rPr>
          <w:rFonts w:ascii="Arial" w:cs="Arial" w:eastAsia="Arial" w:hAnsi="Arial"/>
          <w:sz w:val="4"/>
          <w:szCs w:val="4"/>
          <w:color w:val="FFFFFF"/>
          <w:vertAlign w:val="subscript"/>
        </w:rPr>
        <w:t>• Big and tall market</w:t>
      </w:r>
      <w:r>
        <w:rPr>
          <w:rFonts w:ascii="Arial" w:cs="Arial" w:eastAsia="Arial" w:hAnsi="Arial"/>
          <w:sz w:val="2"/>
          <w:szCs w:val="2"/>
          <w:color w:val="FFFFFF"/>
        </w:rPr>
        <w:t xml:space="preserve">enaccount for approximately 11% of the male </w:t>
      </w:r>
      <w:r>
        <w:rPr>
          <w:rFonts w:ascii="Arial" w:cs="Arial" w:eastAsia="Arial" w:hAnsi="Arial"/>
          <w:sz w:val="4"/>
          <w:szCs w:val="4"/>
          <w:color w:val="FFFFFF"/>
          <w:vertAlign w:val="subscript"/>
        </w:rPr>
        <w:t>population</w:t>
      </w:r>
      <w:r>
        <w:rPr>
          <w:rFonts w:ascii="Arial" w:cs="Arial" w:eastAsia="Arial" w:hAnsi="Arial"/>
          <w:sz w:val="2"/>
          <w:szCs w:val="2"/>
          <w:color w:val="FFFFFF"/>
        </w:rPr>
        <w:t>.</w:t>
      </w:r>
    </w:p>
    <w:p>
      <w:pPr>
        <w:ind w:left="1160"/>
        <w:spacing w:after="0" w:line="188" w:lineRule="auto"/>
        <w:tabs>
          <w:tab w:leader="none" w:pos="3720" w:val="left"/>
        </w:tabs>
        <w:rPr>
          <w:sz w:val="20"/>
          <w:szCs w:val="20"/>
          <w:color w:val="auto"/>
        </w:rPr>
      </w:pPr>
      <w:r>
        <w:rPr>
          <w:rFonts w:ascii="Arial" w:cs="Arial" w:eastAsia="Arial" w:hAnsi="Arial"/>
          <w:sz w:val="9"/>
          <w:szCs w:val="9"/>
          <w:color w:val="FFFFFF"/>
        </w:rPr>
        <w:t>size is approximately $6 billion and growing</w:t>
      </w:r>
      <w:r>
        <w:rPr>
          <w:sz w:val="20"/>
          <w:szCs w:val="20"/>
          <w:color w:val="auto"/>
        </w:rPr>
        <w:tab/>
      </w:r>
      <w:r>
        <w:rPr>
          <w:rFonts w:ascii="Arial" w:cs="Arial" w:eastAsia="Arial" w:hAnsi="Arial"/>
          <w:sz w:val="9"/>
          <w:szCs w:val="9"/>
          <w:color w:val="FFFFFF"/>
        </w:rPr>
        <w:t>almost twice the rate of the regular size men’s apparel market.</w:t>
      </w:r>
    </w:p>
    <w:p>
      <w:pPr>
        <w:spacing w:after="0"/>
        <w:rPr>
          <w:sz w:val="20"/>
          <w:szCs w:val="20"/>
          <w:color w:val="auto"/>
        </w:rPr>
      </w:pPr>
      <w:r>
        <w:rPr>
          <w:rFonts w:ascii="Arial" w:cs="Arial" w:eastAsia="Arial" w:hAnsi="Arial"/>
          <w:sz w:val="14"/>
          <w:szCs w:val="14"/>
          <w:color w:val="FFFFFF"/>
        </w:rPr>
        <w:t>2– Big &amp; tall apparel market is highly fragmented; characterized by many small, local operators.</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Casual Male Retail Group properly positioned to increase market share to 12% of the big &amp; tall market</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9"/>
          <w:szCs w:val="9"/>
          <w:color w:val="FFFFFF"/>
        </w:rPr>
        <w:t>ObesityMarket isTrends*growingAmongasapercentU.S.Adultstototal menswear sales</w:t>
      </w:r>
    </w:p>
    <w:p>
      <w:pPr>
        <w:spacing w:after="0"/>
        <w:rPr>
          <w:sz w:val="20"/>
          <w:szCs w:val="20"/>
          <w:color w:val="auto"/>
        </w:rPr>
      </w:pPr>
      <w:r>
        <w:rPr>
          <w:rFonts w:ascii="Arial" w:cs="Arial" w:eastAsia="Arial" w:hAnsi="Arial"/>
          <w:sz w:val="3"/>
          <w:szCs w:val="3"/>
          <w:color w:val="FFFFFF"/>
        </w:rPr>
        <w:t>(*BMI ³30, or about 30 lbs overweight)</w:t>
      </w:r>
    </w:p>
    <w:p>
      <w:pPr>
        <w:spacing w:after="0" w:line="194" w:lineRule="auto"/>
        <w:rPr>
          <w:sz w:val="20"/>
          <w:szCs w:val="20"/>
          <w:color w:val="auto"/>
        </w:rPr>
      </w:pPr>
      <w:r>
        <w:rPr>
          <w:rFonts w:ascii="Arial" w:cs="Arial" w:eastAsia="Arial" w:hAnsi="Arial"/>
          <w:sz w:val="5"/>
          <w:szCs w:val="5"/>
          <w:color w:val="FFFFFF"/>
        </w:rPr>
        <w:t>1985 1990 1995</w:t>
      </w:r>
    </w:p>
    <w:p>
      <w:pPr>
        <w:spacing w:after="0" w:line="188" w:lineRule="auto"/>
        <w:rPr>
          <w:sz w:val="20"/>
          <w:szCs w:val="20"/>
          <w:color w:val="auto"/>
        </w:rPr>
      </w:pPr>
      <w:r>
        <w:rPr>
          <w:rFonts w:ascii="Arial" w:cs="Arial" w:eastAsia="Arial" w:hAnsi="Arial"/>
          <w:sz w:val="9"/>
          <w:szCs w:val="9"/>
          <w:color w:val="FFFFFF"/>
        </w:rPr>
        <w:t>2000 2005 2006</w:t>
      </w:r>
    </w:p>
    <w:p>
      <w:pPr>
        <w:spacing w:after="0"/>
        <w:rPr>
          <w:sz w:val="20"/>
          <w:szCs w:val="20"/>
          <w:color w:val="auto"/>
        </w:rPr>
      </w:pPr>
      <w:r>
        <w:rPr>
          <w:rFonts w:ascii="Arial" w:cs="Arial" w:eastAsia="Arial" w:hAnsi="Arial"/>
          <w:sz w:val="12"/>
          <w:szCs w:val="12"/>
          <w:color w:val="FFFFFF"/>
        </w:rPr>
        <w:t>4No Data &lt;10% 10%–14% 15%–19% 20%–24% 25%–29% ³30%</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FFFFFF"/>
        </w:rPr>
        <w:t>5</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759"/>
        <w:spacing w:after="0"/>
        <w:rPr>
          <w:sz w:val="20"/>
          <w:szCs w:val="20"/>
          <w:color w:val="auto"/>
        </w:rPr>
      </w:pPr>
      <w:r>
        <w:rPr>
          <w:rFonts w:ascii="Arial" w:cs="Arial" w:eastAsia="Arial" w:hAnsi="Arial"/>
          <w:sz w:val="12"/>
          <w:szCs w:val="12"/>
          <w:color w:val="FFFFFF"/>
        </w:rPr>
        <w:t>Casual Male Retail Group has divisions which support all demographics within the big &amp; tall market 6</w:t>
      </w:r>
    </w:p>
    <w:p>
      <w:pPr>
        <w:sectPr>
          <w:pgSz w:w="11900" w:h="16838" w:orient="portrait"/>
          <w:cols w:equalWidth="0" w:num="1">
            <w:col w:w="10219"/>
          </w:cols>
          <w:pgMar w:left="240" w:top="1440" w:right="1440"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FFFFFF"/>
        </w:rPr>
        <w:t>B &amp; T Factory Direct</w:t>
      </w:r>
    </w:p>
    <w:p>
      <w:pPr>
        <w:spacing w:after="0"/>
        <w:rPr>
          <w:sz w:val="20"/>
          <w:szCs w:val="20"/>
          <w:color w:val="auto"/>
        </w:rPr>
      </w:pPr>
      <w:r>
        <w:rPr>
          <w:rFonts w:ascii="Arial" w:cs="Arial" w:eastAsia="Arial" w:hAnsi="Arial"/>
          <w:sz w:val="11"/>
          <w:szCs w:val="11"/>
          <w:color w:val="FFFFFF"/>
        </w:rPr>
        <w:t>8Full Price Brands Outlet Brands</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FFFFFF"/>
        </w:rPr>
        <w:t>9B &amp; T Factory Direct</w:t>
      </w:r>
    </w:p>
    <w:p>
      <w:pPr>
        <w:sectPr>
          <w:pgSz w:w="11900" w:h="16838" w:orient="portrait"/>
          <w:cols w:equalWidth="0" w:num="1">
            <w:col w:w="10219"/>
          </w:cols>
          <w:pgMar w:left="240" w:top="1440" w:right="1440" w:bottom="144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11</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12</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13</w:t>
      </w:r>
    </w:p>
    <w:p>
      <w:pPr>
        <w:sectPr>
          <w:pgSz w:w="11900" w:h="16838" w:orient="portrait"/>
          <w:cols w:equalWidth="0" w:num="1">
            <w:col w:w="10219"/>
          </w:cols>
          <w:pgMar w:left="240" w:top="1440" w:right="1440" w:bottom="1440"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15</w:t>
      </w:r>
    </w:p>
    <w:p>
      <w:pPr>
        <w:sectPr>
          <w:pgSz w:w="11900" w:h="16838" w:orient="portrait"/>
          <w:cols w:equalWidth="0" w:num="1">
            <w:col w:w="10219"/>
          </w:cols>
          <w:pgMar w:left="240" w:top="1440" w:right="1440" w:bottom="1440"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17</w:t>
      </w:r>
    </w:p>
    <w:p>
      <w:pPr>
        <w:sectPr>
          <w:pgSz w:w="11900" w:h="16838" w:orient="portrait"/>
          <w:cols w:equalWidth="0" w:num="1">
            <w:col w:w="10219"/>
          </w:cols>
          <w:pgMar w:left="240" w:top="1440" w:right="1440"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FFFFFF"/>
        </w:rPr>
        <w:t>Comp Store Trend</w:t>
      </w:r>
    </w:p>
    <w:p>
      <w:pPr>
        <w:spacing w:after="0" w:line="187" w:lineRule="auto"/>
        <w:rPr>
          <w:sz w:val="20"/>
          <w:szCs w:val="20"/>
          <w:color w:val="auto"/>
        </w:rPr>
      </w:pPr>
      <w:r>
        <w:rPr>
          <w:rFonts w:ascii="Arial" w:cs="Arial" w:eastAsia="Arial" w:hAnsi="Arial"/>
          <w:sz w:val="7"/>
          <w:szCs w:val="7"/>
          <w:color w:val="FFFFFF"/>
        </w:rPr>
        <w:t>12.</w:t>
      </w:r>
      <w:r>
        <w:rPr>
          <w:rFonts w:ascii="Arial" w:cs="Arial" w:eastAsia="Arial" w:hAnsi="Arial"/>
          <w:sz w:val="9"/>
          <w:szCs w:val="9"/>
          <w:color w:val="FFFFFF"/>
          <w:vertAlign w:val="superscript"/>
        </w:rPr>
        <w:t>4</w:t>
      </w:r>
      <w:r>
        <w:rPr>
          <w:rFonts w:ascii="Arial" w:cs="Arial" w:eastAsia="Arial" w:hAnsi="Arial"/>
          <w:sz w:val="7"/>
          <w:szCs w:val="7"/>
          <w:color w:val="FFFFFF"/>
        </w:rPr>
        <w:t>30%</w:t>
      </w:r>
    </w:p>
    <w:p>
      <w:pPr>
        <w:spacing w:after="0" w:line="188" w:lineRule="auto"/>
        <w:rPr>
          <w:sz w:val="20"/>
          <w:szCs w:val="20"/>
          <w:color w:val="auto"/>
        </w:rPr>
      </w:pPr>
      <w:r>
        <w:rPr>
          <w:rFonts w:ascii="Arial" w:cs="Arial" w:eastAsia="Arial" w:hAnsi="Arial"/>
          <w:sz w:val="9"/>
          <w:szCs w:val="9"/>
          <w:color w:val="FFFFFF"/>
        </w:rPr>
        <w:t>Launch of George Foreman 10.6% collection and TV campaign</w:t>
      </w:r>
    </w:p>
    <w:p>
      <w:pPr>
        <w:spacing w:after="0"/>
        <w:rPr>
          <w:sz w:val="20"/>
          <w:szCs w:val="20"/>
          <w:color w:val="auto"/>
        </w:rPr>
      </w:pPr>
      <w:r>
        <w:rPr>
          <w:rFonts w:ascii="Arial" w:cs="Arial" w:eastAsia="Arial" w:hAnsi="Arial"/>
          <w:sz w:val="3"/>
          <w:szCs w:val="3"/>
          <w:color w:val="FFFFFF"/>
        </w:rPr>
        <w:t>710.9%0% 9.2%</w:t>
      </w:r>
    </w:p>
    <w:p>
      <w:pPr>
        <w:spacing w:after="0" w:line="194" w:lineRule="auto"/>
        <w:rPr>
          <w:sz w:val="20"/>
          <w:szCs w:val="20"/>
          <w:color w:val="auto"/>
        </w:rPr>
      </w:pPr>
      <w:r>
        <w:rPr>
          <w:rFonts w:ascii="Arial" w:cs="Arial" w:eastAsia="Arial" w:hAnsi="Arial"/>
          <w:sz w:val="3"/>
          <w:szCs w:val="3"/>
          <w:color w:val="FFFFFF"/>
        </w:rPr>
        <w:t>8</w:t>
      </w:r>
      <w:r>
        <w:rPr>
          <w:rFonts w:ascii="Arial" w:cs="Arial" w:eastAsia="Arial" w:hAnsi="Arial"/>
          <w:sz w:val="5"/>
          <w:szCs w:val="5"/>
          <w:color w:val="FFFFFF"/>
          <w:vertAlign w:val="superscript"/>
        </w:rPr>
        <w:t>.0%</w:t>
      </w:r>
      <w:r>
        <w:rPr>
          <w:rFonts w:ascii="Arial" w:cs="Arial" w:eastAsia="Arial" w:hAnsi="Arial"/>
          <w:sz w:val="3"/>
          <w:szCs w:val="3"/>
          <w:color w:val="FFFFFF"/>
        </w:rPr>
        <w:t xml:space="preserve"> 7.5% 6.2% 6.0% 5.4% 4.8% 3.7% 3.90% 4.0% 2.4% 2.3% 2.5% 2.0% 2.0% 1.6%</w:t>
      </w:r>
    </w:p>
    <w:p>
      <w:pPr>
        <w:spacing w:after="0"/>
        <w:rPr>
          <w:sz w:val="20"/>
          <w:szCs w:val="20"/>
          <w:color w:val="auto"/>
        </w:rPr>
      </w:pPr>
      <w:r>
        <w:rPr>
          <w:rFonts w:ascii="Arial" w:cs="Arial" w:eastAsia="Arial" w:hAnsi="Arial"/>
          <w:sz w:val="3"/>
          <w:szCs w:val="3"/>
          <w:color w:val="FFFFFF"/>
        </w:rPr>
        <w:t>0</w:t>
      </w:r>
    </w:p>
    <w:p>
      <w:pPr>
        <w:spacing w:after="0" w:line="194" w:lineRule="auto"/>
        <w:rPr>
          <w:sz w:val="20"/>
          <w:szCs w:val="20"/>
          <w:color w:val="auto"/>
        </w:rPr>
      </w:pPr>
      <w:r>
        <w:rPr>
          <w:rFonts w:ascii="Arial" w:cs="Arial" w:eastAsia="Arial" w:hAnsi="Arial"/>
          <w:sz w:val="5"/>
          <w:szCs w:val="5"/>
          <w:color w:val="FFFFFF"/>
          <w:vertAlign w:val="superscript"/>
        </w:rPr>
        <w:t>Q1</w:t>
      </w:r>
    </w:p>
    <w:p>
      <w:pPr>
        <w:spacing w:after="0" w:line="188" w:lineRule="auto"/>
        <w:rPr>
          <w:sz w:val="20"/>
          <w:szCs w:val="20"/>
          <w:color w:val="auto"/>
        </w:rPr>
      </w:pPr>
      <w:r>
        <w:rPr>
          <w:rFonts w:ascii="Arial" w:cs="Arial" w:eastAsia="Arial" w:hAnsi="Arial"/>
          <w:sz w:val="9"/>
          <w:szCs w:val="9"/>
          <w:color w:val="FFFFFF"/>
        </w:rPr>
        <w:t>- .1%Q2-Q32.0%Q4-2.3%Q1Q2 Q3 Q4 Q1 Q2 Q3 Q4 Q1 Q2 Q3 Q4 Q1 Q2</w:t>
      </w:r>
    </w:p>
    <w:p>
      <w:pPr>
        <w:spacing w:after="0" w:line="187" w:lineRule="auto"/>
        <w:rPr>
          <w:sz w:val="20"/>
          <w:szCs w:val="20"/>
          <w:color w:val="auto"/>
        </w:rPr>
      </w:pPr>
      <w:r>
        <w:rPr>
          <w:rFonts w:ascii="Arial" w:cs="Arial" w:eastAsia="Arial" w:hAnsi="Arial"/>
          <w:sz w:val="9"/>
          <w:szCs w:val="9"/>
          <w:color w:val="FFFFFF"/>
        </w:rPr>
        <w:t>-Stores4.0% change to</w:t>
      </w:r>
    </w:p>
    <w:p>
      <w:pPr>
        <w:spacing w:after="0"/>
        <w:rPr>
          <w:sz w:val="20"/>
          <w:szCs w:val="20"/>
          <w:color w:val="auto"/>
        </w:rPr>
      </w:pPr>
      <w:r>
        <w:rPr>
          <w:rFonts w:ascii="Arial" w:cs="Arial" w:eastAsia="Arial" w:hAnsi="Arial"/>
          <w:sz w:val="3"/>
          <w:szCs w:val="3"/>
          <w:color w:val="FFFFFF"/>
        </w:rPr>
        <w:t>-lifestyle5.0%-6.0%presentation</w:t>
      </w:r>
    </w:p>
    <w:p>
      <w:pPr>
        <w:spacing w:after="0" w:line="194" w:lineRule="auto"/>
        <w:rPr>
          <w:sz w:val="20"/>
          <w:szCs w:val="20"/>
          <w:color w:val="auto"/>
        </w:rPr>
      </w:pPr>
      <w:r>
        <w:rPr>
          <w:rFonts w:ascii="Arial" w:cs="Arial" w:eastAsia="Arial" w:hAnsi="Arial"/>
          <w:sz w:val="5"/>
          <w:szCs w:val="5"/>
          <w:color w:val="FFFFFF"/>
        </w:rPr>
        <w:t>2003 2004 2005 2006 2007</w:t>
      </w:r>
    </w:p>
    <w:p>
      <w:pPr>
        <w:spacing w:after="0"/>
        <w:rPr>
          <w:sz w:val="20"/>
          <w:szCs w:val="20"/>
          <w:color w:val="auto"/>
        </w:rPr>
      </w:pPr>
      <w:r>
        <w:rPr>
          <w:rFonts w:ascii="Arial" w:cs="Arial" w:eastAsia="Arial" w:hAnsi="Arial"/>
          <w:sz w:val="14"/>
          <w:szCs w:val="14"/>
          <w:color w:val="FFFFFF"/>
        </w:rPr>
        <w:t>19</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color w:val="FFFFFF"/>
        </w:rPr>
        <w:t>Sales200 Per Square Foot</w:t>
      </w:r>
    </w:p>
    <w:p>
      <w:pPr>
        <w:ind w:left="80"/>
        <w:spacing w:after="0" w:line="198" w:lineRule="auto"/>
        <w:rPr>
          <w:sz w:val="20"/>
          <w:szCs w:val="20"/>
          <w:color w:val="auto"/>
        </w:rPr>
      </w:pPr>
      <w:r>
        <w:rPr>
          <w:rFonts w:ascii="Arial" w:cs="Arial" w:eastAsia="Arial" w:hAnsi="Arial"/>
          <w:sz w:val="3"/>
          <w:szCs w:val="3"/>
          <w:color w:val="FFFFFF"/>
        </w:rPr>
        <w:t>85</w:t>
      </w:r>
      <w:r>
        <w:rPr>
          <w:rFonts w:ascii="Arial" w:cs="Arial" w:eastAsia="Arial" w:hAnsi="Arial"/>
          <w:sz w:val="5"/>
          <w:szCs w:val="5"/>
          <w:color w:val="FFFFFF"/>
          <w:vertAlign w:val="subscript"/>
        </w:rPr>
        <w:t>90</w:t>
      </w:r>
      <w:r>
        <w:rPr>
          <w:rFonts w:ascii="Arial" w:cs="Arial" w:eastAsia="Arial" w:hAnsi="Arial"/>
          <w:sz w:val="3"/>
          <w:szCs w:val="3"/>
          <w:color w:val="FFFFFF"/>
        </w:rPr>
        <w:t xml:space="preserve"> 195</w:t>
      </w:r>
    </w:p>
    <w:p>
      <w:pPr>
        <w:spacing w:after="0" w:line="188" w:lineRule="auto"/>
        <w:rPr>
          <w:sz w:val="20"/>
          <w:szCs w:val="20"/>
          <w:color w:val="auto"/>
        </w:rPr>
      </w:pPr>
      <w:r>
        <w:rPr>
          <w:rFonts w:ascii="Arial" w:cs="Arial" w:eastAsia="Arial" w:hAnsi="Arial"/>
          <w:sz w:val="9"/>
          <w:szCs w:val="9"/>
          <w:color w:val="FFFFFF"/>
          <w:vertAlign w:val="superscript"/>
        </w:rPr>
        <w:t>170</w:t>
      </w:r>
      <w:r>
        <w:rPr>
          <w:rFonts w:ascii="Arial" w:cs="Arial" w:eastAsia="Arial" w:hAnsi="Arial"/>
          <w:sz w:val="7"/>
          <w:szCs w:val="7"/>
          <w:color w:val="FFFFFF"/>
        </w:rPr>
        <w:t xml:space="preserve"> 188 184 180 181 175</w:t>
      </w:r>
    </w:p>
    <w:p>
      <w:pPr>
        <w:spacing w:after="0" w:line="182" w:lineRule="auto"/>
        <w:rPr>
          <w:sz w:val="20"/>
          <w:szCs w:val="20"/>
          <w:color w:val="auto"/>
        </w:rPr>
      </w:pPr>
      <w:r>
        <w:rPr>
          <w:rFonts w:ascii="Arial" w:cs="Arial" w:eastAsia="Arial" w:hAnsi="Arial"/>
          <w:sz w:val="23"/>
          <w:szCs w:val="23"/>
          <w:color w:val="FFFFFF"/>
          <w:vertAlign w:val="subscript"/>
        </w:rPr>
        <w:t>20</w:t>
      </w:r>
      <w:r>
        <w:rPr>
          <w:rFonts w:ascii="Arial" w:cs="Arial" w:eastAsia="Arial" w:hAnsi="Arial"/>
          <w:sz w:val="12"/>
          <w:szCs w:val="12"/>
          <w:color w:val="FFFFFF"/>
        </w:rPr>
        <w:t>03 2004 2005 2006</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tcPr>
          <w:p>
            <w:pPr>
              <w:spacing w:after="0"/>
              <w:rPr>
                <w:sz w:val="20"/>
                <w:szCs w:val="20"/>
                <w:color w:val="auto"/>
              </w:rPr>
            </w:pPr>
            <w:r>
              <w:rPr>
                <w:rFonts w:ascii="Arial" w:cs="Arial" w:eastAsia="Arial" w:hAnsi="Arial"/>
                <w:sz w:val="14"/>
                <w:szCs w:val="14"/>
                <w:color w:val="FFFFFF"/>
              </w:rPr>
              <w:t>Casual Male Stores</w:t>
            </w:r>
          </w:p>
        </w:tc>
        <w:tc>
          <w:tcPr>
            <w:tcW w:w="0" w:type="dxa"/>
            <w:vAlign w:val="bottom"/>
          </w:tcPr>
          <w:p>
            <w:pPr>
              <w:spacing w:after="0"/>
              <w:rPr>
                <w:sz w:val="1"/>
                <w:szCs w:val="1"/>
                <w:color w:val="auto"/>
              </w:rPr>
            </w:pPr>
          </w:p>
        </w:tc>
      </w:tr>
      <w:tr>
        <w:trPr>
          <w:trHeight w:val="41"/>
        </w:trPr>
        <w:tc>
          <w:tcPr>
            <w:tcW w:w="5760" w:type="dxa"/>
            <w:vAlign w:val="bottom"/>
            <w:gridSpan w:val="2"/>
          </w:tcPr>
          <w:p>
            <w:pPr>
              <w:spacing w:after="0"/>
              <w:rPr>
                <w:sz w:val="20"/>
                <w:szCs w:val="20"/>
                <w:color w:val="auto"/>
              </w:rPr>
            </w:pPr>
            <w:r>
              <w:rPr>
                <w:rFonts w:ascii="Arial" w:cs="Arial" w:eastAsia="Arial" w:hAnsi="Arial"/>
                <w:sz w:val="3"/>
                <w:szCs w:val="3"/>
                <w:color w:val="FFFFFF"/>
              </w:rPr>
              <w:t>• Casual Male XL is the nation’s largest specialty retailer of big &amp; tall clothing with 475 stores in 44 states</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7</w:t>
            </w:r>
          </w:p>
        </w:tc>
        <w:tc>
          <w:tcPr>
            <w:tcW w:w="5380" w:type="dxa"/>
            <w:vAlign w:val="bottom"/>
          </w:tcPr>
          <w:p>
            <w:pPr>
              <w:ind w:left="80"/>
              <w:spacing w:after="0"/>
              <w:rPr>
                <w:sz w:val="20"/>
                <w:szCs w:val="20"/>
                <w:color w:val="auto"/>
              </w:rPr>
            </w:pPr>
            <w:r>
              <w:rPr>
                <w:rFonts w:ascii="Arial" w:cs="Arial" w:eastAsia="Arial" w:hAnsi="Arial"/>
                <w:sz w:val="3"/>
                <w:szCs w:val="3"/>
                <w:color w:val="FFFFFF"/>
              </w:rPr>
              <w:t>2 3 9</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3</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14</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1</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9 5</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1</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31 23</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26</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5</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4 22</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28 12</w:t>
            </w:r>
          </w:p>
        </w:tc>
        <w:tc>
          <w:tcPr>
            <w:tcW w:w="5380" w:type="dxa"/>
            <w:vAlign w:val="bottom"/>
            <w:vMerge w:val="restart"/>
          </w:tcPr>
          <w:p>
            <w:pPr>
              <w:ind w:left="80"/>
              <w:spacing w:after="0" w:line="95" w:lineRule="exact"/>
              <w:rPr>
                <w:sz w:val="20"/>
                <w:szCs w:val="20"/>
                <w:color w:val="auto"/>
              </w:rPr>
            </w:pPr>
            <w:r>
              <w:rPr>
                <w:rFonts w:ascii="Arial" w:cs="Arial" w:eastAsia="Arial" w:hAnsi="Arial"/>
                <w:sz w:val="10"/>
                <w:szCs w:val="10"/>
                <w:color w:val="FFFFFF"/>
              </w:rPr>
              <w:t>2</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6</w:t>
            </w:r>
          </w:p>
        </w:tc>
        <w:tc>
          <w:tcPr>
            <w:tcW w:w="5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5760" w:type="dxa"/>
            <w:vAlign w:val="bottom"/>
            <w:gridSpan w:val="2"/>
          </w:tcPr>
          <w:p>
            <w:pPr>
              <w:spacing w:after="0" w:line="54" w:lineRule="exact"/>
              <w:rPr>
                <w:sz w:val="20"/>
                <w:szCs w:val="20"/>
                <w:color w:val="auto"/>
              </w:rPr>
            </w:pPr>
            <w:r>
              <w:rPr>
                <w:rFonts w:ascii="Arial" w:cs="Arial" w:eastAsia="Arial" w:hAnsi="Arial"/>
                <w:sz w:val="6"/>
                <w:szCs w:val="6"/>
                <w:color w:val="FFFFFF"/>
              </w:rPr>
              <w:t>55 4 12 5</w:t>
            </w:r>
          </w:p>
        </w:tc>
        <w:tc>
          <w:tcPr>
            <w:tcW w:w="0" w:type="dxa"/>
            <w:vAlign w:val="bottom"/>
          </w:tcPr>
          <w:p>
            <w:pPr>
              <w:spacing w:after="0"/>
              <w:rPr>
                <w:sz w:val="1"/>
                <w:szCs w:val="1"/>
                <w:color w:val="auto"/>
              </w:rPr>
            </w:pPr>
          </w:p>
        </w:tc>
      </w:tr>
      <w:tr>
        <w:trPr>
          <w:trHeight w:val="41"/>
        </w:trPr>
        <w:tc>
          <w:tcPr>
            <w:tcW w:w="5760" w:type="dxa"/>
            <w:vAlign w:val="bottom"/>
            <w:gridSpan w:val="2"/>
          </w:tcPr>
          <w:p>
            <w:pPr>
              <w:spacing w:after="0"/>
              <w:rPr>
                <w:sz w:val="20"/>
                <w:szCs w:val="20"/>
                <w:color w:val="auto"/>
              </w:rPr>
            </w:pPr>
            <w:r>
              <w:rPr>
                <w:rFonts w:ascii="Arial" w:cs="Arial" w:eastAsia="Arial" w:hAnsi="Arial"/>
                <w:sz w:val="3"/>
                <w:szCs w:val="3"/>
                <w:color w:val="FFFFFF"/>
              </w:rPr>
              <w:t>9 11 CT-11</w:t>
            </w:r>
          </w:p>
        </w:tc>
        <w:tc>
          <w:tcPr>
            <w:tcW w:w="0" w:type="dxa"/>
            <w:vAlign w:val="bottom"/>
          </w:tcPr>
          <w:p>
            <w:pPr>
              <w:spacing w:after="0"/>
              <w:rPr>
                <w:sz w:val="1"/>
                <w:szCs w:val="1"/>
                <w:color w:val="auto"/>
              </w:rPr>
            </w:pPr>
          </w:p>
        </w:tc>
      </w:tr>
      <w:tr>
        <w:trPr>
          <w:trHeight w:val="41"/>
        </w:trPr>
        <w:tc>
          <w:tcPr>
            <w:tcW w:w="380" w:type="dxa"/>
            <w:vAlign w:val="bottom"/>
          </w:tcPr>
          <w:p>
            <w:pPr>
              <w:spacing w:after="0"/>
              <w:rPr>
                <w:sz w:val="20"/>
                <w:szCs w:val="20"/>
                <w:color w:val="auto"/>
              </w:rPr>
            </w:pPr>
            <w:r>
              <w:rPr>
                <w:rFonts w:ascii="Arial" w:cs="Arial" w:eastAsia="Arial" w:hAnsi="Arial"/>
                <w:sz w:val="3"/>
                <w:szCs w:val="3"/>
                <w:color w:val="FFFFFF"/>
              </w:rPr>
              <w:t>8</w:t>
            </w:r>
          </w:p>
        </w:tc>
        <w:tc>
          <w:tcPr>
            <w:tcW w:w="5380" w:type="dxa"/>
            <w:vAlign w:val="bottom"/>
          </w:tcPr>
          <w:p>
            <w:pPr>
              <w:ind w:left="80"/>
              <w:spacing w:after="0"/>
              <w:rPr>
                <w:sz w:val="20"/>
                <w:szCs w:val="20"/>
                <w:color w:val="auto"/>
              </w:rPr>
            </w:pPr>
            <w:r>
              <w:rPr>
                <w:rFonts w:ascii="Arial" w:cs="Arial" w:eastAsia="Arial" w:hAnsi="Arial"/>
                <w:sz w:val="3"/>
                <w:szCs w:val="3"/>
                <w:color w:val="FFFFFF"/>
              </w:rPr>
              <w:t>DE-3</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3</w:t>
            </w:r>
          </w:p>
        </w:tc>
        <w:tc>
          <w:tcPr>
            <w:tcW w:w="5380" w:type="dxa"/>
            <w:vAlign w:val="bottom"/>
          </w:tcPr>
          <w:p>
            <w:pPr>
              <w:ind w:left="80"/>
              <w:spacing w:after="0" w:line="54" w:lineRule="exact"/>
              <w:rPr>
                <w:sz w:val="20"/>
                <w:szCs w:val="20"/>
                <w:color w:val="auto"/>
              </w:rPr>
            </w:pPr>
            <w:r>
              <w:rPr>
                <w:rFonts w:ascii="Arial" w:cs="Arial" w:eastAsia="Arial" w:hAnsi="Arial"/>
                <w:sz w:val="6"/>
                <w:szCs w:val="6"/>
                <w:color w:val="FFFFFF"/>
              </w:rPr>
              <w:t>7</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FFFFFF"/>
              </w:rPr>
              <w:t>RI-1</w:t>
            </w:r>
          </w:p>
        </w:tc>
        <w:tc>
          <w:tcPr>
            <w:tcW w:w="5380" w:type="dxa"/>
            <w:vAlign w:val="bottom"/>
            <w:vMerge w:val="restart"/>
          </w:tcPr>
          <w:p>
            <w:pPr>
              <w:ind w:left="80"/>
              <w:spacing w:after="0" w:line="69" w:lineRule="exact"/>
              <w:rPr>
                <w:sz w:val="20"/>
                <w:szCs w:val="20"/>
                <w:color w:val="auto"/>
              </w:rPr>
            </w:pPr>
            <w:r>
              <w:rPr>
                <w:rFonts w:ascii="Arial" w:cs="Arial" w:eastAsia="Arial" w:hAnsi="Arial"/>
                <w:sz w:val="7"/>
                <w:szCs w:val="7"/>
                <w:color w:val="FFFFFF"/>
              </w:rPr>
              <w:t>5 11 MA-14</w:t>
            </w:r>
          </w:p>
        </w:tc>
        <w:tc>
          <w:tcPr>
            <w:tcW w:w="0" w:type="dxa"/>
            <w:vAlign w:val="bottom"/>
          </w:tcPr>
          <w:p>
            <w:pPr>
              <w:spacing w:after="0"/>
              <w:rPr>
                <w:sz w:val="1"/>
                <w:szCs w:val="1"/>
                <w:color w:val="auto"/>
              </w:rPr>
            </w:pPr>
          </w:p>
        </w:tc>
      </w:tr>
      <w:tr>
        <w:trPr>
          <w:trHeight w:val="15"/>
        </w:trPr>
        <w:tc>
          <w:tcPr>
            <w:tcW w:w="380" w:type="dxa"/>
            <w:vAlign w:val="bottom"/>
          </w:tcPr>
          <w:p>
            <w:pPr>
              <w:spacing w:after="0"/>
              <w:rPr>
                <w:sz w:val="20"/>
                <w:szCs w:val="20"/>
                <w:color w:val="auto"/>
              </w:rPr>
            </w:pPr>
            <w:r>
              <w:rPr>
                <w:rFonts w:ascii="Arial" w:cs="Arial" w:eastAsia="Arial" w:hAnsi="Arial"/>
                <w:sz w:val="1"/>
                <w:szCs w:val="1"/>
                <w:color w:val="FFFFFF"/>
              </w:rPr>
              <w:t>2</w:t>
            </w:r>
          </w:p>
        </w:tc>
        <w:tc>
          <w:tcPr>
            <w:tcW w:w="5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9"/>
          <w:szCs w:val="9"/>
          <w:color w:val="FFFFFF"/>
        </w:rPr>
        <w:t>NHLong-3 term potential – 37 5 MD-13</w:t>
      </w:r>
    </w:p>
    <w:p>
      <w:pPr>
        <w:spacing w:after="0"/>
        <w:rPr>
          <w:sz w:val="20"/>
          <w:szCs w:val="20"/>
          <w:color w:val="auto"/>
        </w:rPr>
      </w:pPr>
      <w:r>
        <w:rPr>
          <w:rFonts w:ascii="Arial" w:cs="Arial" w:eastAsia="Arial" w:hAnsi="Arial"/>
          <w:sz w:val="3"/>
          <w:szCs w:val="3"/>
          <w:color w:val="FFFFFF"/>
        </w:rPr>
        <w:t>VTadditional-1 100-130 more stores 27 NJ-21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21</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FFFFFF"/>
        </w:rPr>
        <w:t xml:space="preserve">Relocation </w:t>
      </w:r>
      <w:r>
        <w:rPr>
          <w:rFonts w:ascii="Arial" w:cs="Arial" w:eastAsia="Arial" w:hAnsi="Arial"/>
          <w:sz w:val="27"/>
          <w:szCs w:val="27"/>
          <w:color w:val="FFFFFF"/>
          <w:vertAlign w:val="superscript"/>
        </w:rPr>
        <w:t>Potential</w:t>
      </w:r>
    </w:p>
    <w:p>
      <w:pPr>
        <w:jc w:val="right"/>
        <w:ind w:right="6519"/>
        <w:spacing w:after="0" w:line="211" w:lineRule="auto"/>
        <w:rPr>
          <w:sz w:val="20"/>
          <w:szCs w:val="20"/>
          <w:color w:val="auto"/>
        </w:rPr>
      </w:pPr>
      <w:r>
        <w:rPr>
          <w:rFonts w:ascii="Arial" w:cs="Arial" w:eastAsia="Arial" w:hAnsi="Arial"/>
          <w:sz w:val="4"/>
          <w:szCs w:val="4"/>
          <w:color w:val="FFFFFF"/>
          <w:vertAlign w:val="subscript"/>
        </w:rPr>
        <w:t>Relocation</w:t>
      </w:r>
      <w:r>
        <w:rPr>
          <w:rFonts w:ascii="Arial" w:cs="Arial" w:eastAsia="Arial" w:hAnsi="Arial"/>
          <w:sz w:val="2"/>
          <w:szCs w:val="2"/>
          <w:color w:val="FFFFFF"/>
        </w:rPr>
        <w:t>flower performing store will improve $ per square foot</w:t>
      </w:r>
    </w:p>
    <w:p>
      <w:pPr>
        <w:spacing w:after="0" w:line="188" w:lineRule="auto"/>
        <w:tabs>
          <w:tab w:leader="none" w:pos="1040" w:val="left"/>
        </w:tabs>
        <w:rPr>
          <w:sz w:val="20"/>
          <w:szCs w:val="20"/>
          <w:color w:val="auto"/>
        </w:rPr>
      </w:pPr>
      <w:r>
        <w:rPr>
          <w:rFonts w:ascii="Arial" w:cs="Arial" w:eastAsia="Arial" w:hAnsi="Arial"/>
          <w:sz w:val="9"/>
          <w:szCs w:val="9"/>
          <w:color w:val="FFFFFF"/>
        </w:rPr>
        <w:t>Annual</w:t>
      </w:r>
      <w:r>
        <w:rPr>
          <w:sz w:val="20"/>
          <w:szCs w:val="20"/>
          <w:color w:val="auto"/>
        </w:rPr>
        <w:tab/>
      </w:r>
      <w:r>
        <w:rPr>
          <w:rFonts w:ascii="Arial" w:cs="Arial" w:eastAsia="Arial" w:hAnsi="Arial"/>
          <w:sz w:val="9"/>
          <w:szCs w:val="9"/>
          <w:color w:val="FFFFFF"/>
        </w:rPr>
        <w:t>Plan</w:t>
      </w:r>
    </w:p>
    <w:p>
      <w:pPr>
        <w:spacing w:after="0"/>
        <w:rPr>
          <w:sz w:val="20"/>
          <w:szCs w:val="20"/>
          <w:color w:val="auto"/>
        </w:rPr>
      </w:pPr>
      <w:r>
        <w:rPr>
          <w:rFonts w:ascii="Arial" w:cs="Arial" w:eastAsia="Arial" w:hAnsi="Arial"/>
          <w:sz w:val="3"/>
          <w:szCs w:val="3"/>
          <w:color w:val="FFFFFF"/>
        </w:rPr>
        <w:t>11Number2006 of Stores Calendar Year</w:t>
      </w:r>
    </w:p>
    <w:p>
      <w:pPr>
        <w:spacing w:after="0" w:line="194" w:lineRule="auto"/>
        <w:rPr>
          <w:sz w:val="20"/>
          <w:szCs w:val="20"/>
          <w:color w:val="auto"/>
        </w:rPr>
      </w:pPr>
      <w:r>
        <w:rPr>
          <w:rFonts w:ascii="Arial" w:cs="Arial" w:eastAsia="Arial" w:hAnsi="Arial"/>
          <w:sz w:val="5"/>
          <w:szCs w:val="5"/>
          <w:color w:val="FFFFFF"/>
        </w:rPr>
        <w:t>9 2007 Potential for approximately 8—12 2008, 2009, 2010</w:t>
      </w:r>
    </w:p>
    <w:p>
      <w:pPr>
        <w:spacing w:after="0"/>
        <w:rPr>
          <w:sz w:val="20"/>
          <w:szCs w:val="20"/>
          <w:color w:val="auto"/>
        </w:rPr>
      </w:pPr>
      <w:r>
        <w:rPr>
          <w:rFonts w:ascii="Arial" w:cs="Arial" w:eastAsia="Arial" w:hAnsi="Arial"/>
          <w:sz w:val="14"/>
          <w:szCs w:val="14"/>
          <w:color w:val="FFFFFF"/>
        </w:rPr>
        <w:t>22</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Increasing sales of smaller sizes within big &amp; tall</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FFFFFF"/>
        </w:rPr>
        <w:t>SaleNational$ Sales by Size</w:t>
      </w:r>
    </w:p>
    <w:p>
      <w:pPr>
        <w:ind w:left="100"/>
        <w:spacing w:after="0" w:line="211" w:lineRule="auto"/>
        <w:rPr>
          <w:sz w:val="20"/>
          <w:szCs w:val="20"/>
          <w:color w:val="auto"/>
        </w:rPr>
      </w:pPr>
      <w:r>
        <w:rPr>
          <w:rFonts w:ascii="Arial" w:cs="Arial" w:eastAsia="Arial" w:hAnsi="Arial"/>
          <w:sz w:val="2"/>
          <w:szCs w:val="2"/>
          <w:color w:val="FFFFFF"/>
        </w:rPr>
        <w:t>2 0</w:t>
      </w:r>
      <w:r>
        <w:rPr>
          <w:rFonts w:ascii="Arial" w:cs="Arial" w:eastAsia="Arial" w:hAnsi="Arial"/>
          <w:sz w:val="4"/>
          <w:szCs w:val="4"/>
          <w:color w:val="FFFFFF"/>
          <w:vertAlign w:val="subscript"/>
        </w:rPr>
        <w:t>8</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3"/>
          <w:szCs w:val="3"/>
          <w:color w:val="FFFFFF"/>
        </w:rPr>
        <w:t>6</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3"/>
          <w:szCs w:val="3"/>
          <w:color w:val="FFFFFF"/>
        </w:rPr>
        <w:t>4</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3"/>
          <w:szCs w:val="3"/>
          <w:color w:val="FFFFFF"/>
        </w:rPr>
        <w:t>2</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3"/>
          <w:szCs w:val="3"/>
          <w:color w:val="FFFFFF"/>
        </w:rPr>
        <w:t>1,00 ,000</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3"/>
          <w:szCs w:val="3"/>
          <w:color w:val="FFFFFF"/>
        </w:rPr>
        <w:t>8</w:t>
      </w:r>
    </w:p>
    <w:p>
      <w:pPr>
        <w:ind w:left="100"/>
        <w:spacing w:after="0" w:line="187" w:lineRule="auto"/>
        <w:rPr>
          <w:sz w:val="20"/>
          <w:szCs w:val="20"/>
          <w:color w:val="auto"/>
        </w:rPr>
      </w:pPr>
      <w:r>
        <w:rPr>
          <w:rFonts w:ascii="Arial" w:cs="Arial" w:eastAsia="Arial" w:hAnsi="Arial"/>
          <w:sz w:val="9"/>
          <w:szCs w:val="9"/>
          <w:color w:val="FFFFFF"/>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FFFFFF"/>
        </w:rPr>
        <w:t>$ 200,0004</w:t>
      </w:r>
    </w:p>
    <w:p>
      <w:pPr>
        <w:spacing w:after="0"/>
        <w:rPr>
          <w:sz w:val="20"/>
          <w:szCs w:val="20"/>
          <w:color w:val="auto"/>
        </w:rPr>
      </w:pPr>
      <w:r>
        <w:rPr>
          <w:rFonts w:ascii="Arial" w:cs="Arial" w:eastAsia="Arial" w:hAnsi="Arial"/>
          <w:sz w:val="3"/>
          <w:szCs w:val="3"/>
          <w:color w:val="FFFFFF"/>
        </w:rPr>
        <w:t>Waist3032 34 36 38 40 42 44 46-60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24</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8"/>
          <w:szCs w:val="8"/>
          <w:color w:val="FFFFFF"/>
        </w:rPr>
        <w:t>MarketDatabasedShareonSize‘04 salesOpportunityofCasual Pants, Dress Pants and Jeans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SalesCasual$ Male Sales by Size</w:t>
      </w:r>
    </w:p>
    <w:p>
      <w:pPr>
        <w:jc w:val="right"/>
        <w:ind w:right="9979"/>
        <w:spacing w:after="0" w:line="194" w:lineRule="auto"/>
        <w:rPr>
          <w:sz w:val="20"/>
          <w:szCs w:val="20"/>
          <w:color w:val="auto"/>
        </w:rPr>
      </w:pPr>
      <w:r>
        <w:rPr>
          <w:rFonts w:ascii="Arial" w:cs="Arial" w:eastAsia="Arial" w:hAnsi="Arial"/>
          <w:sz w:val="3"/>
          <w:szCs w:val="3"/>
          <w:color w:val="FFFFFF"/>
        </w:rPr>
        <w:t>20</w:t>
      </w:r>
      <w:r>
        <w:rPr>
          <w:rFonts w:ascii="Arial" w:cs="Arial" w:eastAsia="Arial" w:hAnsi="Arial"/>
          <w:sz w:val="5"/>
          <w:szCs w:val="5"/>
          <w:color w:val="FFFFFF"/>
          <w:vertAlign w:val="subscript"/>
        </w:rPr>
        <w:t>8</w:t>
      </w:r>
    </w:p>
    <w:p>
      <w:pPr>
        <w:spacing w:after="0" w:line="6" w:lineRule="exact"/>
        <w:rPr>
          <w:sz w:val="20"/>
          <w:szCs w:val="20"/>
          <w:color w:val="auto"/>
        </w:rPr>
      </w:pPr>
    </w:p>
    <w:p>
      <w:pPr>
        <w:jc w:val="right"/>
        <w:ind w:right="9979"/>
        <w:spacing w:after="0"/>
        <w:rPr>
          <w:sz w:val="20"/>
          <w:szCs w:val="20"/>
          <w:color w:val="auto"/>
        </w:rPr>
      </w:pPr>
      <w:r>
        <w:rPr>
          <w:rFonts w:ascii="Arial" w:cs="Arial" w:eastAsia="Arial" w:hAnsi="Arial"/>
          <w:sz w:val="3"/>
          <w:szCs w:val="3"/>
          <w:color w:val="FFFFFF"/>
        </w:rPr>
        <w:t>6</w:t>
      </w:r>
    </w:p>
    <w:p>
      <w:pPr>
        <w:jc w:val="right"/>
        <w:ind w:right="9979"/>
        <w:spacing w:after="0" w:line="187" w:lineRule="auto"/>
        <w:rPr>
          <w:sz w:val="20"/>
          <w:szCs w:val="20"/>
          <w:color w:val="auto"/>
        </w:rPr>
      </w:pPr>
      <w:r>
        <w:rPr>
          <w:rFonts w:ascii="Arial" w:cs="Arial" w:eastAsia="Arial" w:hAnsi="Arial"/>
          <w:sz w:val="9"/>
          <w:szCs w:val="9"/>
          <w:color w:val="FFFFFF"/>
        </w:rPr>
        <w:t>4</w:t>
      </w:r>
    </w:p>
    <w:p>
      <w:pPr>
        <w:spacing w:after="0" w:line="6"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3"/>
          <w:szCs w:val="3"/>
          <w:color w:val="FFFFFF"/>
        </w:rPr>
        <w:t>120,</w:t>
      </w:r>
      <w:r>
        <w:rPr>
          <w:sz w:val="20"/>
          <w:szCs w:val="20"/>
          <w:color w:val="auto"/>
        </w:rPr>
        <w:tab/>
      </w:r>
      <w:r>
        <w:rPr>
          <w:rFonts w:ascii="Arial" w:cs="Arial" w:eastAsia="Arial" w:hAnsi="Arial"/>
          <w:sz w:val="3"/>
          <w:szCs w:val="3"/>
          <w:color w:val="FFFFFF"/>
        </w:rPr>
        <w:t>0</w:t>
      </w:r>
    </w:p>
    <w:p>
      <w:pPr>
        <w:spacing w:after="0" w:line="6" w:lineRule="exact"/>
        <w:rPr>
          <w:sz w:val="20"/>
          <w:szCs w:val="20"/>
          <w:color w:val="auto"/>
        </w:rPr>
      </w:pPr>
    </w:p>
    <w:p>
      <w:pPr>
        <w:ind w:left="100"/>
        <w:spacing w:after="0"/>
        <w:rPr>
          <w:sz w:val="20"/>
          <w:szCs w:val="20"/>
          <w:color w:val="auto"/>
        </w:rPr>
      </w:pPr>
      <w:r>
        <w:rPr>
          <w:rFonts w:ascii="Arial" w:cs="Arial" w:eastAsia="Arial" w:hAnsi="Arial"/>
          <w:sz w:val="3"/>
          <w:szCs w:val="3"/>
          <w:color w:val="FFFFFF"/>
        </w:rPr>
        <w:t>8</w:t>
      </w:r>
    </w:p>
    <w:p>
      <w:pPr>
        <w:ind w:left="100"/>
        <w:spacing w:after="0" w:line="187" w:lineRule="auto"/>
        <w:rPr>
          <w:sz w:val="20"/>
          <w:szCs w:val="20"/>
          <w:color w:val="auto"/>
        </w:rPr>
      </w:pPr>
      <w:r>
        <w:rPr>
          <w:rFonts w:ascii="Arial" w:cs="Arial" w:eastAsia="Arial" w:hAnsi="Arial"/>
          <w:sz w:val="9"/>
          <w:szCs w:val="9"/>
          <w:color w:val="FFFFFF"/>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FFFFFF"/>
        </w:rPr>
        <w:t>$ 20,0004</w:t>
      </w:r>
    </w:p>
    <w:p>
      <w:pPr>
        <w:spacing w:after="0"/>
        <w:rPr>
          <w:sz w:val="20"/>
          <w:szCs w:val="20"/>
          <w:color w:val="auto"/>
        </w:rPr>
      </w:pPr>
      <w:r>
        <w:rPr>
          <w:rFonts w:ascii="Arial" w:cs="Arial" w:eastAsia="Arial" w:hAnsi="Arial"/>
          <w:sz w:val="3"/>
          <w:szCs w:val="3"/>
          <w:color w:val="FFFFFF"/>
        </w:rPr>
        <w:t>Waist3638 40Size42 44 46 48 50 52 54 56 58 60 62 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25</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Attracting “Younger” Big &amp; Tall Customers to Casual Male Brand</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color w:val="FFFFFF"/>
        </w:rPr>
        <w:t>•ObesityCMindexesYounglow Meninyoung men’s demo- identifies opportunity for growth</w:t>
      </w:r>
    </w:p>
    <w:p>
      <w:pPr>
        <w:ind w:right="4859"/>
        <w:spacing w:after="0"/>
        <w:rPr>
          <w:sz w:val="20"/>
          <w:szCs w:val="20"/>
          <w:color w:val="auto"/>
        </w:rPr>
      </w:pPr>
      <w:r>
        <w:rPr>
          <w:rFonts w:ascii="Arial" w:cs="Arial" w:eastAsia="Arial" w:hAnsi="Arial"/>
          <w:sz w:val="7"/>
          <w:szCs w:val="7"/>
          <w:color w:val="FFFFFF"/>
        </w:rPr>
        <w:t>–• OpportunityAmongAmericantoincreasemen agespenetration20—34,ofprevalenceunder30demographicofobesityhas increased dramatically since 1976 Men Age 20—34</w:t>
      </w:r>
    </w:p>
    <w:p>
      <w:pPr>
        <w:spacing w:after="0" w:line="181" w:lineRule="auto"/>
        <w:rPr>
          <w:sz w:val="20"/>
          <w:szCs w:val="20"/>
          <w:color w:val="auto"/>
        </w:rPr>
      </w:pPr>
      <w:r>
        <w:rPr>
          <w:rFonts w:ascii="Arial" w:cs="Arial" w:eastAsia="Arial" w:hAnsi="Arial"/>
          <w:sz w:val="14"/>
          <w:szCs w:val="14"/>
          <w:color w:val="FFFFFF"/>
        </w:rPr>
        <w:t>20%5 of21.7Age Group</w:t>
      </w:r>
    </w:p>
    <w:p>
      <w:pPr>
        <w:spacing w:after="0" w:line="189" w:lineRule="auto"/>
        <w:rPr>
          <w:sz w:val="20"/>
          <w:szCs w:val="20"/>
          <w:color w:val="auto"/>
        </w:rPr>
      </w:pPr>
      <w:r>
        <w:rPr>
          <w:rFonts w:ascii="Arial" w:cs="Arial" w:eastAsia="Arial" w:hAnsi="Arial"/>
          <w:sz w:val="9"/>
          <w:szCs w:val="9"/>
          <w:color w:val="FFFFFF"/>
          <w:vertAlign w:val="subscript"/>
        </w:rPr>
        <w:t>15</w:t>
      </w:r>
      <w:r>
        <w:rPr>
          <w:rFonts w:ascii="Arial" w:cs="Arial" w:eastAsia="Arial" w:hAnsi="Arial"/>
          <w:sz w:val="7"/>
          <w:szCs w:val="7"/>
          <w:color w:val="FFFFFF"/>
        </w:rPr>
        <w:t>4.1</w:t>
      </w:r>
    </w:p>
    <w:p>
      <w:pPr>
        <w:spacing w:after="0"/>
        <w:rPr>
          <w:sz w:val="20"/>
          <w:szCs w:val="20"/>
          <w:color w:val="auto"/>
        </w:rPr>
      </w:pPr>
      <w:r>
        <w:rPr>
          <w:rFonts w:ascii="Arial" w:cs="Arial" w:eastAsia="Arial" w:hAnsi="Arial"/>
          <w:sz w:val="3"/>
          <w:szCs w:val="3"/>
          <w:color w:val="FFFFFF"/>
        </w:rPr>
        <w:t>8.9</w:t>
      </w:r>
    </w:p>
    <w:p>
      <w:pPr>
        <w:spacing w:after="0" w:line="194" w:lineRule="auto"/>
        <w:rPr>
          <w:sz w:val="20"/>
          <w:szCs w:val="20"/>
          <w:color w:val="auto"/>
        </w:rPr>
      </w:pPr>
      <w:r>
        <w:rPr>
          <w:rFonts w:ascii="Arial" w:cs="Arial" w:eastAsia="Arial" w:hAnsi="Arial"/>
          <w:sz w:val="5"/>
          <w:szCs w:val="5"/>
          <w:color w:val="FFFFFF"/>
        </w:rPr>
        <w:t>10</w:t>
      </w:r>
    </w:p>
    <w:p>
      <w:pPr>
        <w:spacing w:after="0"/>
        <w:rPr>
          <w:sz w:val="20"/>
          <w:szCs w:val="20"/>
          <w:color w:val="auto"/>
        </w:rPr>
      </w:pPr>
      <w:r>
        <w:rPr>
          <w:rFonts w:ascii="Arial" w:cs="Arial" w:eastAsia="Arial" w:hAnsi="Arial"/>
          <w:sz w:val="14"/>
          <w:szCs w:val="14"/>
          <w:color w:val="FFFFFF"/>
        </w:rPr>
        <w:t>5</w:t>
      </w:r>
    </w:p>
    <w:p>
      <w:pPr>
        <w:spacing w:after="0" w:line="181" w:lineRule="auto"/>
        <w:rPr>
          <w:sz w:val="20"/>
          <w:szCs w:val="20"/>
          <w:color w:val="auto"/>
        </w:rPr>
      </w:pPr>
      <w:r>
        <w:rPr>
          <w:rFonts w:ascii="Arial" w:cs="Arial" w:eastAsia="Arial" w:hAnsi="Arial"/>
          <w:sz w:val="11"/>
          <w:szCs w:val="11"/>
          <w:color w:val="FFFFFF"/>
        </w:rPr>
        <w:t>0</w:t>
      </w:r>
    </w:p>
    <w:p>
      <w:pPr>
        <w:spacing w:after="0"/>
        <w:rPr>
          <w:sz w:val="20"/>
          <w:szCs w:val="20"/>
          <w:color w:val="auto"/>
        </w:rPr>
      </w:pPr>
      <w:r>
        <w:rPr>
          <w:rFonts w:ascii="Arial" w:cs="Arial" w:eastAsia="Arial" w:hAnsi="Arial"/>
          <w:sz w:val="3"/>
          <w:szCs w:val="3"/>
          <w:color w:val="FFFFFF"/>
        </w:rPr>
        <w:t>1976-1980 1988-1994 1999-2002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27</w:t>
      </w:r>
    </w:p>
    <w:p>
      <w:pPr>
        <w:sectPr>
          <w:pgSz w:w="11900" w:h="16838" w:orient="portrait"/>
          <w:cols w:equalWidth="0" w:num="1">
            <w:col w:w="10219"/>
          </w:cols>
          <w:pgMar w:left="2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FFFFFF"/>
        </w:rPr>
        <w:t>Year</w:t>
      </w:r>
    </w:p>
    <w:p>
      <w:pPr>
        <w:spacing w:after="0" w:line="187" w:lineRule="auto"/>
        <w:rPr>
          <w:sz w:val="20"/>
          <w:szCs w:val="20"/>
          <w:color w:val="auto"/>
        </w:rPr>
      </w:pPr>
      <w:r>
        <w:rPr>
          <w:rFonts w:ascii="Arial" w:cs="Arial" w:eastAsia="Arial" w:hAnsi="Arial"/>
          <w:sz w:val="9"/>
          <w:szCs w:val="9"/>
          <w:color w:val="FFFFFF"/>
          <w:vertAlign w:val="subscript"/>
        </w:rPr>
        <w:t>•</w:t>
      </w:r>
      <w:r>
        <w:rPr>
          <w:rFonts w:ascii="Arial" w:cs="Arial" w:eastAsia="Arial" w:hAnsi="Arial"/>
          <w:sz w:val="7"/>
          <w:szCs w:val="7"/>
          <w:color w:val="FFFFFF"/>
        </w:rPr>
        <w:t xml:space="preserve"> Age is continually tr</w:t>
      </w:r>
      <w:r>
        <w:rPr>
          <w:rFonts w:ascii="Arial" w:cs="Arial" w:eastAsia="Arial" w:hAnsi="Arial"/>
          <w:sz w:val="9"/>
          <w:szCs w:val="9"/>
          <w:color w:val="FFFFFF"/>
          <w:vertAlign w:val="subscript"/>
        </w:rPr>
        <w:t>years)</w:t>
      </w:r>
      <w:r>
        <w:rPr>
          <w:rFonts w:ascii="Arial" w:cs="Arial" w:eastAsia="Arial" w:hAnsi="Arial"/>
          <w:sz w:val="7"/>
          <w:szCs w:val="7"/>
          <w:color w:val="FFFFFF"/>
        </w:rPr>
        <w:t>nding downward</w:t>
      </w:r>
    </w:p>
    <w:p>
      <w:pPr>
        <w:spacing w:after="0" w:line="188" w:lineRule="auto"/>
        <w:rPr>
          <w:sz w:val="20"/>
          <w:szCs w:val="20"/>
          <w:color w:val="auto"/>
        </w:rPr>
      </w:pPr>
      <w:r>
        <w:rPr>
          <w:rFonts w:ascii="Arial" w:cs="Arial" w:eastAsia="Arial" w:hAnsi="Arial"/>
          <w:sz w:val="9"/>
          <w:szCs w:val="9"/>
          <w:color w:val="FFFFFF"/>
          <w:vertAlign w:val="superscript"/>
        </w:rPr>
        <w:t>Age</w:t>
      </w:r>
      <w:r>
        <w:rPr>
          <w:rFonts w:ascii="Arial" w:cs="Arial" w:eastAsia="Arial" w:hAnsi="Arial"/>
          <w:sz w:val="7"/>
          <w:szCs w:val="7"/>
          <w:color w:val="FFFFFF"/>
        </w:rPr>
        <w:t>3.verage1%youngerAgeof (1.5New Guestthan last year</w:t>
      </w:r>
    </w:p>
    <w:p>
      <w:pPr>
        <w:ind w:left="80"/>
        <w:spacing w:after="0" w:line="213" w:lineRule="auto"/>
        <w:rPr>
          <w:sz w:val="20"/>
          <w:szCs w:val="20"/>
          <w:color w:val="auto"/>
        </w:rPr>
      </w:pPr>
      <w:r>
        <w:rPr>
          <w:rFonts w:ascii="Arial" w:cs="Arial" w:eastAsia="Arial" w:hAnsi="Arial"/>
          <w:sz w:val="2"/>
          <w:szCs w:val="2"/>
          <w:color w:val="FFFFFF"/>
        </w:rPr>
        <w:t>2</w:t>
      </w:r>
      <w:r>
        <w:rPr>
          <w:rFonts w:ascii="Arial" w:cs="Arial" w:eastAsia="Arial" w:hAnsi="Arial"/>
          <w:sz w:val="4"/>
          <w:szCs w:val="4"/>
          <w:color w:val="FFFFFF"/>
          <w:vertAlign w:val="superscript"/>
        </w:rPr>
        <w:t>0</w:t>
      </w:r>
      <w:r>
        <w:rPr>
          <w:rFonts w:ascii="Arial" w:cs="Arial" w:eastAsia="Arial" w:hAnsi="Arial"/>
          <w:sz w:val="2"/>
          <w:szCs w:val="2"/>
          <w:color w:val="FFFFFF"/>
        </w:rPr>
        <w:t xml:space="preserve"> 00</w:t>
      </w:r>
    </w:p>
    <w:p>
      <w:pPr>
        <w:ind w:left="80"/>
        <w:spacing w:after="0" w:line="211" w:lineRule="auto"/>
        <w:rPr>
          <w:sz w:val="20"/>
          <w:szCs w:val="20"/>
          <w:color w:val="auto"/>
        </w:rPr>
      </w:pPr>
      <w:r>
        <w:rPr>
          <w:rFonts w:ascii="Arial" w:cs="Arial" w:eastAsia="Arial" w:hAnsi="Arial"/>
          <w:sz w:val="4"/>
          <w:szCs w:val="4"/>
          <w:color w:val="FFFFFF"/>
          <w:vertAlign w:val="subscript"/>
        </w:rPr>
        <w:t>1</w:t>
      </w:r>
      <w:r>
        <w:rPr>
          <w:rFonts w:ascii="Arial" w:cs="Arial" w:eastAsia="Arial" w:hAnsi="Arial"/>
          <w:sz w:val="2"/>
          <w:szCs w:val="2"/>
          <w:color w:val="FFFFFF"/>
        </w:rPr>
        <w:t xml:space="preserve"> 93</w:t>
      </w:r>
    </w:p>
    <w:p>
      <w:pPr>
        <w:ind w:left="180"/>
        <w:spacing w:after="0"/>
        <w:rPr>
          <w:sz w:val="20"/>
          <w:szCs w:val="20"/>
          <w:color w:val="auto"/>
        </w:rPr>
      </w:pPr>
      <w:r>
        <w:rPr>
          <w:rFonts w:ascii="Arial" w:cs="Arial" w:eastAsia="Arial" w:hAnsi="Arial"/>
          <w:sz w:val="3"/>
          <w:szCs w:val="3"/>
          <w:color w:val="FFFFFF"/>
        </w:rPr>
        <w:t>00</w:t>
      </w:r>
    </w:p>
    <w:p>
      <w:pPr>
        <w:spacing w:after="0" w:line="194" w:lineRule="auto"/>
        <w:rPr>
          <w:sz w:val="20"/>
          <w:szCs w:val="20"/>
          <w:color w:val="auto"/>
        </w:rPr>
      </w:pPr>
      <w:r>
        <w:rPr>
          <w:rFonts w:ascii="Arial" w:cs="Arial" w:eastAsia="Arial" w:hAnsi="Arial"/>
          <w:sz w:val="3"/>
          <w:szCs w:val="3"/>
          <w:color w:val="FFFFFF"/>
        </w:rPr>
        <w:t xml:space="preserve">50 </w:t>
      </w:r>
      <w:r>
        <w:rPr>
          <w:rFonts w:ascii="Arial" w:cs="Arial" w:eastAsia="Arial" w:hAnsi="Arial"/>
          <w:sz w:val="5"/>
          <w:szCs w:val="5"/>
          <w:color w:val="FFFFFF"/>
          <w:vertAlign w:val="superscript"/>
        </w:rPr>
        <w:t>34</w:t>
      </w:r>
    </w:p>
    <w:p>
      <w:pPr>
        <w:ind w:left="180"/>
        <w:spacing w:after="0"/>
        <w:rPr>
          <w:sz w:val="20"/>
          <w:szCs w:val="20"/>
          <w:color w:val="auto"/>
        </w:rPr>
      </w:pPr>
      <w:r>
        <w:rPr>
          <w:rFonts w:ascii="Arial" w:cs="Arial" w:eastAsia="Arial" w:hAnsi="Arial"/>
          <w:sz w:val="3"/>
          <w:szCs w:val="3"/>
          <w:color w:val="FFFFFF"/>
        </w:rPr>
        <w:t>00</w:t>
      </w:r>
    </w:p>
    <w:p>
      <w:pPr>
        <w:ind w:left="80"/>
        <w:spacing w:after="0" w:line="194" w:lineRule="auto"/>
        <w:rPr>
          <w:sz w:val="20"/>
          <w:szCs w:val="20"/>
          <w:color w:val="auto"/>
        </w:rPr>
      </w:pPr>
      <w:r>
        <w:rPr>
          <w:rFonts w:ascii="Arial" w:cs="Arial" w:eastAsia="Arial" w:hAnsi="Arial"/>
          <w:sz w:val="5"/>
          <w:szCs w:val="5"/>
          <w:color w:val="FFFFFF"/>
          <w:vertAlign w:val="subscript"/>
        </w:rPr>
        <w:t>9</w:t>
      </w:r>
      <w:r>
        <w:rPr>
          <w:rFonts w:ascii="Arial" w:cs="Arial" w:eastAsia="Arial" w:hAnsi="Arial"/>
          <w:sz w:val="3"/>
          <w:szCs w:val="3"/>
          <w:color w:val="FFFFFF"/>
        </w:rPr>
        <w:t xml:space="preserve"> 63</w:t>
      </w:r>
    </w:p>
    <w:p>
      <w:pPr>
        <w:spacing w:after="0" w:line="211" w:lineRule="auto"/>
        <w:rPr>
          <w:sz w:val="20"/>
          <w:szCs w:val="20"/>
          <w:color w:val="auto"/>
        </w:rPr>
      </w:pPr>
      <w:r>
        <w:rPr>
          <w:rFonts w:ascii="Arial" w:cs="Arial" w:eastAsia="Arial" w:hAnsi="Arial"/>
          <w:sz w:val="2"/>
          <w:szCs w:val="2"/>
          <w:color w:val="FFFFFF"/>
        </w:rPr>
        <w:t>48.</w:t>
      </w:r>
      <w:r>
        <w:rPr>
          <w:rFonts w:ascii="Arial" w:cs="Arial" w:eastAsia="Arial" w:hAnsi="Arial"/>
          <w:sz w:val="4"/>
          <w:szCs w:val="4"/>
          <w:color w:val="FFFFFF"/>
          <w:vertAlign w:val="superscript"/>
        </w:rPr>
        <w:t>00</w:t>
      </w:r>
    </w:p>
    <w:p>
      <w:pPr>
        <w:spacing w:after="0" w:line="188" w:lineRule="auto"/>
        <w:rPr>
          <w:sz w:val="20"/>
          <w:szCs w:val="20"/>
          <w:color w:val="auto"/>
        </w:rPr>
      </w:pPr>
      <w:r>
        <w:rPr>
          <w:rFonts w:ascii="Arial" w:cs="Arial" w:eastAsia="Arial" w:hAnsi="Arial"/>
          <w:sz w:val="9"/>
          <w:szCs w:val="9"/>
          <w:color w:val="FFFFFF"/>
        </w:rPr>
        <w:t>LY47 *1.5 years younger than</w:t>
      </w:r>
    </w:p>
    <w:p>
      <w:pPr>
        <w:spacing w:after="0"/>
        <w:rPr>
          <w:sz w:val="20"/>
          <w:szCs w:val="20"/>
          <w:color w:val="auto"/>
        </w:rPr>
      </w:pPr>
      <w:r>
        <w:rPr>
          <w:rFonts w:ascii="Arial" w:cs="Arial" w:eastAsia="Arial" w:hAnsi="Arial"/>
          <w:sz w:val="3"/>
          <w:szCs w:val="3"/>
          <w:color w:val="FFFFFF"/>
        </w:rPr>
        <w:t>48.00</w:t>
      </w:r>
    </w:p>
    <w:p>
      <w:pPr>
        <w:spacing w:after="0" w:line="194" w:lineRule="auto"/>
        <w:rPr>
          <w:sz w:val="20"/>
          <w:szCs w:val="20"/>
          <w:color w:val="auto"/>
        </w:rPr>
      </w:pPr>
      <w:r>
        <w:rPr>
          <w:rFonts w:ascii="Arial" w:cs="Arial" w:eastAsia="Arial" w:hAnsi="Arial"/>
          <w:sz w:val="5"/>
          <w:szCs w:val="5"/>
          <w:color w:val="FFFFFF"/>
        </w:rPr>
        <w:t>*4 year younfer than</w:t>
      </w:r>
    </w:p>
    <w:p>
      <w:pPr>
        <w:spacing w:after="0"/>
        <w:rPr>
          <w:sz w:val="20"/>
          <w:szCs w:val="20"/>
          <w:color w:val="auto"/>
        </w:rPr>
      </w:pPr>
      <w:r>
        <w:rPr>
          <w:rFonts w:ascii="Arial" w:cs="Arial" w:eastAsia="Arial" w:hAnsi="Arial"/>
          <w:sz w:val="3"/>
          <w:szCs w:val="3"/>
          <w:color w:val="FFFFFF"/>
        </w:rPr>
        <w:t>2002</w:t>
      </w:r>
    </w:p>
    <w:p>
      <w:pPr>
        <w:ind w:left="80"/>
        <w:spacing w:after="0" w:line="181" w:lineRule="auto"/>
        <w:rPr>
          <w:sz w:val="20"/>
          <w:szCs w:val="20"/>
          <w:color w:val="auto"/>
        </w:rPr>
      </w:pPr>
      <w:r>
        <w:rPr>
          <w:rFonts w:ascii="Arial" w:cs="Arial" w:eastAsia="Arial" w:hAnsi="Arial"/>
          <w:sz w:val="10"/>
          <w:szCs w:val="10"/>
          <w:color w:val="FFFFFF"/>
          <w:vertAlign w:val="superscript"/>
        </w:rPr>
        <w:t>6</w:t>
      </w:r>
      <w:r>
        <w:rPr>
          <w:rFonts w:ascii="Arial" w:cs="Arial" w:eastAsia="Arial" w:hAnsi="Arial"/>
          <w:sz w:val="10"/>
          <w:szCs w:val="10"/>
          <w:color w:val="FFFFFF"/>
          <w:vertAlign w:val="subscript"/>
        </w:rPr>
        <w:t>7</w:t>
      </w:r>
      <w:r>
        <w:rPr>
          <w:rFonts w:ascii="Arial" w:cs="Arial" w:eastAsia="Arial" w:hAnsi="Arial"/>
          <w:sz w:val="7"/>
          <w:szCs w:val="7"/>
          <w:color w:val="FFFFFF"/>
        </w:rPr>
        <w:t xml:space="preserve"> 96</w:t>
      </w:r>
    </w:p>
    <w:p>
      <w:pPr>
        <w:spacing w:after="0" w:line="6" w:lineRule="exact"/>
        <w:rPr>
          <w:sz w:val="20"/>
          <w:szCs w:val="20"/>
          <w:color w:val="auto"/>
        </w:rPr>
      </w:pPr>
    </w:p>
    <w:p>
      <w:pPr>
        <w:ind w:left="80"/>
        <w:spacing w:after="0"/>
        <w:rPr>
          <w:sz w:val="20"/>
          <w:szCs w:val="20"/>
          <w:color w:val="auto"/>
        </w:rPr>
      </w:pPr>
      <w:r>
        <w:rPr>
          <w:rFonts w:ascii="Arial" w:cs="Arial" w:eastAsia="Arial" w:hAnsi="Arial"/>
          <w:sz w:val="3"/>
          <w:szCs w:val="3"/>
          <w:color w:val="FFFFFF"/>
        </w:rPr>
        <w:t>5</w:t>
      </w:r>
    </w:p>
    <w:p>
      <w:pPr>
        <w:spacing w:after="0" w:line="187" w:lineRule="auto"/>
        <w:rPr>
          <w:sz w:val="20"/>
          <w:szCs w:val="20"/>
          <w:color w:val="auto"/>
        </w:rPr>
      </w:pPr>
      <w:r>
        <w:rPr>
          <w:rFonts w:ascii="Arial" w:cs="Arial" w:eastAsia="Arial" w:hAnsi="Arial"/>
          <w:sz w:val="9"/>
          <w:szCs w:val="9"/>
          <w:color w:val="FFFFFF"/>
        </w:rPr>
        <w:t>44.00</w:t>
      </w:r>
    </w:p>
    <w:p>
      <w:pPr>
        <w:spacing w:after="0" w:line="182" w:lineRule="auto"/>
        <w:rPr>
          <w:sz w:val="20"/>
          <w:szCs w:val="20"/>
          <w:color w:val="auto"/>
        </w:rPr>
      </w:pPr>
      <w:r>
        <w:rPr>
          <w:rFonts w:ascii="Arial" w:cs="Arial" w:eastAsia="Arial" w:hAnsi="Arial"/>
          <w:sz w:val="23"/>
          <w:szCs w:val="23"/>
          <w:color w:val="FFFFFF"/>
          <w:vertAlign w:val="subscript"/>
        </w:rPr>
        <w:t>28</w:t>
      </w:r>
      <w:r>
        <w:rPr>
          <w:rFonts w:ascii="Arial" w:cs="Arial" w:eastAsia="Arial" w:hAnsi="Arial"/>
          <w:sz w:val="12"/>
          <w:szCs w:val="12"/>
          <w:color w:val="FFFFFF"/>
        </w:rPr>
        <w:t>002 2003 2004 2005 2006</w:t>
      </w:r>
    </w:p>
    <w:p>
      <w:pPr>
        <w:sectPr>
          <w:pgSz w:w="11900" w:h="16838" w:orient="portrait"/>
          <w:cols w:equalWidth="0" w:num="1">
            <w:col w:w="10219"/>
          </w:cols>
          <w:pgMar w:left="2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29</w:t>
      </w:r>
    </w:p>
    <w:p>
      <w:pPr>
        <w:sectPr>
          <w:pgSz w:w="11900" w:h="16838" w:orient="portrait"/>
          <w:cols w:equalWidth="0" w:num="1">
            <w:col w:w="10219"/>
          </w:cols>
          <w:pgMar w:left="240" w:top="1440" w:right="1440" w:bottom="1440"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color w:val="FFFFFF"/>
        </w:rPr>
        <w:t>31</w:t>
      </w:r>
    </w:p>
    <w:p>
      <w:pPr>
        <w:sectPr>
          <w:pgSz w:w="11900" w:h="16838" w:orient="portrait"/>
          <w:cols w:equalWidth="0" w:num="1">
            <w:col w:w="10219"/>
          </w:cols>
          <w:pgMar w:left="2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32</w:t>
      </w:r>
    </w:p>
    <w:p>
      <w:pPr>
        <w:sectPr>
          <w:pgSz w:w="11900" w:h="16838" w:orient="portrait"/>
          <w:cols w:equalWidth="0" w:num="1">
            <w:col w:w="10219"/>
          </w:cols>
          <w:pgMar w:left="2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Multi Channel Shopping In-store, Catalog &amp; Online</w:t>
      </w:r>
    </w:p>
    <w:p>
      <w:pPr>
        <w:sectPr>
          <w:pgSz w:w="11900" w:h="16838" w:orient="portrait"/>
          <w:cols w:equalWidth="0" w:num="1">
            <w:col w:w="10219"/>
          </w:cols>
          <w:pgMar w:left="2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color w:val="FFFFFF"/>
        </w:rPr>
        <w:t>34</w:t>
      </w:r>
    </w:p>
    <w:p>
      <w:pPr>
        <w:sectPr>
          <w:pgSz w:w="11900" w:h="16838" w:orient="portrait"/>
          <w:cols w:equalWidth="0" w:num="1">
            <w:col w:w="10219"/>
          </w:cols>
          <w:pgMar w:left="240" w:top="1440"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0"/>
          <w:szCs w:val="10"/>
          <w:color w:val="FFFFFF"/>
        </w:rPr>
        <w:t>Casual20</w:t>
      </w:r>
      <w:r>
        <w:rPr>
          <w:rFonts w:ascii="Arial" w:cs="Arial" w:eastAsia="Arial" w:hAnsi="Arial"/>
          <w:sz w:val="18"/>
          <w:szCs w:val="18"/>
          <w:color w:val="FFFFFF"/>
          <w:vertAlign w:val="subscript"/>
        </w:rPr>
        <w:t>5</w:t>
      </w:r>
      <w:r>
        <w:rPr>
          <w:rFonts w:ascii="Arial" w:cs="Arial" w:eastAsia="Arial" w:hAnsi="Arial"/>
          <w:sz w:val="10"/>
          <w:szCs w:val="10"/>
          <w:color w:val="FFFFFF"/>
        </w:rPr>
        <w:t xml:space="preserve"> Male Internet Sales by Year</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FFFFFF"/>
        </w:rPr>
        <w:t>$ 5,000,000</w:t>
      </w:r>
      <w:r>
        <w:rPr>
          <w:rFonts w:ascii="Arial" w:cs="Arial" w:eastAsia="Arial" w:hAnsi="Arial"/>
          <w:sz w:val="27"/>
          <w:szCs w:val="27"/>
          <w:color w:val="FFFFFF"/>
          <w:vertAlign w:val="superscript"/>
        </w:rPr>
        <w:t>10,0</w:t>
      </w:r>
    </w:p>
    <w:p>
      <w:pPr>
        <w:spacing w:after="0"/>
        <w:rPr>
          <w:sz w:val="20"/>
          <w:szCs w:val="20"/>
          <w:color w:val="auto"/>
        </w:rPr>
      </w:pPr>
      <w:r>
        <w:rPr>
          <w:rFonts w:ascii="Arial" w:cs="Arial" w:eastAsia="Arial" w:hAnsi="Arial"/>
          <w:sz w:val="3"/>
          <w:szCs w:val="3"/>
          <w:color w:val="FFFFFF"/>
        </w:rPr>
        <w:t>2002 2003 2004 2005 2006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35</w:t>
      </w:r>
    </w:p>
    <w:p>
      <w:pPr>
        <w:sectPr>
          <w:pgSz w:w="11900" w:h="16838" w:orient="portrait"/>
          <w:cols w:equalWidth="0" w:num="1">
            <w:col w:w="10219"/>
          </w:cols>
          <w:pgMar w:left="240" w:top="1440" w:right="1440"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FFFFFF"/>
        </w:rPr>
        <w:t>37</w:t>
      </w:r>
    </w:p>
    <w:p>
      <w:pPr>
        <w:sectPr>
          <w:pgSz w:w="11900" w:h="16838" w:orient="portrait"/>
          <w:cols w:equalWidth="0" w:num="1">
            <w:col w:w="10219"/>
          </w:cols>
          <w:pgMar w:left="2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FFFFFF"/>
        </w:rPr>
        <w:t>Rochester</w:t>
      </w:r>
    </w:p>
    <w:p>
      <w:pPr>
        <w:spacing w:after="0"/>
        <w:rPr>
          <w:sz w:val="20"/>
          <w:szCs w:val="20"/>
          <w:color w:val="auto"/>
        </w:rPr>
      </w:pPr>
      <w:r>
        <w:rPr>
          <w:rFonts w:ascii="Arial" w:cs="Arial" w:eastAsia="Arial" w:hAnsi="Arial"/>
          <w:sz w:val="3"/>
          <w:szCs w:val="3"/>
          <w:color w:val="FFFFFF"/>
        </w:rPr>
        <w:t>– Targets the higher income consumer within the big and tall market</w:t>
      </w:r>
    </w:p>
    <w:p>
      <w:pPr>
        <w:spacing w:after="0" w:line="181" w:lineRule="auto"/>
        <w:rPr>
          <w:sz w:val="20"/>
          <w:szCs w:val="20"/>
          <w:color w:val="auto"/>
        </w:rPr>
      </w:pPr>
      <w:r>
        <w:rPr>
          <w:rFonts w:ascii="Arial" w:cs="Arial" w:eastAsia="Arial" w:hAnsi="Arial"/>
          <w:sz w:val="10"/>
          <w:szCs w:val="10"/>
          <w:color w:val="FFFFFF"/>
        </w:rPr>
        <w:t>•$ 100,000 per year average salary</w:t>
      </w:r>
    </w:p>
    <w:p>
      <w:pPr>
        <w:spacing w:after="0"/>
        <w:rPr>
          <w:sz w:val="20"/>
          <w:szCs w:val="20"/>
          <w:color w:val="auto"/>
        </w:rPr>
      </w:pPr>
      <w:r>
        <w:rPr>
          <w:rFonts w:ascii="Arial" w:cs="Arial" w:eastAsia="Arial" w:hAnsi="Arial"/>
          <w:sz w:val="12"/>
          <w:szCs w:val="12"/>
          <w:color w:val="FFFFFF"/>
        </w:rPr>
        <w:t>3– 26 store locations in Locations downtown major metropolitan areas and upscale suburbs</w:t>
      </w:r>
    </w:p>
    <w:p>
      <w:pPr>
        <w:spacing w:after="0" w:line="237" w:lineRule="auto"/>
        <w:rPr>
          <w:sz w:val="20"/>
          <w:szCs w:val="20"/>
          <w:color w:val="auto"/>
        </w:rPr>
      </w:pPr>
      <w:r>
        <w:rPr>
          <w:rFonts w:ascii="Arial" w:cs="Arial" w:eastAsia="Arial" w:hAnsi="Arial"/>
          <w:sz w:val="14"/>
          <w:szCs w:val="14"/>
          <w:color w:val="FFFFFF"/>
        </w:rPr>
        <w:t>7,250•Averagesquarestorefeetsize:2 32</w:t>
      </w:r>
    </w:p>
    <w:p>
      <w:pPr>
        <w:spacing w:after="0"/>
        <w:rPr>
          <w:sz w:val="20"/>
          <w:szCs w:val="20"/>
          <w:color w:val="auto"/>
        </w:rPr>
      </w:pPr>
      <w:r>
        <w:rPr>
          <w:rFonts w:ascii="Arial" w:cs="Arial" w:eastAsia="Arial" w:hAnsi="Arial"/>
          <w:sz w:val="3"/>
          <w:szCs w:val="3"/>
          <w:color w:val="FFFFFF"/>
        </w:rPr>
        <w:t>• Average sales / square 7 foot: $327</w:t>
      </w:r>
    </w:p>
    <w:p>
      <w:pPr>
        <w:spacing w:after="0" w:line="194" w:lineRule="auto"/>
        <w:rPr>
          <w:sz w:val="20"/>
          <w:szCs w:val="20"/>
          <w:color w:val="auto"/>
        </w:rPr>
      </w:pPr>
      <w:r>
        <w:rPr>
          <w:rFonts w:ascii="Arial" w:cs="Arial" w:eastAsia="Arial" w:hAnsi="Arial"/>
          <w:sz w:val="5"/>
          <w:szCs w:val="5"/>
          <w:color w:val="FFFFFF"/>
          <w:vertAlign w:val="superscript"/>
        </w:rPr>
        <w:t>–</w:t>
      </w:r>
    </w:p>
    <w:p>
      <w:pPr>
        <w:ind w:left="100"/>
        <w:spacing w:after="0"/>
        <w:rPr>
          <w:sz w:val="20"/>
          <w:szCs w:val="20"/>
          <w:color w:val="auto"/>
        </w:rPr>
      </w:pPr>
      <w:r>
        <w:rPr>
          <w:rFonts w:ascii="Arial" w:cs="Arial" w:eastAsia="Arial" w:hAnsi="Arial"/>
          <w:sz w:val="3"/>
          <w:szCs w:val="3"/>
          <w:color w:val="FFFFFF"/>
        </w:rPr>
        <w:t>AverageStorescarrytransactionhigher-endsize:designer product 2</w:t>
      </w:r>
    </w:p>
    <w:p>
      <w:pPr>
        <w:spacing w:after="0" w:line="190" w:lineRule="auto"/>
        <w:rPr>
          <w:sz w:val="20"/>
          <w:szCs w:val="20"/>
          <w:color w:val="auto"/>
        </w:rPr>
      </w:pPr>
      <w:r>
        <w:rPr>
          <w:rFonts w:ascii="Arial" w:cs="Arial" w:eastAsia="Arial" w:hAnsi="Arial"/>
          <w:sz w:val="11"/>
          <w:szCs w:val="11"/>
          <w:color w:val="FFFFFF"/>
        </w:rPr>
        <w:t>$300 Rochester</w:t>
      </w:r>
    </w:p>
    <w:p>
      <w:pPr>
        <w:spacing w:after="0" w:line="185" w:lineRule="auto"/>
        <w:tabs>
          <w:tab w:leader="none" w:pos="440" w:val="left"/>
        </w:tabs>
        <w:rPr>
          <w:sz w:val="20"/>
          <w:szCs w:val="20"/>
          <w:color w:val="auto"/>
        </w:rPr>
      </w:pPr>
      <w:r>
        <w:rPr>
          <w:rFonts w:ascii="Arial" w:cs="Arial" w:eastAsia="Arial" w:hAnsi="Arial"/>
          <w:sz w:val="14"/>
          <w:szCs w:val="14"/>
          <w:color w:val="FFFFFF"/>
        </w:rPr>
        <w:t>38*</w:t>
      </w:r>
      <w:r>
        <w:rPr>
          <w:sz w:val="20"/>
          <w:szCs w:val="20"/>
          <w:color w:val="auto"/>
        </w:rPr>
        <w:tab/>
      </w:r>
      <w:r>
        <w:rPr>
          <w:rFonts w:ascii="Arial" w:cs="Arial" w:eastAsia="Arial" w:hAnsi="Arial"/>
          <w:sz w:val="12"/>
          <w:szCs w:val="12"/>
          <w:color w:val="FFFFFF"/>
        </w:rPr>
        <w:t>1 London, United Kingdom</w:t>
      </w:r>
    </w:p>
    <w:p>
      <w:pPr>
        <w:sectPr>
          <w:pgSz w:w="11900" w:h="16838" w:orient="portrait"/>
          <w:cols w:equalWidth="0" w:num="1">
            <w:col w:w="10219"/>
          </w:cols>
          <w:pgMar w:left="2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0"/>
          <w:szCs w:val="10"/>
          <w:color w:val="FFFFFF"/>
        </w:rPr>
        <w:t>39Rochester Brands</w:t>
      </w:r>
    </w:p>
    <w:p>
      <w:pPr>
        <w:sectPr>
          <w:pgSz w:w="11900" w:h="16838" w:orient="portrait"/>
          <w:cols w:equalWidth="0" w:num="1">
            <w:col w:w="10219"/>
          </w:cols>
          <w:pgMar w:left="240" w:top="1440" w:right="1440" w:bottom="1440"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FFFFFF"/>
        </w:rPr>
        <w:t>Jared M.</w:t>
      </w:r>
    </w:p>
    <w:p>
      <w:pPr>
        <w:spacing w:after="0" w:line="211" w:lineRule="auto"/>
        <w:rPr>
          <w:sz w:val="20"/>
          <w:szCs w:val="20"/>
          <w:color w:val="auto"/>
        </w:rPr>
      </w:pPr>
      <w:r>
        <w:rPr>
          <w:rFonts w:ascii="Arial" w:cs="Arial" w:eastAsia="Arial" w:hAnsi="Arial"/>
          <w:sz w:val="4"/>
          <w:szCs w:val="4"/>
          <w:color w:val="FFFFFF"/>
          <w:vertAlign w:val="superscript"/>
        </w:rPr>
        <w:t>•</w:t>
      </w:r>
    </w:p>
    <w:p>
      <w:pPr>
        <w:ind w:left="80"/>
        <w:spacing w:after="0"/>
        <w:rPr>
          <w:sz w:val="20"/>
          <w:szCs w:val="20"/>
          <w:color w:val="auto"/>
        </w:rPr>
      </w:pPr>
      <w:r>
        <w:rPr>
          <w:rFonts w:ascii="Arial" w:cs="Arial" w:eastAsia="Arial" w:hAnsi="Arial"/>
          <w:sz w:val="3"/>
          <w:szCs w:val="3"/>
          <w:color w:val="FFFFFF"/>
        </w:rPr>
        <w:t>CustomThreeareasClothingofopportunity for growth of Jared M. concept</w:t>
      </w:r>
    </w:p>
    <w:p>
      <w:pPr>
        <w:ind w:left="100"/>
        <w:spacing w:after="0" w:line="194" w:lineRule="auto"/>
        <w:rPr>
          <w:sz w:val="20"/>
          <w:szCs w:val="20"/>
          <w:color w:val="auto"/>
        </w:rPr>
      </w:pPr>
      <w:r>
        <w:rPr>
          <w:rFonts w:ascii="Arial" w:cs="Arial" w:eastAsia="Arial" w:hAnsi="Arial"/>
          <w:sz w:val="5"/>
          <w:szCs w:val="5"/>
          <w:color w:val="FFFFFF"/>
        </w:rPr>
        <w:t>Rochester is underdeveloped in custom clothing (3.5% of sales)</w:t>
      </w:r>
    </w:p>
    <w:p>
      <w:pPr>
        <w:spacing w:after="0" w:line="211" w:lineRule="auto"/>
        <w:rPr>
          <w:sz w:val="20"/>
          <w:szCs w:val="20"/>
          <w:color w:val="auto"/>
        </w:rPr>
      </w:pPr>
      <w:r>
        <w:rPr>
          <w:rFonts w:ascii="Arial" w:cs="Arial" w:eastAsia="Arial" w:hAnsi="Arial"/>
          <w:sz w:val="4"/>
          <w:szCs w:val="4"/>
          <w:color w:val="FFFFFF"/>
          <w:vertAlign w:val="superscript"/>
        </w:rPr>
        <w:t>–</w:t>
      </w:r>
    </w:p>
    <w:p>
      <w:pPr>
        <w:ind w:left="100"/>
        <w:spacing w:after="0"/>
        <w:rPr>
          <w:sz w:val="20"/>
          <w:szCs w:val="20"/>
          <w:color w:val="auto"/>
        </w:rPr>
      </w:pPr>
      <w:r>
        <w:rPr>
          <w:rFonts w:ascii="Arial" w:cs="Arial" w:eastAsia="Arial" w:hAnsi="Arial"/>
          <w:sz w:val="3"/>
          <w:szCs w:val="3"/>
          <w:color w:val="FFFFFF"/>
        </w:rPr>
        <w:t>NewJared Showroom/ProductionM.customshopswill contributefacilityin tolowerthe contemporaryManhattanwillportionalsosupportofthis customopportunityclothing</w:t>
      </w:r>
    </w:p>
    <w:p>
      <w:pPr>
        <w:spacing w:after="0" w:line="194" w:lineRule="auto"/>
        <w:rPr>
          <w:sz w:val="20"/>
          <w:szCs w:val="20"/>
          <w:color w:val="auto"/>
        </w:rPr>
      </w:pPr>
      <w:r>
        <w:rPr>
          <w:rFonts w:ascii="Arial" w:cs="Arial" w:eastAsia="Arial" w:hAnsi="Arial"/>
          <w:sz w:val="5"/>
          <w:szCs w:val="5"/>
          <w:color w:val="FFFFFF"/>
        </w:rPr>
        <w:t>• Athlete clientele growth</w:t>
      </w:r>
    </w:p>
    <w:p>
      <w:pPr>
        <w:spacing w:after="0" w:line="211"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 xml:space="preserve"> Jared M. has solid NBA athlete clientele</w:t>
      </w:r>
    </w:p>
    <w:p>
      <w:pPr>
        <w:ind w:left="100"/>
        <w:spacing w:after="0"/>
        <w:rPr>
          <w:sz w:val="20"/>
          <w:szCs w:val="20"/>
          <w:color w:val="auto"/>
        </w:rPr>
      </w:pPr>
      <w:r>
        <w:rPr>
          <w:rFonts w:ascii="Arial" w:cs="Arial" w:eastAsia="Arial" w:hAnsi="Arial"/>
          <w:sz w:val="3"/>
          <w:szCs w:val="3"/>
          <w:color w:val="FFFFFF"/>
        </w:rPr>
        <w:t>Project other athlete clientele opportunities in NFL, MLB, NHL, etc.</w:t>
      </w:r>
    </w:p>
    <w:p>
      <w:pPr>
        <w:spacing w:after="0" w:line="181" w:lineRule="auto"/>
        <w:rPr>
          <w:sz w:val="20"/>
          <w:szCs w:val="20"/>
          <w:color w:val="auto"/>
        </w:rPr>
      </w:pPr>
      <w:r>
        <w:rPr>
          <w:rFonts w:ascii="Arial" w:cs="Arial" w:eastAsia="Arial" w:hAnsi="Arial"/>
          <w:sz w:val="10"/>
          <w:szCs w:val="10"/>
          <w:color w:val="FFFFFF"/>
        </w:rPr>
        <w:t>• Exclusive Collection for Rochester Big &amp; Tall</w:t>
      </w:r>
    </w:p>
    <w:p>
      <w:pPr>
        <w:spacing w:after="0"/>
        <w:rPr>
          <w:sz w:val="20"/>
          <w:szCs w:val="20"/>
          <w:color w:val="auto"/>
        </w:rPr>
      </w:pPr>
      <w:r>
        <w:rPr>
          <w:rFonts w:ascii="Arial" w:cs="Arial" w:eastAsia="Arial" w:hAnsi="Arial"/>
          <w:sz w:val="14"/>
          <w:szCs w:val="14"/>
          <w:color w:val="FFFFFF"/>
        </w:rPr>
        <w:t>42–Store, catalog and web channels</w:t>
      </w:r>
    </w:p>
    <w:p>
      <w:pPr>
        <w:sectPr>
          <w:pgSz w:w="11900" w:h="16838" w:orient="portrait"/>
          <w:cols w:equalWidth="0" w:num="1">
            <w:col w:w="10219"/>
          </w:cols>
          <w:pgMar w:left="240" w:top="1440" w:right="1440" w:bottom="1440"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59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4459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3"/>
    </w:lvl>
    <w:lvl w:ilvl="1">
      <w:lvlJc w:val="left"/>
      <w:lvlText w:val="(%2)"/>
      <w:numFmt w:val="lowerLetter"/>
      <w:start w:val="1"/>
    </w:lvl>
  </w:abstractNum>
  <w:abstractNum w:abstractNumId="4">
    <w:nsid w:val="519B500D"/>
    <w:multiLevelType w:val="hybridMultilevel"/>
    <w:lvl w:ilvl="0">
      <w:lvlJc w:val="left"/>
      <w:lvlText w:val="%1"/>
      <w:numFmt w:val="decimal"/>
      <w:start w:val="1"/>
    </w:lvl>
    <w:lvl w:ilvl="1">
      <w:lvlJc w:val="left"/>
      <w:lvlText w:val="(%2)"/>
      <w:numFmt w:val="lowerLetter"/>
      <w:start w:val="3"/>
    </w:lvl>
  </w:abstractNum>
  <w:abstractNum w:abstractNumId="5">
    <w:nsid w:val="431BD7B7"/>
    <w:multiLevelType w:val="hybridMultilevel"/>
    <w:lvl w:ilvl="0">
      <w:lvlJc w:val="left"/>
      <w:lvlText w:val="%1."/>
      <w:numFmt w:val="decimal"/>
      <w:start w:val="4"/>
    </w:lvl>
    <w:lvl w:ilvl="1">
      <w:lvlJc w:val="left"/>
      <w:lvlText w:val="%2"/>
      <w:numFmt w:val="lowerLetter"/>
      <w:start w:val="1"/>
    </w:lvl>
  </w:abstractNum>
  <w:abstractNum w:abstractNumId="6">
    <w:nsid w:val="3F2DBA31"/>
    <w:multiLevelType w:val="hybridMultilevel"/>
    <w:lvl w:ilvl="0">
      <w:lvlJc w:val="left"/>
      <w:lvlText w:val="%1."/>
      <w:numFmt w:val="decimal"/>
      <w:start w:val="5"/>
    </w:lvl>
    <w:lvl w:ilvl="1">
      <w:lvlJc w:val="left"/>
      <w:lvlText w:val="(%2)"/>
      <w:numFmt w:val="lowerLetter"/>
      <w:start w:val="1"/>
    </w:lvl>
  </w:abstractNum>
  <w:abstractNum w:abstractNumId="7">
    <w:nsid w:val="7C83E45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257130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
    <w:nsid w:val="62BBD95A"/>
    <w:multiLevelType w:val="hybridMultilevel"/>
    <w:lvl w:ilvl="0">
      <w:lvlJc w:val="left"/>
      <w:lvlText w:val="(%1)"/>
      <w:numFmt w:val="lowerLetter"/>
      <w:start w:val="5"/>
    </w:lvl>
  </w:abstractNum>
  <w:abstractNum w:abstractNumId="10">
    <w:nsid w:val="436C6125"/>
    <w:multiLevelType w:val="hybridMultilevel"/>
    <w:lvl w:ilvl="0">
      <w:lvlJc w:val="left"/>
      <w:lvlText w:val="%1"/>
      <w:numFmt w:val="decimal"/>
      <w:start w:val="1"/>
    </w:lvl>
    <w:lvl w:ilvl="1">
      <w:lvlJc w:val="left"/>
      <w:lvlText w:val="(%2)"/>
      <w:numFmt w:val="lowerLetter"/>
      <w:start w:val="9"/>
    </w:lvl>
  </w:abstractNum>
  <w:abstractNum w:abstractNumId="11">
    <w:nsid w:val="628C895D"/>
    <w:multiLevelType w:val="hybridMultilevel"/>
    <w:lvl w:ilvl="0">
      <w:lvlJc w:val="left"/>
      <w:lvlText w:val="%1."/>
      <w:numFmt w:val="decimal"/>
      <w:start w:val="8"/>
    </w:lvl>
    <w:lvl w:ilvl="1">
      <w:lvlJc w:val="left"/>
      <w:lvlText w:val="(%2)"/>
      <w:numFmt w:val="lowerLetter"/>
      <w:start w:val="1"/>
    </w:lvl>
  </w:abstractNum>
  <w:abstractNum w:abstractNumId="12">
    <w:nsid w:val="333AB105"/>
    <w:multiLevelType w:val="hybridMultilevel"/>
    <w:lvl w:ilvl="0">
      <w:lvlJc w:val="left"/>
      <w:lvlText w:val="%1."/>
      <w:numFmt w:val="decimal"/>
      <w:start w:val="9"/>
    </w:lvl>
    <w:lvl w:ilvl="1">
      <w:lvlJc w:val="left"/>
      <w:lvlText w:val="(%2)"/>
      <w:numFmt w:val="lowerLetter"/>
      <w:start w:val="1"/>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decimal"/>
      <w:start w:val="1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1."/>
      <w:numFmt w:val="decimal"/>
      <w:start w:val="12"/>
    </w:lvl>
  </w:abstractNum>
  <w:abstractNum w:abstractNumId="19">
    <w:nsid w:val="79838CB2"/>
    <w:multiLevelType w:val="hybridMultilevel"/>
    <w:lvl w:ilvl="0">
      <w:lvlJc w:val="left"/>
      <w:lvlText w:val="%1."/>
      <w:numFmt w:val="decimal"/>
      <w:start w:val="13"/>
    </w:lvl>
  </w:abstractNum>
  <w:abstractNum w:abstractNumId="20">
    <w:nsid w:val="4353D0CD"/>
    <w:multiLevelType w:val="hybridMultilevel"/>
    <w:lvl w:ilvl="0">
      <w:lvlJc w:val="left"/>
      <w:lvlText w:val="%1."/>
      <w:numFmt w:val="decimal"/>
      <w:start w:val="14"/>
    </w:lvl>
  </w:abstractNum>
  <w:abstractNum w:abstractNumId="21">
    <w:nsid w:val="B03E0C6"/>
    <w:multiLevelType w:val="hybridMultilevel"/>
    <w:lvl w:ilvl="0">
      <w:lvlJc w:val="left"/>
      <w:lvlText w:val="%1."/>
      <w:numFmt w:val="decimal"/>
      <w:start w:val="15"/>
    </w:lvl>
  </w:abstractNum>
  <w:abstractNum w:abstractNumId="22">
    <w:nsid w:val="189A769B"/>
    <w:multiLevelType w:val="hybridMultilevel"/>
    <w:lvl w:ilvl="0">
      <w:lvlJc w:val="left"/>
      <w:lvlText w:val="%1."/>
      <w:numFmt w:val="decimal"/>
      <w:start w:val="16"/>
    </w:lvl>
  </w:abstractNum>
  <w:abstractNum w:abstractNumId="23">
    <w:nsid w:val="54E49EB4"/>
    <w:multiLevelType w:val="hybridMultilevel"/>
    <w:lvl w:ilvl="0">
      <w:lvlJc w:val="left"/>
      <w:lvlText w:val="%1."/>
      <w:numFmt w:val="decimal"/>
      <w:start w:val="17"/>
    </w:lvl>
  </w:abstractNum>
  <w:abstractNum w:abstractNumId="24">
    <w:nsid w:val="71F32454"/>
    <w:multiLevelType w:val="hybridMultilevel"/>
    <w:lvl w:ilvl="0">
      <w:lvlJc w:val="left"/>
      <w:lvlText w:val="%1."/>
      <w:numFmt w:val="decimal"/>
      <w:start w:val="18"/>
    </w:lvl>
  </w:abstractNum>
  <w:abstractNum w:abstractNumId="25">
    <w:nsid w:val="2CA88611"/>
    <w:multiLevelType w:val="hybridMultilevel"/>
    <w:lvl w:ilvl="0">
      <w:lvlJc w:val="left"/>
      <w:lvlText w:val="%1."/>
      <w:numFmt w:val="decimal"/>
      <w:start w:val="19"/>
    </w:lvl>
  </w:abstractNum>
  <w:abstractNum w:abstractNumId="26">
    <w:nsid w:val="836C40E"/>
    <w:multiLevelType w:val="hybridMultilevel"/>
    <w:lvl w:ilvl="0">
      <w:lvlJc w:val="left"/>
      <w:lvlText w:val="%1."/>
      <w:numFmt w:val="decimal"/>
      <w:start w:val="20"/>
    </w:lvl>
  </w:abstractNum>
  <w:abstractNum w:abstractNumId="27">
    <w:nsid w:val="2901D82"/>
    <w:multiLevelType w:val="hybridMultilevel"/>
    <w:lvl w:ilvl="0">
      <w:lvlJc w:val="left"/>
      <w:lvlText w:val="%1."/>
      <w:numFmt w:val="decimal"/>
      <w:start w:val="21"/>
    </w:lvl>
  </w:abstractNum>
  <w:abstractNum w:abstractNumId="28">
    <w:nsid w:val="3A95F874"/>
    <w:multiLevelType w:val="hybridMultilevel"/>
    <w:lvl w:ilvl="0">
      <w:lvlJc w:val="left"/>
      <w:lvlText w:val="%1."/>
      <w:numFmt w:val="decimal"/>
      <w:start w:val="22"/>
    </w:lvl>
  </w:abstractNum>
  <w:abstractNum w:abstractNumId="29">
    <w:nsid w:val="8138641"/>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2019-12-20T18:16:44Z</dcterms:created>
  <dcterms:modified xsi:type="dcterms:W3CDTF">2019-12-20T18:16:44Z</dcterms:modified>
</cp:coreProperties>
</file>