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and Exchange Act of 1934</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(Amendment No. 7)*</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Casual Male Retail Group,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Common Stock, $0.01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4"/>
          <w:szCs w:val="24"/>
          <w:color w:val="auto"/>
        </w:rPr>
      </w:pPr>
    </w:p>
    <w:p>
      <w:pPr>
        <w:ind w:left="5380"/>
        <w:spacing w:after="0"/>
        <w:rPr>
          <w:sz w:val="20"/>
          <w:szCs w:val="20"/>
          <w:color w:val="auto"/>
        </w:rPr>
      </w:pPr>
      <w:r>
        <w:rPr>
          <w:rFonts w:ascii="Arial" w:cs="Arial" w:eastAsia="Arial" w:hAnsi="Arial"/>
          <w:sz w:val="16"/>
          <w:szCs w:val="16"/>
          <w:color w:val="auto"/>
        </w:rPr>
        <w:t>148711104</w:t>
      </w:r>
    </w:p>
    <w:p>
      <w:pPr>
        <w:spacing w:after="0" w:line="22" w:lineRule="exact"/>
        <w:rPr>
          <w:sz w:val="24"/>
          <w:szCs w:val="24"/>
          <w:color w:val="auto"/>
        </w:rPr>
      </w:pPr>
    </w:p>
    <w:p>
      <w:pPr>
        <w:ind w:left="5140"/>
        <w:spacing w:after="0"/>
        <w:rPr>
          <w:sz w:val="20"/>
          <w:szCs w:val="20"/>
          <w:color w:val="auto"/>
        </w:rPr>
      </w:pPr>
      <w:r>
        <w:rPr>
          <w:rFonts w:ascii="Arial" w:cs="Arial" w:eastAsia="Arial" w:hAnsi="Arial"/>
          <w:sz w:val="16"/>
          <w:szCs w:val="16"/>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Chilton Investment Company, LLC</w:t>
      </w:r>
    </w:p>
    <w:p>
      <w:pPr>
        <w:ind w:left="4680"/>
        <w:spacing w:after="0" w:line="235" w:lineRule="auto"/>
        <w:rPr>
          <w:sz w:val="20"/>
          <w:szCs w:val="20"/>
          <w:color w:val="auto"/>
        </w:rPr>
      </w:pPr>
      <w:r>
        <w:rPr>
          <w:rFonts w:ascii="Arial" w:cs="Arial" w:eastAsia="Arial" w:hAnsi="Arial"/>
          <w:sz w:val="16"/>
          <w:szCs w:val="16"/>
          <w:color w:val="auto"/>
        </w:rPr>
        <w:t>1266 East Main Street, 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Stamford, CT 06902</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(203) 352-4000</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October 16, 2008</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5"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Arial" w:cs="Arial" w:eastAsia="Arial" w:hAnsi="Arial"/>
          <w:sz w:val="14"/>
          <w:szCs w:val="14"/>
          <w:color w:val="auto"/>
        </w:rPr>
        <w:t>o</w:t>
      </w:r>
      <w:r>
        <w:rPr>
          <w:rFonts w:ascii="Arial" w:cs="Arial" w:eastAsia="Arial" w:hAnsi="Arial"/>
          <w:sz w:val="16"/>
          <w:szCs w:val="16"/>
          <w:color w:val="auto"/>
        </w:rPr>
        <w:t>.</w:t>
      </w:r>
    </w:p>
    <w:p>
      <w:pPr>
        <w:spacing w:after="0" w:line="199"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Note: Schedules filed in paper format shall include a signed original and five copies of the schedule, including all exhibits. See Rule 13d-7 for other parties to whom copies are to be sent.</w:t>
      </w:r>
    </w:p>
    <w:p>
      <w:pPr>
        <w:spacing w:after="0" w:line="199"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148711104</w:t>
            </w:r>
          </w:p>
        </w:tc>
        <w:tc>
          <w:tcPr>
            <w:tcW w:w="3900" w:type="dxa"/>
            <w:vAlign w:val="bottom"/>
            <w:tcBorders>
              <w:right w:val="single" w:sz="8" w:color="auto"/>
            </w:tcBorders>
          </w:tcPr>
          <w:p>
            <w:pPr>
              <w:ind w:left="1160"/>
              <w:spacing w:after="0"/>
              <w:rPr>
                <w:sz w:val="20"/>
                <w:szCs w:val="20"/>
                <w:color w:val="auto"/>
              </w:rPr>
            </w:pPr>
            <w:r>
              <w:rPr>
                <w:rFonts w:ascii="Arial" w:cs="Arial" w:eastAsia="Arial" w:hAnsi="Arial"/>
                <w:sz w:val="22"/>
                <w:szCs w:val="22"/>
                <w:b w:val="1"/>
                <w:bCs w:val="1"/>
                <w:color w:val="auto"/>
              </w:rPr>
              <w:t>SCHEDULE 13D</w:t>
            </w:r>
          </w:p>
        </w:tc>
        <w:tc>
          <w:tcPr>
            <w:tcW w:w="37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Page 2 of 5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7392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392670"/>
                    </a:xfrm>
                    <a:prstGeom prst="rect">
                      <a:avLst/>
                    </a:prstGeom>
                    <a:noFill/>
                  </pic:spPr>
                </pic:pic>
              </a:graphicData>
            </a:graphic>
          </wp:anchor>
        </w:drawing>
      </w:r>
    </w:p>
    <w:p>
      <w:pPr>
        <w:spacing w:after="0" w:line="311" w:lineRule="exact"/>
        <w:rPr>
          <w:sz w:val="20"/>
          <w:szCs w:val="20"/>
          <w:color w:val="auto"/>
        </w:rPr>
      </w:pPr>
    </w:p>
    <w:p>
      <w:pPr>
        <w:ind w:left="640" w:hanging="402"/>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 OF REPORTING PERSON</w:t>
      </w:r>
    </w:p>
    <w:p>
      <w:pPr>
        <w:spacing w:after="0" w:line="2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I.R.S. IDENTIFICATION NO. OF ABOVE PERSON (ENTITIES ONLY)</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Chilton Investment Company, LLC</w:t>
      </w:r>
    </w:p>
    <w:p>
      <w:pPr>
        <w:spacing w:after="0" w:line="127" w:lineRule="exact"/>
        <w:rPr>
          <w:sz w:val="20"/>
          <w:szCs w:val="20"/>
          <w:color w:val="auto"/>
        </w:rPr>
      </w:pPr>
    </w:p>
    <w:p>
      <w:pPr>
        <w:ind w:left="640" w:hanging="4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34"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7"/>
          <w:szCs w:val="17"/>
          <w:color w:val="auto"/>
        </w:rPr>
        <w:t>o</w:t>
      </w:r>
    </w:p>
    <w:p>
      <w:pPr>
        <w:spacing w:after="0" w:line="66" w:lineRule="exact"/>
        <w:rPr>
          <w:sz w:val="20"/>
          <w:szCs w:val="20"/>
          <w:color w:val="auto"/>
        </w:rPr>
      </w:pPr>
    </w:p>
    <w:p>
      <w:pPr>
        <w:jc w:val="right"/>
        <w:ind w:right="400"/>
        <w:spacing w:after="0"/>
        <w:tabs>
          <w:tab w:leader="none" w:pos="4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9"/>
          <w:szCs w:val="19"/>
          <w:color w:val="auto"/>
        </w:rPr>
        <w:t>x</w:t>
      </w:r>
    </w:p>
    <w:p>
      <w:pPr>
        <w:spacing w:after="0" w:line="113" w:lineRule="exact"/>
        <w:rPr>
          <w:sz w:val="20"/>
          <w:szCs w:val="20"/>
          <w:color w:val="auto"/>
        </w:rPr>
      </w:pPr>
    </w:p>
    <w:p>
      <w:pPr>
        <w:ind w:left="640" w:hanging="40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40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OF FUNDS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 OO</w:t>
      </w:r>
    </w:p>
    <w:p>
      <w:pPr>
        <w:spacing w:after="0" w:line="181" w:lineRule="exact"/>
        <w:rPr>
          <w:sz w:val="20"/>
          <w:szCs w:val="20"/>
          <w:color w:val="auto"/>
        </w:rPr>
      </w:pPr>
    </w:p>
    <w:p>
      <w:pPr>
        <w:ind w:left="640" w:hanging="40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DISCLOSURE OF LEGAL PROCEEDINGS IS REQUIRED PURSUANT TO ITEM 2(d) or 2(e)</w:t>
      </w:r>
    </w:p>
    <w:p>
      <w:pPr>
        <w:spacing w:after="0" w:line="22"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391" w:lineRule="exact"/>
        <w:rPr>
          <w:sz w:val="20"/>
          <w:szCs w:val="20"/>
          <w:color w:val="auto"/>
        </w:rPr>
      </w:pPr>
    </w:p>
    <w:p>
      <w:pPr>
        <w:ind w:left="640" w:right="7460" w:hanging="402"/>
        <w:spacing w:after="0" w:line="528"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spacing w:after="0" w:line="1" w:lineRule="exact"/>
        <w:rPr>
          <w:sz w:val="20"/>
          <w:szCs w:val="20"/>
          <w:color w:val="auto"/>
        </w:rPr>
      </w:pPr>
    </w:p>
    <w:p>
      <w:pPr>
        <w:ind w:left="2920" w:hanging="393"/>
        <w:spacing w:after="0"/>
        <w:tabs>
          <w:tab w:leader="none" w:pos="2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20" w:type="dxa"/>
            <w:vAlign w:val="bottom"/>
          </w:tcPr>
          <w:p>
            <w:pPr>
              <w:ind w:left="140"/>
              <w:spacing w:after="0"/>
              <w:rPr>
                <w:sz w:val="20"/>
                <w:szCs w:val="20"/>
                <w:color w:val="auto"/>
              </w:rPr>
            </w:pPr>
            <w:r>
              <w:rPr>
                <w:rFonts w:ascii="Arial" w:cs="Arial" w:eastAsia="Arial" w:hAnsi="Arial"/>
                <w:sz w:val="16"/>
                <w:szCs w:val="16"/>
                <w:color w:val="auto"/>
              </w:rPr>
              <w:t>8,263,793</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8620" w:type="dxa"/>
            <w:vAlign w:val="bottom"/>
          </w:tcPr>
          <w:p>
            <w:pPr>
              <w:ind w:left="14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361"/>
        </w:trPr>
        <w:tc>
          <w:tcPr>
            <w:tcW w:w="2660" w:type="dxa"/>
            <w:vAlign w:val="bottom"/>
            <w:gridSpan w:val="2"/>
          </w:tcPr>
          <w:p>
            <w:pPr>
              <w:jc w:val="center"/>
              <w:ind w:right="600"/>
              <w:spacing w:after="0"/>
              <w:rPr>
                <w:sz w:val="20"/>
                <w:szCs w:val="20"/>
                <w:color w:val="auto"/>
              </w:rPr>
            </w:pPr>
            <w:r>
              <w:rPr>
                <w:rFonts w:ascii="Arial" w:cs="Arial" w:eastAsia="Arial" w:hAnsi="Arial"/>
                <w:sz w:val="16"/>
                <w:szCs w:val="16"/>
                <w:color w:val="auto"/>
                <w:w w:val="97"/>
              </w:rPr>
              <w:t>NUMBER OF SHARES</w:t>
            </w:r>
          </w:p>
        </w:tc>
        <w:tc>
          <w:tcPr>
            <w:tcW w:w="8620" w:type="dxa"/>
            <w:vAlign w:val="bottom"/>
            <w:vMerge w:val="restart"/>
          </w:tcPr>
          <w:p>
            <w:pPr>
              <w:ind w:lef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5"/>
        </w:trPr>
        <w:tc>
          <w:tcPr>
            <w:tcW w:w="2160" w:type="dxa"/>
            <w:vAlign w:val="bottom"/>
            <w:vMerge w:val="restart"/>
          </w:tcPr>
          <w:p>
            <w:pPr>
              <w:jc w:val="center"/>
              <w:ind w:right="23"/>
              <w:spacing w:after="0" w:line="138" w:lineRule="exact"/>
              <w:rPr>
                <w:sz w:val="20"/>
                <w:szCs w:val="20"/>
                <w:color w:val="auto"/>
              </w:rPr>
            </w:pPr>
            <w:r>
              <w:rPr>
                <w:rFonts w:ascii="Arial" w:cs="Arial" w:eastAsia="Arial" w:hAnsi="Arial"/>
                <w:sz w:val="16"/>
                <w:szCs w:val="16"/>
                <w:color w:val="auto"/>
              </w:rPr>
              <w:t>BENEFICIALLY OWNED BY</w:t>
            </w:r>
          </w:p>
        </w:tc>
        <w:tc>
          <w:tcPr>
            <w:tcW w:w="500" w:type="dxa"/>
            <w:vAlign w:val="bottom"/>
            <w:vMerge w:val="restart"/>
          </w:tcPr>
          <w:p>
            <w:pPr>
              <w:spacing w:after="0"/>
              <w:rPr>
                <w:sz w:val="7"/>
                <w:szCs w:val="7"/>
                <w:color w:val="auto"/>
              </w:rPr>
            </w:pP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500" w:type="dxa"/>
            <w:vAlign w:val="bottom"/>
            <w:tcBorders>
              <w:bottom w:val="single" w:sz="8" w:color="auto"/>
            </w:tcBorders>
            <w:vMerge w:val="continue"/>
          </w:tcPr>
          <w:p>
            <w:pPr>
              <w:spacing w:after="0"/>
              <w:rPr>
                <w:sz w:val="7"/>
                <w:szCs w:val="7"/>
                <w:color w:val="auto"/>
              </w:rPr>
            </w:pPr>
          </w:p>
        </w:tc>
        <w:tc>
          <w:tcPr>
            <w:tcW w:w="8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660" w:type="dxa"/>
            <w:vAlign w:val="bottom"/>
            <w:gridSpan w:val="2"/>
          </w:tcPr>
          <w:p>
            <w:pPr>
              <w:spacing w:after="0" w:line="220" w:lineRule="exact"/>
              <w:rPr>
                <w:sz w:val="20"/>
                <w:szCs w:val="20"/>
                <w:color w:val="auto"/>
              </w:rPr>
            </w:pPr>
            <w:r>
              <w:rPr>
                <w:rFonts w:ascii="Arial" w:cs="Arial" w:eastAsia="Arial" w:hAnsi="Arial"/>
                <w:sz w:val="16"/>
                <w:szCs w:val="16"/>
                <w:color w:val="auto"/>
                <w:w w:val="85"/>
              </w:rPr>
              <w:t>EACH REPORTING PERSON</w:t>
            </w:r>
            <w:r>
              <w:rPr>
                <w:rFonts w:ascii="Arial" w:cs="Arial" w:eastAsia="Arial" w:hAnsi="Arial"/>
                <w:sz w:val="25"/>
                <w:szCs w:val="25"/>
                <w:color w:val="auto"/>
                <w:w w:val="85"/>
                <w:vertAlign w:val="subscript"/>
              </w:rPr>
              <w:t>9</w:t>
            </w:r>
          </w:p>
        </w:tc>
        <w:tc>
          <w:tcPr>
            <w:tcW w:w="8620" w:type="dxa"/>
            <w:vAlign w:val="bottom"/>
          </w:tcPr>
          <w:p>
            <w:pPr>
              <w:ind w:left="14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206"/>
        </w:trPr>
        <w:tc>
          <w:tcPr>
            <w:tcW w:w="2660" w:type="dxa"/>
            <w:vAlign w:val="bottom"/>
            <w:gridSpan w:val="2"/>
          </w:tcPr>
          <w:p>
            <w:pPr>
              <w:jc w:val="center"/>
              <w:ind w:right="600"/>
              <w:spacing w:after="0"/>
              <w:rPr>
                <w:sz w:val="20"/>
                <w:szCs w:val="20"/>
                <w:color w:val="auto"/>
              </w:rPr>
            </w:pPr>
            <w:r>
              <w:rPr>
                <w:rFonts w:ascii="Arial" w:cs="Arial" w:eastAsia="Arial" w:hAnsi="Arial"/>
                <w:sz w:val="16"/>
                <w:szCs w:val="16"/>
                <w:color w:val="auto"/>
              </w:rPr>
              <w:t>WITH</w:t>
            </w:r>
          </w:p>
        </w:tc>
        <w:tc>
          <w:tcPr>
            <w:tcW w:w="8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20" w:type="dxa"/>
            <w:vAlign w:val="bottom"/>
          </w:tcPr>
          <w:p>
            <w:pPr>
              <w:ind w:left="140"/>
              <w:spacing w:after="0"/>
              <w:rPr>
                <w:sz w:val="20"/>
                <w:szCs w:val="20"/>
                <w:color w:val="auto"/>
              </w:rPr>
            </w:pPr>
            <w:r>
              <w:rPr>
                <w:rFonts w:ascii="Arial" w:cs="Arial" w:eastAsia="Arial" w:hAnsi="Arial"/>
                <w:sz w:val="16"/>
                <w:szCs w:val="16"/>
                <w:color w:val="auto"/>
              </w:rPr>
              <w:t>8,263,793</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66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8620" w:type="dxa"/>
            <w:vAlign w:val="bottom"/>
          </w:tcPr>
          <w:p>
            <w:pPr>
              <w:ind w:left="14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860" w:hanging="440"/>
        <w:spacing w:after="0" w:line="52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8,263,793</w:t>
      </w:r>
    </w:p>
    <w:p>
      <w:pPr>
        <w:ind w:left="640" w:hanging="443"/>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BOX IF THE AGGREGATE AMOUNT IN ROW (11) EXCLUDES CERTAIN SHARES</w:t>
      </w:r>
    </w:p>
    <w:p>
      <w:pPr>
        <w:spacing w:after="0" w:line="129"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o</w:t>
      </w:r>
    </w:p>
    <w:p>
      <w:pPr>
        <w:spacing w:after="0" w:line="245" w:lineRule="exact"/>
        <w:rPr>
          <w:sz w:val="20"/>
          <w:szCs w:val="20"/>
          <w:color w:val="auto"/>
        </w:rPr>
      </w:pPr>
    </w:p>
    <w:p>
      <w:pPr>
        <w:ind w:left="640" w:right="6140" w:hanging="443"/>
        <w:spacing w:after="0" w:line="528"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 OF CLASS REPRESENTED BY AMOUNT IN ROW (11) 19.95%</w:t>
      </w:r>
    </w:p>
    <w:p>
      <w:pPr>
        <w:ind w:left="640" w:right="8500" w:hanging="443"/>
        <w:spacing w:after="0" w:line="610"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259080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148711104</w:t>
            </w:r>
          </w:p>
        </w:tc>
        <w:tc>
          <w:tcPr>
            <w:tcW w:w="3900" w:type="dxa"/>
            <w:vAlign w:val="bottom"/>
            <w:tcBorders>
              <w:right w:val="single" w:sz="8" w:color="auto"/>
            </w:tcBorders>
          </w:tcPr>
          <w:p>
            <w:pPr>
              <w:ind w:left="1160"/>
              <w:spacing w:after="0"/>
              <w:rPr>
                <w:sz w:val="20"/>
                <w:szCs w:val="20"/>
                <w:color w:val="auto"/>
              </w:rPr>
            </w:pPr>
            <w:r>
              <w:rPr>
                <w:rFonts w:ascii="Arial" w:cs="Arial" w:eastAsia="Arial" w:hAnsi="Arial"/>
                <w:sz w:val="22"/>
                <w:szCs w:val="22"/>
                <w:b w:val="1"/>
                <w:bCs w:val="1"/>
                <w:color w:val="auto"/>
              </w:rPr>
              <w:t>SCHEDULE 13D</w:t>
            </w:r>
          </w:p>
        </w:tc>
        <w:tc>
          <w:tcPr>
            <w:tcW w:w="37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Page 3 of 5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Security and Issuer.</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4"/>
          <w:szCs w:val="14"/>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as amended by Amendment No. 1 to the Schedule 13G filed on February 14, 2006, replaced by the Schedule 13D filed on May 9, 2006 (the “Schedule 13D”), as amended by Amendment No.1 to the Schedule 13D filed on June 9, 2006, Amendment No. 2 to the Schedule 13D filed on June 29, 2006, Amendment No. 3 to the 13D filed on April 13, 2006 and Amendment No. 4 to the 13D filed on July 19, 2007, replaced by Amendment No. 2 to the Schedule 13G filed on July 20, 2007, and replaced by Amendment No. 5 to the Schedule 13D filed on October 23, 2007, as amended by Amendment No. 6 to the Schedule 13D filed on November 28, 2007, is hereby amended by this Amendment No. 7 to the Schedule 13D to report a change in beneficial ownership. The Schedule 13D is amended as follows: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 Interest in Securities of the Issuer.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 5(a) is hereby supplemented by the addition of the following:</w:t>
      </w:r>
    </w:p>
    <w:p>
      <w:pPr>
        <w:spacing w:after="0" w:line="302" w:lineRule="exact"/>
        <w:rPr>
          <w:sz w:val="20"/>
          <w:szCs w:val="20"/>
          <w:color w:val="auto"/>
        </w:rPr>
      </w:pPr>
    </w:p>
    <w:p>
      <w:pPr>
        <w:jc w:val="both"/>
        <w:ind w:right="80" w:firstLine="656"/>
        <w:spacing w:after="0" w:line="265" w:lineRule="auto"/>
        <w:tabs>
          <w:tab w:leader="none" w:pos="10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the date hereof, the Reporting Person is deemed to be the beneficial owner (through its control of the Client Accounts) of 8,263,793 shares representing 19.95% of the Issuer’s Common Stock. The foregoing calculations are based on 41,413,015 shares of Common Stock issued and outstanding as of August 15, 2008 according to publicly available filings of the Issuer.</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Item 5(c) is hereby supplemented by the addition of the following:</w:t>
      </w:r>
    </w:p>
    <w:p>
      <w:pPr>
        <w:spacing w:after="0" w:line="298" w:lineRule="exact"/>
        <w:rPr>
          <w:rFonts w:ascii="Arial" w:cs="Arial" w:eastAsia="Arial" w:hAnsi="Arial"/>
          <w:sz w:val="16"/>
          <w:szCs w:val="16"/>
          <w:color w:val="auto"/>
        </w:rPr>
      </w:pPr>
    </w:p>
    <w:p>
      <w:pPr>
        <w:ind w:left="1060" w:hanging="40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shares and the price per share of all transactions effected by the Reporting Person over the last sixty days of the Schedule 13D:</w:t>
      </w:r>
    </w:p>
    <w:p>
      <w:pPr>
        <w:spacing w:after="0" w:line="262"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August 21, 2008, 52,369 shares of Common Stock were sold through Allen &amp; Company at a price per share of $3.8624.</w:t>
      </w:r>
    </w:p>
    <w:p>
      <w:pPr>
        <w:spacing w:after="0" w:line="22"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August 21, 2008, 52,369 shares of Common Stock were purchased through Credit Suisse at a price per share of $3.8693.</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August 27, 2008, 28,047 shares of Common Stock were purchased through Credit Suisse at a price per share of $3.8454.</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August 27, 2008, 28,047 shares of Common Stock were sold through Lehman Brothers at a price per share of $3.8090.</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8, 2008, 102,693 shares of Common Stock were sold through Knight Securities at a price per share of $4.0097.</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8, 2008, 52,407 shares of Common Stock were sold through Merrill Lynch at a price per share of $4.0009.</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September 8, 2008, 10,100 shares of Common Stock were sold through UBS at a price per share of $4.0001.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9" w:right="239" w:bottom="1440" w:gutter="0" w:footer="0" w:header="0"/>
        </w:sectPr>
      </w:pPr>
    </w:p>
    <w:bookmarkStart w:id="3" w:name="page4"/>
    <w:bookmarkEnd w:id="3"/>
    <w:p>
      <w:pPr>
        <w:spacing w:after="0"/>
        <w:tabs>
          <w:tab w:leader="none" w:pos="4700" w:val="left"/>
          <w:tab w:leader="none" w:pos="870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160020</wp:posOffset>
            </wp:positionH>
            <wp:positionV relativeFrom="page">
              <wp:posOffset>245745</wp:posOffset>
            </wp:positionV>
            <wp:extent cx="2388235" cy="330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8235" cy="330200"/>
                    </a:xfrm>
                    <a:prstGeom prst="rect">
                      <a:avLst/>
                    </a:prstGeom>
                    <a:noFill/>
                  </pic:spPr>
                </pic:pic>
              </a:graphicData>
            </a:graphic>
          </wp:anchor>
        </w:drawing>
        <w:drawing>
          <wp:anchor simplePos="0" relativeHeight="251657728" behindDoc="1" locked="0" layoutInCell="0" allowOverlap="1">
            <wp:simplePos x="0" y="0"/>
            <wp:positionH relativeFrom="page">
              <wp:posOffset>5022215</wp:posOffset>
            </wp:positionH>
            <wp:positionV relativeFrom="page">
              <wp:posOffset>245745</wp:posOffset>
            </wp:positionV>
            <wp:extent cx="2379345" cy="330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79345" cy="330200"/>
                    </a:xfrm>
                    <a:prstGeom prst="rect">
                      <a:avLst/>
                    </a:prstGeom>
                    <a:noFill/>
                  </pic:spPr>
                </pic:pic>
              </a:graphicData>
            </a:graphic>
          </wp:anchor>
        </w:drawing>
        <w:t>CUSIP No. 148711104</w:t>
      </w:r>
      <w:r>
        <w:rPr>
          <w:sz w:val="20"/>
          <w:szCs w:val="20"/>
          <w:color w:val="auto"/>
        </w:rPr>
        <w:tab/>
      </w:r>
      <w:r>
        <w:rPr>
          <w:rFonts w:ascii="Arial" w:cs="Arial" w:eastAsia="Arial" w:hAnsi="Arial"/>
          <w:sz w:val="22"/>
          <w:szCs w:val="22"/>
          <w:b w:val="1"/>
          <w:bCs w:val="1"/>
          <w:color w:val="auto"/>
        </w:rPr>
        <w:t>SCHEDULE 13D</w:t>
      </w:r>
      <w:r>
        <w:rPr>
          <w:sz w:val="20"/>
          <w:szCs w:val="20"/>
          <w:color w:val="auto"/>
        </w:rPr>
        <w:tab/>
      </w:r>
      <w:r>
        <w:rPr>
          <w:rFonts w:ascii="Arial" w:cs="Arial" w:eastAsia="Arial" w:hAnsi="Arial"/>
          <w:sz w:val="14"/>
          <w:szCs w:val="14"/>
          <w:b w:val="1"/>
          <w:bCs w:val="1"/>
          <w:color w:val="auto"/>
        </w:rPr>
        <w:t>Page 4 of 5 Pages</w:t>
      </w:r>
    </w:p>
    <w:p>
      <w:pPr>
        <w:sectPr>
          <w:pgSz w:w="11900" w:h="16838" w:orient="portrait"/>
          <w:cols w:equalWidth="0" w:num="1">
            <w:col w:w="9999"/>
          </w:cols>
          <w:pgMar w:left="460" w:top="4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20" w:hanging="284"/>
        <w:spacing w:after="0"/>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September 8, 2008, 16,800 shares of Common Stock were sold through Lehman Brothers at a price per share of $4.0199.</w:t>
      </w:r>
    </w:p>
    <w:p>
      <w:pPr>
        <w:spacing w:after="0" w:line="33" w:lineRule="exact"/>
        <w:rPr>
          <w:rFonts w:ascii="Arial" w:cs="Arial" w:eastAsia="Arial" w:hAnsi="Arial"/>
          <w:sz w:val="15"/>
          <w:szCs w:val="15"/>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11, 2008, 7,125 shares of Common Stock were sold through Merrill Lynch at a price per share of $4.6517.</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On September 11, 2008, 2,875 shares of Common Stock were sold through Lehman Brothers at a price per share of $4.3716.</w:t>
      </w:r>
    </w:p>
    <w:p>
      <w:pPr>
        <w:spacing w:after="0" w:line="30" w:lineRule="exact"/>
        <w:rPr>
          <w:rFonts w:ascii="Arial" w:cs="Arial" w:eastAsia="Arial" w:hAnsi="Arial"/>
          <w:sz w:val="15"/>
          <w:szCs w:val="15"/>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12, 2008, 200 shares of Common Stock were sold through J.P. Morgan at a price per share of $4.5000.</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12, 2008, 800 shares of Common Stock were sold through Credit Suisse at a price per share of $4.4587.</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15, 2008, 10,000 shares of Common Stock were sold through Credit Suisse at a price per share of $4.3999.</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15, 2008, 84,900 shares of Common Stock were sold through Liquidnet at a price per share of $4.4521.</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15, 2008, 23,100 shares of Common Stock were sold through Merrill Lynch at a price per share of $4.4467.</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16, 2008, 10,000 shares of Common Stock were sold through Credit Suisse at a price per share of $4.0917.</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17, 2008, 3,577 shares of Common Stock were sold through JP Morgan at a price per share of $4.0239.</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17, 2008, 10,000 shares of Common Stock were sold through Credit Suisse at a price per share of $4.1589.</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18, 2008, 10,000 shares of Common Stock were sold through Credit Suisse at a price per share of $4.1803.</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18, 2008, 53,144 shares of Common Stock were sold through UBS at a price per share of $4.1840.</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18, 2008, 218,644 shares of Common Stock were sold through Merrill Lynch at a price per share of $4.1896.</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18, 2008, 28,212 shares of Common Stock were sold through Credit Suisse at a price per share of $4.1363.</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19, 2008, 11,100 shares of Common Stock were sold through Merrill Lynch at a price per share of $4.2540.</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19, 2008, 2,900 shares of Common Stock were sold through UBS at a price per share of $4.3014.</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19, 2008, 50,000 shares of Common Stock were sold through Oppenheimer at a price per share of $4.3733.</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19, 2008, 10,000 shares of Common Stock were sold through Credit Suisse at a price per share of $4.1784.</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22, 2008, 17,000 shares of Common Stock were sold through Merrill Lynch at a price per share of $4.2610.</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22, 2008, 10,000 shares of Common Stock were sold through Credit Suisse at a price per share of $4.2763.</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September 22, 2008, 234,000 shares of Common Stock were sold through Credit Suisse at a price per share of $4.2645.</w:t>
      </w:r>
    </w:p>
    <w:p>
      <w:pPr>
        <w:spacing w:after="0" w:line="18" w:lineRule="exact"/>
        <w:rPr>
          <w:rFonts w:ascii="Arial" w:cs="Arial" w:eastAsia="Arial" w:hAnsi="Arial"/>
          <w:sz w:val="16"/>
          <w:szCs w:val="16"/>
          <w:color w:val="auto"/>
        </w:rPr>
      </w:pPr>
    </w:p>
    <w:p>
      <w:pPr>
        <w:ind w:left="720" w:hanging="284"/>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September 22, 2008, 234,000 shares of Common Stock were purchased through Collins Stewart Inc. at a price per share of $4.2672.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405765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99"/>
          </w:cols>
          <w:pgMar w:left="460" w:top="490" w:right="1440" w:bottom="1440" w:gutter="0" w:footer="0" w:header="0"/>
          <w:type w:val="continuous"/>
        </w:sectPr>
      </w:pPr>
    </w:p>
    <w:bookmarkStart w:id="4" w:name="page5"/>
    <w:bookmarkEnd w:id="4"/>
    <w:tbl>
      <w:tblPr>
        <w:tblLayout w:type="fixed"/>
        <w:tblInd w:w="30" w:type="dxa"/>
        <w:tblCellMar>
          <w:top w:w="0" w:type="dxa"/>
          <w:left w:w="0" w:type="dxa"/>
          <w:bottom w:w="0" w:type="dxa"/>
          <w:right w:w="0" w:type="dxa"/>
        </w:tblCellMar>
      </w:tblPr>
      <w:tr>
        <w:trPr>
          <w:trHeight w:val="38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CUSIP No. 148711104</w:t>
            </w:r>
          </w:p>
        </w:tc>
        <w:tc>
          <w:tcPr>
            <w:tcW w:w="3900" w:type="dxa"/>
            <w:vAlign w:val="bottom"/>
            <w:tcBorders>
              <w:right w:val="single" w:sz="8" w:color="auto"/>
            </w:tcBorders>
          </w:tcPr>
          <w:p>
            <w:pPr>
              <w:ind w:left="1160"/>
              <w:spacing w:after="0"/>
              <w:rPr>
                <w:sz w:val="20"/>
                <w:szCs w:val="20"/>
                <w:color w:val="auto"/>
              </w:rPr>
            </w:pPr>
            <w:r>
              <w:rPr>
                <w:rFonts w:ascii="Arial" w:cs="Arial" w:eastAsia="Arial" w:hAnsi="Arial"/>
                <w:sz w:val="22"/>
                <w:szCs w:val="22"/>
                <w:b w:val="1"/>
                <w:bCs w:val="1"/>
                <w:color w:val="auto"/>
              </w:rPr>
              <w:t>SCHEDULE 13D</w:t>
            </w:r>
          </w:p>
        </w:tc>
        <w:tc>
          <w:tcPr>
            <w:tcW w:w="374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Page 5 of 5 Pages</w:t>
            </w:r>
          </w:p>
        </w:tc>
      </w:tr>
      <w:tr>
        <w:trPr>
          <w:trHeight w:val="115"/>
        </w:trPr>
        <w:tc>
          <w:tcPr>
            <w:tcW w:w="3760" w:type="dxa"/>
            <w:vAlign w:val="bottom"/>
            <w:tcBorders>
              <w:left w:val="single" w:sz="8" w:color="auto"/>
              <w:bottom w:val="single" w:sz="8" w:color="auto"/>
              <w:right w:val="single" w:sz="8" w:color="auto"/>
            </w:tcBorders>
          </w:tcPr>
          <w:p>
            <w:pPr>
              <w:spacing w:after="0"/>
              <w:rPr>
                <w:sz w:val="10"/>
                <w:szCs w:val="10"/>
                <w:color w:val="auto"/>
              </w:rPr>
            </w:pPr>
          </w:p>
        </w:tc>
        <w:tc>
          <w:tcPr>
            <w:tcW w:w="3900" w:type="dxa"/>
            <w:vAlign w:val="bottom"/>
            <w:tcBorders>
              <w:right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80"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23, 2008, 10,000 shares of Common Stock were sold through Credit Suisse at a price per share of $4.2962.</w:t>
      </w:r>
    </w:p>
    <w:p>
      <w:pPr>
        <w:spacing w:after="0" w:line="22"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24, 2008, 10,000 shares of Common Stock were sold through Credit Suisse at a price per share of $4.0093.</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25, 2008, 10,000 shares of Common Stock were sold through Credit Suisse at a price per share of $3.9636.</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 2008, 5,292 shares of Common Stock were purchased through Credit Suisse at a price per share of $3.8568.</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 2008, 5,292 shares of Common Stock were sold through Merrill Lynch at a price per share of $3.7526.</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8, 2008, 36,541 shares of Common Stock were sold through Credit Suisse at a price per share of $3.0371.</w:t>
      </w:r>
    </w:p>
    <w:p>
      <w:pPr>
        <w:spacing w:after="0" w:line="1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15, 2008, 11,534 shares of Common Stock were sold through J.P. Morgan at a price per share of $2.6993.</w:t>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tabs>
          <w:tab w:leader="none" w:pos="5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October 21, 2008</w:t>
      </w:r>
    </w:p>
    <w:p>
      <w:pPr>
        <w:spacing w:after="0" w:line="2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Chilton Investment Company, LLC</w:t>
      </w:r>
    </w:p>
    <w:p>
      <w:pPr>
        <w:spacing w:after="0" w:line="316"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James Steinthal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17780</wp:posOffset>
            </wp:positionV>
            <wp:extent cx="20326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6"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James Steinthal</w:t>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5"/>
      <w:numFmt w:val="bullet"/>
      <w:start w:val="1"/>
    </w:lvl>
  </w:abstractNum>
  <w:abstractNum w:abstractNumId="5">
    <w:nsid w:val="12200854"/>
    <w:multiLevelType w:val="hybridMultilevel"/>
    <w:lvl w:ilvl="0">
      <w:lvlJc w:val="left"/>
      <w:lvlText w:val="6"/>
      <w:numFmt w:val="bullet"/>
      <w:start w:val="1"/>
    </w:lvl>
  </w:abstractNum>
  <w:abstractNum w:abstractNumId="6">
    <w:nsid w:val="4DB127F8"/>
    <w:multiLevelType w:val="hybridMultilevel"/>
    <w:lvl w:ilvl="0">
      <w:lvlJc w:val="left"/>
      <w:lvlText w:val="7"/>
      <w:numFmt w:val="bullet"/>
      <w:start w:val="1"/>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3"/>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o"/>
      <w:numFmt w:val="bullet"/>
      <w:start w:val="1"/>
    </w:lvl>
  </w:abstractNum>
  <w:abstractNum w:abstractNumId="11">
    <w:nsid w:val="140E0F76"/>
    <w:multiLevelType w:val="hybridMultilevel"/>
    <w:lvl w:ilvl="0">
      <w:lvlJc w:val="left"/>
      <w:lvlText w:val="o"/>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2019-12-20T01:34:53Z</dcterms:created>
  <dcterms:modified xsi:type="dcterms:W3CDTF">2019-12-20T01:34:53Z</dcterms:modified>
</cp:coreProperties>
</file>