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316230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216"/>
        <w:spacing w:after="0"/>
        <w:tabs>
          <w:tab w:leader="none" w:pos="6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220" w:right="160" w:hanging="21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191770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511"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5377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37718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22"/>
                <w:szCs w:val="22"/>
                <w:color w:val="auto"/>
              </w:rPr>
              <w:t>RBC Global Asset Management (U.S.) Inc.</w:t>
            </w:r>
          </w:p>
        </w:tc>
        <w:tc>
          <w:tcPr>
            <w:tcW w:w="0" w:type="dxa"/>
            <w:vAlign w:val="bottom"/>
          </w:tcPr>
          <w:p>
            <w:pPr>
              <w:spacing w:after="0"/>
              <w:rPr>
                <w:sz w:val="1"/>
                <w:szCs w:val="1"/>
                <w:color w:val="auto"/>
              </w:rPr>
            </w:pPr>
          </w:p>
        </w:tc>
      </w:tr>
      <w:tr>
        <w:trPr>
          <w:trHeight w:val="163"/>
        </w:trPr>
        <w:tc>
          <w:tcPr>
            <w:tcW w:w="3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3"/>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Minnesota</w:t>
            </w: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9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20" w:type="dxa"/>
            <w:vAlign w:val="bottom"/>
            <w:tcBorders>
              <w:right w:val="single" w:sz="8" w:color="auto"/>
            </w:tcBorders>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20" w:type="dxa"/>
            <w:vAlign w:val="bottom"/>
            <w:tcBorders>
              <w:right w:val="single" w:sz="8" w:color="auto"/>
            </w:tcBorders>
            <w:gridSpan w:val="3"/>
            <w:vMerge w:val="continue"/>
          </w:tcPr>
          <w:p>
            <w:pPr>
              <w:spacing w:after="0"/>
              <w:rPr>
                <w:sz w:val="3"/>
                <w:szCs w:val="3"/>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3"/>
                <w:szCs w:val="3"/>
                <w:color w:val="auto"/>
              </w:rPr>
            </w:pPr>
          </w:p>
        </w:tc>
        <w:tc>
          <w:tcPr>
            <w:tcW w:w="9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Times New Roman" w:cs="Times New Roman" w:eastAsia="Times New Roman" w:hAnsi="Times New Roman"/>
                <w:sz w:val="18"/>
                <w:szCs w:val="18"/>
                <w:color w:val="auto"/>
                <w:w w:val="99"/>
              </w:rPr>
              <w:t>Shares</w:t>
            </w:r>
          </w:p>
        </w:tc>
        <w:tc>
          <w:tcPr>
            <w:tcW w:w="3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1,764,628</w:t>
            </w:r>
          </w:p>
        </w:tc>
        <w:tc>
          <w:tcPr>
            <w:tcW w:w="0" w:type="dxa"/>
            <w:vAlign w:val="bottom"/>
          </w:tcPr>
          <w:p>
            <w:pPr>
              <w:spacing w:after="0"/>
              <w:rPr>
                <w:sz w:val="1"/>
                <w:szCs w:val="1"/>
                <w:color w:val="auto"/>
              </w:rPr>
            </w:pPr>
          </w:p>
        </w:tc>
      </w:tr>
      <w:tr>
        <w:trPr>
          <w:trHeight w:val="234"/>
        </w:trPr>
        <w:tc>
          <w:tcPr>
            <w:tcW w:w="112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30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5"/>
                <w:szCs w:val="15"/>
                <w:color w:val="auto"/>
              </w:rPr>
            </w:pPr>
          </w:p>
        </w:tc>
        <w:tc>
          <w:tcPr>
            <w:tcW w:w="954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Times New Roman" w:cs="Times New Roman" w:eastAsia="Times New Roman" w:hAnsi="Times New Roman"/>
                <w:sz w:val="18"/>
                <w:szCs w:val="18"/>
                <w:color w:val="auto"/>
                <w:w w:val="97"/>
              </w:rPr>
              <w:t>Person</w:t>
            </w:r>
          </w:p>
        </w:tc>
        <w:tc>
          <w:tcPr>
            <w:tcW w:w="3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540" w:type="dxa"/>
            <w:vAlign w:val="bottom"/>
          </w:tcPr>
          <w:p>
            <w:pPr>
              <w:ind w:left="4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Times New Roman" w:cs="Times New Roman" w:eastAsia="Times New Roman" w:hAnsi="Times New Roman"/>
                <w:sz w:val="18"/>
                <w:szCs w:val="18"/>
                <w:color w:val="auto"/>
                <w:w w:val="97"/>
              </w:rPr>
              <w:t>With:</w:t>
            </w:r>
          </w:p>
        </w:tc>
        <w:tc>
          <w:tcPr>
            <w:tcW w:w="3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1"/>
                <w:szCs w:val="11"/>
                <w:color w:val="auto"/>
              </w:rPr>
            </w:pPr>
          </w:p>
        </w:tc>
        <w:tc>
          <w:tcPr>
            <w:tcW w:w="9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2,641,639</w:t>
            </w:r>
          </w:p>
        </w:tc>
        <w:tc>
          <w:tcPr>
            <w:tcW w:w="0" w:type="dxa"/>
            <w:vAlign w:val="bottom"/>
          </w:tcPr>
          <w:p>
            <w:pPr>
              <w:spacing w:after="0"/>
              <w:rPr>
                <w:sz w:val="1"/>
                <w:szCs w:val="1"/>
                <w:color w:val="auto"/>
              </w:rPr>
            </w:pPr>
          </w:p>
        </w:tc>
      </w:t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w w:val="97"/>
              </w:rPr>
              <w:t>2,641,639</w:t>
            </w: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right w:val="single" w:sz="8" w:color="auto"/>
            </w:tcBorders>
            <w:gridSpan w:val="2"/>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5.3%</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880" w:right="8100" w:hanging="444"/>
        <w:spacing w:after="0" w:line="282" w:lineRule="auto"/>
        <w:tabs>
          <w:tab w:leader="none" w:pos="8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Destination XL Group, Inc.</w:t>
      </w:r>
    </w:p>
    <w:p>
      <w:pPr>
        <w:spacing w:after="0" w:line="188" w:lineRule="exact"/>
        <w:rPr>
          <w:rFonts w:ascii="Times New Roman" w:cs="Times New Roman" w:eastAsia="Times New Roman" w:hAnsi="Times New Roman"/>
          <w:sz w:val="18"/>
          <w:szCs w:val="18"/>
          <w:color w:val="auto"/>
        </w:rPr>
      </w:pPr>
    </w:p>
    <w:p>
      <w:pPr>
        <w:ind w:left="880" w:right="6680" w:hanging="444"/>
        <w:spacing w:after="0" w:line="261" w:lineRule="auto"/>
        <w:tabs>
          <w:tab w:leader="none" w:pos="8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555 Turnpike Street</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Canton, Massachusetts 02021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860" w:hanging="4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Global Asset Management (U.S.) Inc.</w:t>
      </w:r>
    </w:p>
    <w:p>
      <w:pPr>
        <w:spacing w:after="0" w:line="233" w:lineRule="exact"/>
        <w:rPr>
          <w:rFonts w:ascii="Times New Roman" w:cs="Times New Roman" w:eastAsia="Times New Roman" w:hAnsi="Times New Roman"/>
          <w:sz w:val="18"/>
          <w:szCs w:val="18"/>
          <w:color w:val="auto"/>
        </w:rPr>
      </w:pPr>
    </w:p>
    <w:p>
      <w:pPr>
        <w:ind w:left="880" w:right="5820" w:hanging="444"/>
        <w:spacing w:after="0" w:line="261" w:lineRule="auto"/>
        <w:tabs>
          <w:tab w:leader="none" w:pos="8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50 South Sixth Street</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Suite 2350</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Minneapolis, Minnesota 55402</w:t>
      </w:r>
    </w:p>
    <w:p>
      <w:pPr>
        <w:spacing w:after="0" w:line="233"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Global Asset Management (U.S.) Inc. is incorporated under the laws of Minnesota</w:t>
      </w:r>
    </w:p>
    <w:p>
      <w:pPr>
        <w:spacing w:after="0" w:line="233" w:lineRule="exact"/>
        <w:rPr>
          <w:rFonts w:ascii="Times New Roman" w:cs="Times New Roman" w:eastAsia="Times New Roman" w:hAnsi="Times New Roman"/>
          <w:sz w:val="18"/>
          <w:szCs w:val="18"/>
          <w:color w:val="auto"/>
        </w:rPr>
      </w:pPr>
    </w:p>
    <w:p>
      <w:pPr>
        <w:ind w:left="880" w:right="8180" w:hanging="444"/>
        <w:spacing w:after="0" w:line="282" w:lineRule="auto"/>
        <w:tabs>
          <w:tab w:leader="none" w:pos="8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880" w:right="8940" w:hanging="444"/>
        <w:spacing w:after="0" w:line="282" w:lineRule="auto"/>
        <w:tabs>
          <w:tab w:leader="none" w:pos="8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25065K104</w:t>
      </w:r>
    </w:p>
    <w:p>
      <w:pPr>
        <w:spacing w:after="0" w:line="3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8" w:lineRule="exact"/>
        <w:rPr>
          <w:sz w:val="20"/>
          <w:szCs w:val="20"/>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220" w:hanging="766"/>
        <w:spacing w:after="0" w:line="239" w:lineRule="exact"/>
        <w:tabs>
          <w:tab w:leader="none" w:pos="851"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117" w:lineRule="exact"/>
        <w:rPr>
          <w:rFonts w:ascii="Times New Roman" w:cs="Times New Roman" w:eastAsia="Times New Roman" w:hAnsi="Times New Roman"/>
          <w:sz w:val="18"/>
          <w:szCs w:val="18"/>
          <w:color w:val="auto"/>
        </w:rPr>
      </w:pPr>
    </w:p>
    <w:p>
      <w:pPr>
        <w:ind w:left="860" w:hanging="406"/>
        <w:spacing w:after="0" w:line="207" w:lineRule="exact"/>
        <w:tabs>
          <w:tab w:leader="none" w:pos="8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ectPr>
          <w:pgSz w:w="11900" w:h="16838" w:orient="portrait"/>
          <w:cols w:equalWidth="0" w:num="1">
            <w:col w:w="10960"/>
          </w:cols>
          <w:pgMar w:left="440" w:top="266" w:right="499" w:bottom="1440" w:gutter="0" w:footer="0" w:header="0"/>
        </w:sectPr>
      </w:pPr>
    </w:p>
    <w:bookmarkStart w:id="3" w:name="page4"/>
    <w:bookmarkEnd w:id="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860" w:hanging="42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of the Cover Page.</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See Item 11 of the Cover Page.</w:t>
      </w:r>
    </w:p>
    <w:p>
      <w:pPr>
        <w:spacing w:after="0" w:line="13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color w:val="auto"/>
        </w:rPr>
      </w:pPr>
    </w:p>
    <w:p>
      <w:pPr>
        <w:ind w:left="1440" w:right="6780" w:hanging="558"/>
        <w:spacing w:after="0" w:line="282" w:lineRule="auto"/>
        <w:tabs>
          <w:tab w:leader="none" w:pos="14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of the Cover Page.</w:t>
      </w:r>
    </w:p>
    <w:p>
      <w:pPr>
        <w:spacing w:after="0" w:line="67" w:lineRule="exact"/>
        <w:rPr>
          <w:rFonts w:ascii="Times New Roman" w:cs="Times New Roman" w:eastAsia="Times New Roman" w:hAnsi="Times New Roman"/>
          <w:sz w:val="18"/>
          <w:szCs w:val="18"/>
          <w:color w:val="auto"/>
        </w:rPr>
      </w:pPr>
    </w:p>
    <w:p>
      <w:pPr>
        <w:ind w:left="1440" w:right="6600" w:hanging="558"/>
        <w:spacing w:after="0" w:line="282" w:lineRule="auto"/>
        <w:tabs>
          <w:tab w:leader="none" w:pos="14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of the Cover Page.</w:t>
      </w:r>
    </w:p>
    <w:p>
      <w:pPr>
        <w:spacing w:after="0" w:line="67" w:lineRule="exact"/>
        <w:rPr>
          <w:rFonts w:ascii="Times New Roman" w:cs="Times New Roman" w:eastAsia="Times New Roman" w:hAnsi="Times New Roman"/>
          <w:sz w:val="18"/>
          <w:szCs w:val="18"/>
          <w:color w:val="auto"/>
        </w:rPr>
      </w:pPr>
    </w:p>
    <w:p>
      <w:pPr>
        <w:ind w:left="1440" w:right="5880" w:hanging="558"/>
        <w:spacing w:after="0" w:line="282" w:lineRule="auto"/>
        <w:tabs>
          <w:tab w:leader="none" w:pos="14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of the Cover Page.</w:t>
      </w:r>
    </w:p>
    <w:p>
      <w:pPr>
        <w:spacing w:after="0" w:line="67" w:lineRule="exact"/>
        <w:rPr>
          <w:rFonts w:ascii="Times New Roman" w:cs="Times New Roman" w:eastAsia="Times New Roman" w:hAnsi="Times New Roman"/>
          <w:sz w:val="18"/>
          <w:szCs w:val="18"/>
          <w:color w:val="auto"/>
        </w:rPr>
      </w:pPr>
    </w:p>
    <w:p>
      <w:pPr>
        <w:ind w:left="1440" w:right="5700" w:hanging="558"/>
        <w:spacing w:after="0" w:line="282" w:lineRule="auto"/>
        <w:tabs>
          <w:tab w:leader="none" w:pos="14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of the Cover Page.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For computations regarding securities which represent a right to acquire an underlying security see §240.13d-3(d)(1).</w:t>
      </w: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10.</w:t>
        <w:tab/>
        <w:t>Certifications</w:t>
      </w:r>
    </w:p>
    <w:p>
      <w:pPr>
        <w:spacing w:after="0" w:line="121" w:lineRule="exact"/>
        <w:rPr>
          <w:sz w:val="20"/>
          <w:szCs w:val="20"/>
          <w:color w:val="auto"/>
        </w:rPr>
      </w:pPr>
    </w:p>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66" w:right="4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2019</w:t>
      </w:r>
    </w:p>
    <w:p>
      <w:pPr>
        <w:spacing w:after="0" w:line="37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RBC GLOBAL ASSET MANAGEMENT (U.S.) INC.</w:t>
      </w:r>
    </w:p>
    <w:p>
      <w:pPr>
        <w:spacing w:after="0" w:line="22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Carol Kuha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Carol Kuha / Chief Operating Officer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2019-12-04T23:59:39Z</dcterms:created>
  <dcterms:modified xsi:type="dcterms:W3CDTF">2019-12-04T23:59:39Z</dcterms:modified>
</cp:coreProperties>
</file>