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As filed with the Securities and Exchange Commission on August 28, 2019</w:t>
      </w:r>
    </w:p>
    <w:p>
      <w:pPr>
        <w:spacing w:after="0" w:line="135" w:lineRule="exact"/>
        <w:rPr>
          <w:sz w:val="24"/>
          <w:szCs w:val="24"/>
          <w:color w:val="auto"/>
        </w:rPr>
      </w:pPr>
    </w:p>
    <w:p>
      <w:pPr>
        <w:jc w:val="right"/>
        <w:ind w:right="80"/>
        <w:spacing w:after="0"/>
        <w:rPr>
          <w:sz w:val="20"/>
          <w:szCs w:val="20"/>
          <w:color w:val="auto"/>
        </w:rPr>
      </w:pPr>
      <w:r>
        <w:rPr>
          <w:rFonts w:ascii="Arial" w:cs="Arial" w:eastAsia="Arial" w:hAnsi="Arial"/>
          <w:sz w:val="16"/>
          <w:szCs w:val="16"/>
          <w:b w:val="1"/>
          <w:bCs w:val="1"/>
          <w:color w:val="auto"/>
        </w:rPr>
        <w:t>Registration No. 333-</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UNITED STATES</w:t>
      </w:r>
    </w:p>
    <w:p>
      <w:pPr>
        <w:jc w:val="center"/>
        <w:spacing w:after="0" w:line="233" w:lineRule="auto"/>
        <w:rPr>
          <w:sz w:val="20"/>
          <w:szCs w:val="20"/>
          <w:color w:val="auto"/>
        </w:rPr>
      </w:pPr>
      <w:r>
        <w:rPr>
          <w:rFonts w:ascii="Arial" w:cs="Arial" w:eastAsia="Arial" w:hAnsi="Arial"/>
          <w:sz w:val="19"/>
          <w:szCs w:val="1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Washington, D.C. 20549</w:t>
      </w:r>
    </w:p>
    <w:p>
      <w:pPr>
        <w:spacing w:after="0" w:line="102"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FORM S-8</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REGISTRATION STATEMENT UNDER THE SECURITIES ACT OF 1933</w:t>
      </w:r>
    </w:p>
    <w:p>
      <w:pPr>
        <w:spacing w:after="0" w:line="121" w:lineRule="exact"/>
        <w:rPr>
          <w:sz w:val="24"/>
          <w:szCs w:val="24"/>
          <w:color w:val="auto"/>
        </w:rPr>
      </w:pPr>
    </w:p>
    <w:tbl>
      <w:tblPr>
        <w:tblLayout w:type="fixed"/>
        <w:tblInd w:w="2040" w:type="dxa"/>
        <w:tblCellMar>
          <w:top w:w="0" w:type="dxa"/>
          <w:left w:w="0" w:type="dxa"/>
          <w:bottom w:w="0" w:type="dxa"/>
          <w:right w:w="0" w:type="dxa"/>
        </w:tblCellMar>
      </w:tblPr>
      <w:tr>
        <w:trPr>
          <w:trHeight w:val="304"/>
        </w:trPr>
        <w:tc>
          <w:tcPr>
            <w:tcW w:w="5960" w:type="dxa"/>
            <w:vAlign w:val="bottom"/>
          </w:tcPr>
          <w:p>
            <w:pPr>
              <w:jc w:val="center"/>
              <w:ind w:left="1518"/>
              <w:spacing w:after="0"/>
              <w:rPr>
                <w:sz w:val="20"/>
                <w:szCs w:val="20"/>
                <w:color w:val="auto"/>
              </w:rPr>
            </w:pPr>
            <w:r>
              <w:rPr>
                <w:rFonts w:ascii="Arial" w:cs="Arial" w:eastAsia="Arial" w:hAnsi="Arial"/>
                <w:sz w:val="25"/>
                <w:szCs w:val="25"/>
                <w:b w:val="1"/>
                <w:bCs w:val="1"/>
                <w:color w:val="auto"/>
              </w:rPr>
              <w:t>DESTINATION XL GROUP, INC.</w:t>
            </w:r>
          </w:p>
        </w:tc>
        <w:tc>
          <w:tcPr>
            <w:tcW w:w="1100" w:type="dxa"/>
            <w:vAlign w:val="bottom"/>
          </w:tcPr>
          <w:p>
            <w:pPr>
              <w:spacing w:after="0"/>
              <w:rPr>
                <w:sz w:val="24"/>
                <w:szCs w:val="24"/>
                <w:color w:val="auto"/>
              </w:rPr>
            </w:pPr>
          </w:p>
        </w:tc>
      </w:tr>
      <w:tr>
        <w:trPr>
          <w:trHeight w:val="240"/>
        </w:trPr>
        <w:tc>
          <w:tcPr>
            <w:tcW w:w="5960" w:type="dxa"/>
            <w:vAlign w:val="bottom"/>
          </w:tcPr>
          <w:p>
            <w:pPr>
              <w:jc w:val="center"/>
              <w:ind w:left="1498"/>
              <w:spacing w:after="0"/>
              <w:rPr>
                <w:sz w:val="20"/>
                <w:szCs w:val="20"/>
                <w:color w:val="auto"/>
              </w:rPr>
            </w:pPr>
            <w:r>
              <w:rPr>
                <w:rFonts w:ascii="Arial" w:cs="Arial" w:eastAsia="Arial" w:hAnsi="Arial"/>
                <w:sz w:val="19"/>
                <w:szCs w:val="19"/>
                <w:color w:val="auto"/>
                <w:w w:val="90"/>
              </w:rPr>
              <w:t>(Exact name of registrant as specified in its charter)</w:t>
            </w:r>
          </w:p>
        </w:tc>
        <w:tc>
          <w:tcPr>
            <w:tcW w:w="1100" w:type="dxa"/>
            <w:vAlign w:val="bottom"/>
          </w:tcPr>
          <w:p>
            <w:pPr>
              <w:spacing w:after="0"/>
              <w:rPr>
                <w:sz w:val="20"/>
                <w:szCs w:val="20"/>
                <w:color w:val="auto"/>
              </w:rPr>
            </w:pPr>
          </w:p>
        </w:tc>
      </w:tr>
      <w:tr>
        <w:trPr>
          <w:trHeight w:val="472"/>
        </w:trPr>
        <w:tc>
          <w:tcPr>
            <w:tcW w:w="5960" w:type="dxa"/>
            <w:vAlign w:val="bottom"/>
          </w:tcPr>
          <w:p>
            <w:pPr>
              <w:jc w:val="center"/>
              <w:ind w:right="4038"/>
              <w:spacing w:after="0"/>
              <w:rPr>
                <w:sz w:val="20"/>
                <w:szCs w:val="20"/>
                <w:color w:val="auto"/>
              </w:rPr>
            </w:pPr>
            <w:r>
              <w:rPr>
                <w:rFonts w:ascii="Arial" w:cs="Arial" w:eastAsia="Arial" w:hAnsi="Arial"/>
                <w:sz w:val="16"/>
                <w:szCs w:val="16"/>
                <w:b w:val="1"/>
                <w:bCs w:val="1"/>
                <w:color w:val="auto"/>
                <w:w w:val="91"/>
              </w:rPr>
              <w:t>Delaware</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04-2623104</w:t>
            </w:r>
          </w:p>
        </w:tc>
      </w:tr>
      <w:tr>
        <w:trPr>
          <w:trHeight w:val="118"/>
        </w:trPr>
        <w:tc>
          <w:tcPr>
            <w:tcW w:w="5960" w:type="dxa"/>
            <w:vAlign w:val="bottom"/>
          </w:tcPr>
          <w:p>
            <w:pPr>
              <w:jc w:val="center"/>
              <w:ind w:right="4058"/>
              <w:spacing w:after="0" w:line="119" w:lineRule="exact"/>
              <w:rPr>
                <w:sz w:val="20"/>
                <w:szCs w:val="20"/>
                <w:color w:val="auto"/>
              </w:rPr>
            </w:pPr>
            <w:r>
              <w:rPr>
                <w:rFonts w:ascii="Arial" w:cs="Arial" w:eastAsia="Arial" w:hAnsi="Arial"/>
                <w:sz w:val="11"/>
                <w:szCs w:val="11"/>
                <w:b w:val="1"/>
                <w:bCs w:val="1"/>
                <w:color w:val="auto"/>
                <w:w w:val="91"/>
              </w:rPr>
              <w:t>(State or other jurisdiction of</w:t>
            </w:r>
          </w:p>
        </w:tc>
        <w:tc>
          <w:tcPr>
            <w:tcW w:w="1100" w:type="dxa"/>
            <w:vAlign w:val="bottom"/>
          </w:tcPr>
          <w:p>
            <w:pPr>
              <w:jc w:val="center"/>
              <w:ind w:left="195"/>
              <w:spacing w:after="0" w:line="119" w:lineRule="exact"/>
              <w:rPr>
                <w:sz w:val="20"/>
                <w:szCs w:val="20"/>
                <w:color w:val="auto"/>
              </w:rPr>
            </w:pPr>
            <w:r>
              <w:rPr>
                <w:rFonts w:ascii="Arial" w:cs="Arial" w:eastAsia="Arial" w:hAnsi="Arial"/>
                <w:sz w:val="11"/>
                <w:szCs w:val="11"/>
                <w:b w:val="1"/>
                <w:bCs w:val="1"/>
                <w:color w:val="auto"/>
                <w:w w:val="94"/>
              </w:rPr>
              <w:t>(I.R.S. Employer</w:t>
            </w:r>
          </w:p>
        </w:tc>
      </w:tr>
      <w:tr>
        <w:trPr>
          <w:trHeight w:val="142"/>
        </w:trPr>
        <w:tc>
          <w:tcPr>
            <w:tcW w:w="5960" w:type="dxa"/>
            <w:vAlign w:val="bottom"/>
          </w:tcPr>
          <w:p>
            <w:pPr>
              <w:jc w:val="center"/>
              <w:ind w:right="4038"/>
              <w:spacing w:after="0"/>
              <w:rPr>
                <w:sz w:val="20"/>
                <w:szCs w:val="20"/>
                <w:color w:val="auto"/>
              </w:rPr>
            </w:pPr>
            <w:r>
              <w:rPr>
                <w:rFonts w:ascii="Arial" w:cs="Arial" w:eastAsia="Arial" w:hAnsi="Arial"/>
                <w:sz w:val="11"/>
                <w:szCs w:val="11"/>
                <w:b w:val="1"/>
                <w:bCs w:val="1"/>
                <w:color w:val="auto"/>
                <w:w w:val="91"/>
              </w:rPr>
              <w:t>incorporation or organization)</w:t>
            </w:r>
          </w:p>
        </w:tc>
        <w:tc>
          <w:tcPr>
            <w:tcW w:w="1100" w:type="dxa"/>
            <w:vAlign w:val="bottom"/>
          </w:tcPr>
          <w:p>
            <w:pPr>
              <w:jc w:val="center"/>
              <w:ind w:left="175"/>
              <w:spacing w:after="0"/>
              <w:rPr>
                <w:sz w:val="20"/>
                <w:szCs w:val="20"/>
                <w:color w:val="auto"/>
              </w:rPr>
            </w:pPr>
            <w:r>
              <w:rPr>
                <w:rFonts w:ascii="Arial" w:cs="Arial" w:eastAsia="Arial" w:hAnsi="Arial"/>
                <w:sz w:val="11"/>
                <w:szCs w:val="11"/>
                <w:b w:val="1"/>
                <w:bCs w:val="1"/>
                <w:color w:val="auto"/>
                <w:w w:val="92"/>
              </w:rPr>
              <w:t>Identification No.)</w:t>
            </w:r>
          </w:p>
        </w:tc>
      </w:tr>
      <w:tr>
        <w:trPr>
          <w:trHeight w:val="353"/>
        </w:trPr>
        <w:tc>
          <w:tcPr>
            <w:tcW w:w="5960" w:type="dxa"/>
            <w:vAlign w:val="bottom"/>
          </w:tcPr>
          <w:p>
            <w:pPr>
              <w:jc w:val="center"/>
              <w:ind w:right="4058"/>
              <w:spacing w:after="0"/>
              <w:rPr>
                <w:sz w:val="20"/>
                <w:szCs w:val="20"/>
                <w:color w:val="auto"/>
              </w:rPr>
            </w:pPr>
            <w:r>
              <w:rPr>
                <w:rFonts w:ascii="Arial" w:cs="Arial" w:eastAsia="Arial" w:hAnsi="Arial"/>
                <w:sz w:val="16"/>
                <w:szCs w:val="16"/>
                <w:b w:val="1"/>
                <w:bCs w:val="1"/>
                <w:color w:val="auto"/>
                <w:w w:val="90"/>
              </w:rPr>
              <w:t>555 Turnpike Street</w:t>
            </w:r>
          </w:p>
        </w:tc>
        <w:tc>
          <w:tcPr>
            <w:tcW w:w="1100" w:type="dxa"/>
            <w:vAlign w:val="bottom"/>
          </w:tcPr>
          <w:p>
            <w:pPr>
              <w:spacing w:after="0"/>
              <w:rPr>
                <w:sz w:val="24"/>
                <w:szCs w:val="24"/>
                <w:color w:val="auto"/>
              </w:rPr>
            </w:pPr>
          </w:p>
        </w:tc>
      </w:tr>
      <w:tr>
        <w:trPr>
          <w:trHeight w:val="190"/>
        </w:trPr>
        <w:tc>
          <w:tcPr>
            <w:tcW w:w="5960" w:type="dxa"/>
            <w:vAlign w:val="bottom"/>
          </w:tcPr>
          <w:p>
            <w:pPr>
              <w:jc w:val="center"/>
              <w:ind w:right="4038"/>
              <w:spacing w:after="0"/>
              <w:rPr>
                <w:sz w:val="20"/>
                <w:szCs w:val="20"/>
                <w:color w:val="auto"/>
              </w:rPr>
            </w:pPr>
            <w:r>
              <w:rPr>
                <w:rFonts w:ascii="Arial" w:cs="Arial" w:eastAsia="Arial" w:hAnsi="Arial"/>
                <w:sz w:val="16"/>
                <w:szCs w:val="16"/>
                <w:b w:val="1"/>
                <w:bCs w:val="1"/>
                <w:color w:val="auto"/>
                <w:w w:val="94"/>
              </w:rPr>
              <w:t>Canton, MA</w:t>
            </w:r>
          </w:p>
        </w:tc>
        <w:tc>
          <w:tcPr>
            <w:tcW w:w="1100" w:type="dxa"/>
            <w:vAlign w:val="bottom"/>
          </w:tcPr>
          <w:p>
            <w:pPr>
              <w:jc w:val="right"/>
              <w:ind w:right="155"/>
              <w:spacing w:after="0"/>
              <w:rPr>
                <w:sz w:val="20"/>
                <w:szCs w:val="20"/>
                <w:color w:val="auto"/>
              </w:rPr>
            </w:pPr>
            <w:r>
              <w:rPr>
                <w:rFonts w:ascii="Arial" w:cs="Arial" w:eastAsia="Arial" w:hAnsi="Arial"/>
                <w:sz w:val="16"/>
                <w:szCs w:val="16"/>
                <w:b w:val="1"/>
                <w:bCs w:val="1"/>
                <w:color w:val="auto"/>
              </w:rPr>
              <w:t>02021</w:t>
            </w:r>
          </w:p>
        </w:tc>
      </w:tr>
      <w:tr>
        <w:trPr>
          <w:trHeight w:val="110"/>
        </w:trPr>
        <w:tc>
          <w:tcPr>
            <w:tcW w:w="5960" w:type="dxa"/>
            <w:vAlign w:val="bottom"/>
          </w:tcPr>
          <w:p>
            <w:pPr>
              <w:jc w:val="center"/>
              <w:ind w:right="4058"/>
              <w:spacing w:after="0" w:line="111" w:lineRule="exact"/>
              <w:rPr>
                <w:sz w:val="20"/>
                <w:szCs w:val="20"/>
                <w:color w:val="auto"/>
              </w:rPr>
            </w:pPr>
            <w:r>
              <w:rPr>
                <w:rFonts w:ascii="Arial" w:cs="Arial" w:eastAsia="Arial" w:hAnsi="Arial"/>
                <w:sz w:val="11"/>
                <w:szCs w:val="11"/>
                <w:b w:val="1"/>
                <w:bCs w:val="1"/>
                <w:color w:val="auto"/>
                <w:w w:val="88"/>
              </w:rPr>
              <w:t>(Address of principal executive offices)</w:t>
            </w:r>
          </w:p>
        </w:tc>
        <w:tc>
          <w:tcPr>
            <w:tcW w:w="1100" w:type="dxa"/>
            <w:vAlign w:val="bottom"/>
          </w:tcPr>
          <w:p>
            <w:pPr>
              <w:jc w:val="center"/>
              <w:ind w:left="175"/>
              <w:spacing w:after="0" w:line="111" w:lineRule="exact"/>
              <w:rPr>
                <w:sz w:val="20"/>
                <w:szCs w:val="20"/>
                <w:color w:val="auto"/>
              </w:rPr>
            </w:pPr>
            <w:r>
              <w:rPr>
                <w:rFonts w:ascii="Arial" w:cs="Arial" w:eastAsia="Arial" w:hAnsi="Arial"/>
                <w:sz w:val="11"/>
                <w:szCs w:val="11"/>
                <w:b w:val="1"/>
                <w:bCs w:val="1"/>
                <w:color w:val="auto"/>
                <w:w w:val="91"/>
              </w:rPr>
              <w:t>(Zip Code)</w:t>
            </w:r>
          </w:p>
        </w:tc>
      </w:tr>
      <w:tr>
        <w:trPr>
          <w:trHeight w:val="211"/>
        </w:trPr>
        <w:tc>
          <w:tcPr>
            <w:tcW w:w="5960" w:type="dxa"/>
            <w:vAlign w:val="bottom"/>
          </w:tcPr>
          <w:p>
            <w:pPr>
              <w:jc w:val="center"/>
              <w:ind w:left="1498"/>
              <w:spacing w:after="0" w:line="212" w:lineRule="exact"/>
              <w:rPr>
                <w:sz w:val="20"/>
                <w:szCs w:val="20"/>
                <w:color w:val="auto"/>
              </w:rPr>
            </w:pPr>
            <w:r>
              <w:rPr>
                <w:rFonts w:ascii="Arial" w:cs="Arial" w:eastAsia="Arial" w:hAnsi="Arial"/>
                <w:sz w:val="19"/>
                <w:szCs w:val="19"/>
                <w:b w:val="1"/>
                <w:bCs w:val="1"/>
                <w:color w:val="auto"/>
              </w:rPr>
              <w:t>DESTINATION XL GROUP, INC.</w:t>
            </w:r>
          </w:p>
        </w:tc>
        <w:tc>
          <w:tcPr>
            <w:tcW w:w="1100" w:type="dxa"/>
            <w:vAlign w:val="bottom"/>
          </w:tcPr>
          <w:p>
            <w:pPr>
              <w:spacing w:after="0"/>
              <w:rPr>
                <w:sz w:val="18"/>
                <w:szCs w:val="18"/>
                <w:color w:val="auto"/>
              </w:rPr>
            </w:pPr>
          </w:p>
        </w:tc>
      </w:tr>
      <w:tr>
        <w:trPr>
          <w:trHeight w:val="219"/>
        </w:trPr>
        <w:tc>
          <w:tcPr>
            <w:tcW w:w="5960" w:type="dxa"/>
            <w:vAlign w:val="bottom"/>
          </w:tcPr>
          <w:p>
            <w:pPr>
              <w:jc w:val="center"/>
              <w:ind w:left="1498"/>
              <w:spacing w:after="0"/>
              <w:rPr>
                <w:sz w:val="20"/>
                <w:szCs w:val="20"/>
                <w:color w:val="auto"/>
              </w:rPr>
            </w:pPr>
            <w:r>
              <w:rPr>
                <w:rFonts w:ascii="Arial" w:cs="Arial" w:eastAsia="Arial" w:hAnsi="Arial"/>
                <w:sz w:val="19"/>
                <w:szCs w:val="19"/>
                <w:b w:val="1"/>
                <w:bCs w:val="1"/>
                <w:color w:val="auto"/>
                <w:w w:val="99"/>
              </w:rPr>
              <w:t>2016 INCENTIVE COMPENSATION PLAN</w:t>
            </w:r>
          </w:p>
        </w:tc>
        <w:tc>
          <w:tcPr>
            <w:tcW w:w="1100" w:type="dxa"/>
            <w:vAlign w:val="bottom"/>
          </w:tcPr>
          <w:p>
            <w:pPr>
              <w:spacing w:after="0"/>
              <w:rPr>
                <w:sz w:val="19"/>
                <w:szCs w:val="19"/>
                <w:color w:val="auto"/>
              </w:rPr>
            </w:pPr>
          </w:p>
        </w:tc>
      </w:tr>
      <w:tr>
        <w:trPr>
          <w:trHeight w:val="240"/>
        </w:trPr>
        <w:tc>
          <w:tcPr>
            <w:tcW w:w="5960" w:type="dxa"/>
            <w:vAlign w:val="bottom"/>
          </w:tcPr>
          <w:p>
            <w:pPr>
              <w:jc w:val="center"/>
              <w:ind w:left="1498"/>
              <w:spacing w:after="0"/>
              <w:rPr>
                <w:sz w:val="20"/>
                <w:szCs w:val="20"/>
                <w:color w:val="auto"/>
              </w:rPr>
            </w:pPr>
            <w:r>
              <w:rPr>
                <w:rFonts w:ascii="Arial" w:cs="Arial" w:eastAsia="Arial" w:hAnsi="Arial"/>
                <w:sz w:val="19"/>
                <w:szCs w:val="19"/>
                <w:color w:val="auto"/>
                <w:w w:val="94"/>
              </w:rPr>
              <w:t>(Full title of the plan)</w:t>
            </w:r>
          </w:p>
        </w:tc>
        <w:tc>
          <w:tcPr>
            <w:tcW w:w="1100" w:type="dxa"/>
            <w:vAlign w:val="bottom"/>
          </w:tcPr>
          <w:p>
            <w:pPr>
              <w:spacing w:after="0"/>
              <w:rPr>
                <w:sz w:val="20"/>
                <w:szCs w:val="20"/>
                <w:color w:val="auto"/>
              </w:rPr>
            </w:pPr>
          </w:p>
        </w:tc>
      </w:tr>
    </w:tbl>
    <w:p>
      <w:pPr>
        <w:spacing w:after="0" w:line="96"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Robert S. Molloy</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Senior Vice President, Chief Administrative Officer, General Counsel and Secretary</w:t>
      </w:r>
    </w:p>
    <w:p>
      <w:pPr>
        <w:jc w:val="center"/>
        <w:spacing w:after="0" w:line="233" w:lineRule="auto"/>
        <w:rPr>
          <w:sz w:val="20"/>
          <w:szCs w:val="20"/>
          <w:color w:val="auto"/>
        </w:rPr>
      </w:pPr>
      <w:r>
        <w:rPr>
          <w:rFonts w:ascii="Arial" w:cs="Arial" w:eastAsia="Arial" w:hAnsi="Arial"/>
          <w:sz w:val="19"/>
          <w:szCs w:val="19"/>
          <w:b w:val="1"/>
          <w:bCs w:val="1"/>
          <w:color w:val="auto"/>
        </w:rPr>
        <w:t>Destination XL Group, Inc.</w:t>
      </w:r>
    </w:p>
    <w:p>
      <w:pPr>
        <w:jc w:val="center"/>
        <w:spacing w:after="0" w:line="234" w:lineRule="auto"/>
        <w:rPr>
          <w:sz w:val="20"/>
          <w:szCs w:val="20"/>
          <w:color w:val="auto"/>
        </w:rPr>
      </w:pPr>
      <w:r>
        <w:rPr>
          <w:rFonts w:ascii="Arial" w:cs="Arial" w:eastAsia="Arial" w:hAnsi="Arial"/>
          <w:sz w:val="19"/>
          <w:szCs w:val="19"/>
          <w:b w:val="1"/>
          <w:bCs w:val="1"/>
          <w:color w:val="auto"/>
        </w:rPr>
        <w:t>555 Turnpike Street</w:t>
      </w:r>
    </w:p>
    <w:p>
      <w:pPr>
        <w:jc w:val="center"/>
        <w:spacing w:after="0" w:line="233" w:lineRule="auto"/>
        <w:rPr>
          <w:sz w:val="20"/>
          <w:szCs w:val="20"/>
          <w:color w:val="auto"/>
        </w:rPr>
      </w:pPr>
      <w:r>
        <w:rPr>
          <w:rFonts w:ascii="Arial" w:cs="Arial" w:eastAsia="Arial" w:hAnsi="Arial"/>
          <w:sz w:val="19"/>
          <w:szCs w:val="19"/>
          <w:b w:val="1"/>
          <w:bCs w:val="1"/>
          <w:color w:val="auto"/>
        </w:rPr>
        <w:t>Canton, Massachusetts 02021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(Name and address of agent for service)</w:t>
      </w:r>
    </w:p>
    <w:p>
      <w:pPr>
        <w:spacing w:after="0" w:line="102"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(781) 828−9300</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(Telephone number, including area code, of agent for service)</w:t>
      </w:r>
    </w:p>
    <w:p>
      <w:pPr>
        <w:spacing w:after="0" w:line="167" w:lineRule="exact"/>
        <w:rPr>
          <w:sz w:val="24"/>
          <w:szCs w:val="24"/>
          <w:color w:val="auto"/>
        </w:rPr>
      </w:pPr>
    </w:p>
    <w:p>
      <w:pPr>
        <w:ind w:left="100" w:right="140"/>
        <w:spacing w:after="0" w:line="245" w:lineRule="auto"/>
        <w:rPr>
          <w:sz w:val="20"/>
          <w:szCs w:val="20"/>
          <w:color w:val="auto"/>
        </w:rPr>
      </w:pPr>
      <w:r>
        <w:rPr>
          <w:rFonts w:ascii="Arial" w:cs="Arial" w:eastAsia="Arial" w:hAnsi="Arial"/>
          <w:sz w:val="19"/>
          <w:szCs w:val="19"/>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8" w:lineRule="exact"/>
        <w:rPr>
          <w:sz w:val="24"/>
          <w:szCs w:val="24"/>
          <w:color w:val="auto"/>
        </w:rPr>
      </w:pPr>
    </w:p>
    <w:tbl>
      <w:tblPr>
        <w:tblLayout w:type="fixed"/>
        <w:tblInd w:w="140" w:type="dxa"/>
        <w:tblCellMar>
          <w:top w:w="0" w:type="dxa"/>
          <w:left w:w="0" w:type="dxa"/>
          <w:bottom w:w="0" w:type="dxa"/>
          <w:right w:w="0" w:type="dxa"/>
        </w:tblCellMar>
      </w:tblPr>
      <w:tr>
        <w:trPr>
          <w:trHeight w:val="246"/>
        </w:trPr>
        <w:tc>
          <w:tcPr>
            <w:tcW w:w="23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60" w:type="dxa"/>
            <w:vAlign w:val="bottom"/>
          </w:tcPr>
          <w:p>
            <w:pPr>
              <w:ind w:left="640"/>
              <w:spacing w:after="0" w:line="161" w:lineRule="exact"/>
              <w:rPr>
                <w:sz w:val="20"/>
                <w:szCs w:val="20"/>
                <w:color w:val="auto"/>
              </w:rPr>
            </w:pPr>
            <w:r>
              <w:rPr>
                <w:rFonts w:ascii="MS PGothic" w:cs="MS PGothic" w:eastAsia="MS PGothic" w:hAnsi="MS PGothic"/>
                <w:sz w:val="16"/>
                <w:szCs w:val="16"/>
                <w:color w:val="auto"/>
              </w:rPr>
              <w:t>☐</w:t>
            </w:r>
          </w:p>
        </w:tc>
        <w:tc>
          <w:tcPr>
            <w:tcW w:w="4860" w:type="dxa"/>
            <w:vAlign w:val="bottom"/>
          </w:tcPr>
          <w:p>
            <w:pPr>
              <w:ind w:left="2800"/>
              <w:spacing w:after="0"/>
              <w:rPr>
                <w:sz w:val="20"/>
                <w:szCs w:val="20"/>
                <w:color w:val="auto"/>
              </w:rPr>
            </w:pPr>
            <w:r>
              <w:rPr>
                <w:rFonts w:ascii="Arial" w:cs="Arial" w:eastAsia="Arial" w:hAnsi="Arial"/>
                <w:sz w:val="16"/>
                <w:szCs w:val="16"/>
                <w:color w:val="auto"/>
              </w:rPr>
              <w:t>Accelerated filer</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5"/>
        </w:trPr>
        <w:tc>
          <w:tcPr>
            <w:tcW w:w="2360" w:type="dxa"/>
            <w:vAlign w:val="bottom"/>
          </w:tcPr>
          <w:p>
            <w:pPr>
              <w:spacing w:after="0"/>
              <w:rPr>
                <w:sz w:val="20"/>
                <w:szCs w:val="20"/>
                <w:color w:val="auto"/>
              </w:rPr>
            </w:pPr>
            <w:r>
              <w:rPr>
                <w:rFonts w:ascii="Arial" w:cs="Arial" w:eastAsia="Arial" w:hAnsi="Arial"/>
                <w:sz w:val="16"/>
                <w:szCs w:val="16"/>
                <w:color w:val="auto"/>
              </w:rPr>
              <w:t>Non-accelerated filer</w:t>
            </w:r>
          </w:p>
        </w:tc>
        <w:tc>
          <w:tcPr>
            <w:tcW w:w="3560" w:type="dxa"/>
            <w:vAlign w:val="bottom"/>
          </w:tcPr>
          <w:p>
            <w:pPr>
              <w:ind w:left="640"/>
              <w:spacing w:after="0" w:line="161" w:lineRule="exact"/>
              <w:rPr>
                <w:sz w:val="20"/>
                <w:szCs w:val="20"/>
                <w:color w:val="auto"/>
              </w:rPr>
            </w:pPr>
            <w:r>
              <w:rPr>
                <w:rFonts w:ascii="MS PGothic" w:cs="MS PGothic" w:eastAsia="MS PGothic" w:hAnsi="MS PGothic"/>
                <w:sz w:val="16"/>
                <w:szCs w:val="16"/>
                <w:color w:val="auto"/>
              </w:rPr>
              <w:t>☐</w:t>
            </w:r>
          </w:p>
        </w:tc>
        <w:tc>
          <w:tcPr>
            <w:tcW w:w="4860" w:type="dxa"/>
            <w:vAlign w:val="bottom"/>
          </w:tcPr>
          <w:p>
            <w:pPr>
              <w:ind w:left="2800"/>
              <w:spacing w:after="0"/>
              <w:rPr>
                <w:sz w:val="20"/>
                <w:szCs w:val="20"/>
                <w:color w:val="auto"/>
              </w:rPr>
            </w:pPr>
            <w:r>
              <w:rPr>
                <w:rFonts w:ascii="Arial" w:cs="Arial" w:eastAsia="Arial" w:hAnsi="Arial"/>
                <w:sz w:val="16"/>
                <w:szCs w:val="16"/>
                <w:color w:val="auto"/>
              </w:rPr>
              <w:t>Smaller reporting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5"/>
        </w:trPr>
        <w:tc>
          <w:tcPr>
            <w:tcW w:w="236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60" w:type="dxa"/>
            <w:vAlign w:val="bottom"/>
          </w:tcPr>
          <w:p>
            <w:pPr>
              <w:ind w:left="640"/>
              <w:spacing w:after="0" w:line="161" w:lineRule="exact"/>
              <w:rPr>
                <w:sz w:val="20"/>
                <w:szCs w:val="20"/>
                <w:color w:val="auto"/>
              </w:rPr>
            </w:pPr>
            <w:r>
              <w:rPr>
                <w:rFonts w:ascii="MS PGothic" w:cs="MS PGothic" w:eastAsia="MS PGothic" w:hAnsi="MS PGothic"/>
                <w:sz w:val="16"/>
                <w:szCs w:val="16"/>
                <w:color w:val="auto"/>
              </w:rPr>
              <w:t>☐</w:t>
            </w:r>
          </w:p>
        </w:tc>
        <w:tc>
          <w:tcPr>
            <w:tcW w:w="486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pacing w:after="0" w:line="201" w:lineRule="exact"/>
        <w:rPr>
          <w:sz w:val="24"/>
          <w:szCs w:val="24"/>
          <w:color w:val="auto"/>
        </w:rPr>
      </w:pPr>
    </w:p>
    <w:p>
      <w:pPr>
        <w:ind w:left="100"/>
        <w:spacing w:after="0"/>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 with any</w:t>
      </w:r>
    </w:p>
    <w:p>
      <w:pPr>
        <w:spacing w:after="0" w:line="38" w:lineRule="exact"/>
        <w:rPr>
          <w:sz w:val="24"/>
          <w:szCs w:val="24"/>
          <w:color w:val="auto"/>
        </w:rPr>
      </w:pPr>
    </w:p>
    <w:tbl>
      <w:tblPr>
        <w:tblLayout w:type="fixed"/>
        <w:tblInd w:w="0" w:type="dxa"/>
        <w:tblCellMar>
          <w:top w:w="0" w:type="dxa"/>
          <w:left w:w="0" w:type="dxa"/>
          <w:bottom w:w="0" w:type="dxa"/>
          <w:right w:w="0" w:type="dxa"/>
        </w:tblCellMar>
      </w:tblPr>
      <w:tr>
        <w:trPr>
          <w:trHeight w:val="297"/>
        </w:trPr>
        <w:tc>
          <w:tcPr>
            <w:tcW w:w="100" w:type="dxa"/>
            <w:vAlign w:val="bottom"/>
          </w:tcPr>
          <w:p>
            <w:pPr>
              <w:spacing w:after="0"/>
              <w:rPr>
                <w:sz w:val="24"/>
                <w:szCs w:val="24"/>
                <w:color w:val="auto"/>
              </w:rPr>
            </w:pPr>
          </w:p>
        </w:tc>
        <w:tc>
          <w:tcPr>
            <w:tcW w:w="8180" w:type="dxa"/>
            <w:vAlign w:val="bottom"/>
            <w:gridSpan w:val="5"/>
          </w:tcPr>
          <w:p>
            <w:pPr>
              <w:spacing w:after="0"/>
              <w:rPr>
                <w:sz w:val="20"/>
                <w:szCs w:val="20"/>
                <w:color w:val="auto"/>
              </w:rPr>
            </w:pPr>
            <w:r>
              <w:rPr>
                <w:rFonts w:ascii="Arial" w:cs="Arial" w:eastAsia="Arial" w:hAnsi="Arial"/>
                <w:sz w:val="19"/>
                <w:szCs w:val="19"/>
                <w:color w:val="auto"/>
                <w:w w:val="90"/>
              </w:rPr>
              <w:t>new or revised financial accounting standards provided pursuant to Section 7(a)(2)(B) of the Securities Act.</w:t>
            </w:r>
          </w:p>
        </w:tc>
        <w:tc>
          <w:tcPr>
            <w:tcW w:w="2300" w:type="dxa"/>
            <w:vAlign w:val="bottom"/>
          </w:tcPr>
          <w:p>
            <w:pPr>
              <w:ind w:left="540"/>
              <w:spacing w:after="0" w:line="191" w:lineRule="exact"/>
              <w:rPr>
                <w:sz w:val="20"/>
                <w:szCs w:val="20"/>
                <w:color w:val="auto"/>
              </w:rPr>
            </w:pPr>
            <w:r>
              <w:rPr>
                <w:rFonts w:ascii="MS PGothic" w:cs="MS PGothic" w:eastAsia="MS PGothic" w:hAnsi="MS PGothic"/>
                <w:sz w:val="19"/>
                <w:szCs w:val="19"/>
                <w:color w:val="auto"/>
              </w:rPr>
              <w:t>☐</w:t>
            </w: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6"/>
        </w:trPr>
        <w:tc>
          <w:tcPr>
            <w:tcW w:w="1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100" w:type="dxa"/>
            <w:vAlign w:val="bottom"/>
            <w:gridSpan w:val="3"/>
          </w:tcPr>
          <w:p>
            <w:pPr>
              <w:ind w:left="120"/>
              <w:spacing w:after="0"/>
              <w:rPr>
                <w:sz w:val="20"/>
                <w:szCs w:val="20"/>
                <w:color w:val="auto"/>
              </w:rPr>
            </w:pPr>
            <w:r>
              <w:rPr>
                <w:rFonts w:ascii="Arial" w:cs="Arial" w:eastAsia="Arial" w:hAnsi="Arial"/>
                <w:sz w:val="16"/>
                <w:szCs w:val="16"/>
                <w:b w:val="1"/>
                <w:bCs w:val="1"/>
                <w:color w:val="auto"/>
              </w:rPr>
              <w:t>CALCULATION OF REGISTRATION FEE</w:t>
            </w:r>
          </w:p>
        </w:tc>
        <w:tc>
          <w:tcPr>
            <w:tcW w:w="2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31"/>
        </w:trPr>
        <w:tc>
          <w:tcPr>
            <w:tcW w:w="100" w:type="dxa"/>
            <w:vAlign w:val="bottom"/>
            <w:tcBorders>
              <w:bottom w:val="single" w:sz="8" w:color="auto"/>
            </w:tcBorders>
          </w:tcPr>
          <w:p>
            <w:pPr>
              <w:spacing w:after="0"/>
              <w:rPr>
                <w:sz w:val="11"/>
                <w:szCs w:val="11"/>
                <w:color w:val="auto"/>
              </w:rPr>
            </w:pPr>
          </w:p>
        </w:tc>
        <w:tc>
          <w:tcPr>
            <w:tcW w:w="234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30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3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r>
      <w:tr>
        <w:trPr>
          <w:trHeight w:val="164"/>
        </w:trPr>
        <w:tc>
          <w:tcPr>
            <w:tcW w:w="100" w:type="dxa"/>
            <w:vAlign w:val="bottom"/>
          </w:tcPr>
          <w:p>
            <w:pPr>
              <w:spacing w:after="0"/>
              <w:rPr>
                <w:sz w:val="14"/>
                <w:szCs w:val="14"/>
                <w:color w:val="auto"/>
              </w:rPr>
            </w:pPr>
          </w:p>
        </w:tc>
        <w:tc>
          <w:tcPr>
            <w:tcW w:w="2340" w:type="dxa"/>
            <w:vAlign w:val="bottom"/>
            <w:tcBorders>
              <w:right w:val="single" w:sz="8" w:color="auto"/>
            </w:tcBorders>
          </w:tcPr>
          <w:p>
            <w:pPr>
              <w:jc w:val="center"/>
              <w:ind w:right="257"/>
              <w:spacing w:after="0" w:line="165" w:lineRule="exact"/>
              <w:rPr>
                <w:sz w:val="20"/>
                <w:szCs w:val="20"/>
                <w:color w:val="auto"/>
              </w:rPr>
            </w:pPr>
            <w:r>
              <w:rPr>
                <w:rFonts w:ascii="Arial" w:cs="Arial" w:eastAsia="Arial" w:hAnsi="Arial"/>
                <w:sz w:val="16"/>
                <w:szCs w:val="16"/>
                <w:b w:val="1"/>
                <w:bCs w:val="1"/>
                <w:color w:val="auto"/>
                <w:w w:val="88"/>
              </w:rPr>
              <w:t>Title of securities</w:t>
            </w:r>
          </w:p>
        </w:tc>
        <w:tc>
          <w:tcPr>
            <w:tcW w:w="1740" w:type="dxa"/>
            <w:vAlign w:val="bottom"/>
          </w:tcPr>
          <w:p>
            <w:pPr>
              <w:jc w:val="center"/>
              <w:ind w:left="341"/>
              <w:spacing w:after="0" w:line="165" w:lineRule="exact"/>
              <w:rPr>
                <w:sz w:val="20"/>
                <w:szCs w:val="20"/>
                <w:color w:val="auto"/>
              </w:rPr>
            </w:pPr>
            <w:r>
              <w:rPr>
                <w:rFonts w:ascii="Arial" w:cs="Arial" w:eastAsia="Arial" w:hAnsi="Arial"/>
                <w:sz w:val="16"/>
                <w:szCs w:val="16"/>
                <w:b w:val="1"/>
                <w:bCs w:val="1"/>
                <w:color w:val="auto"/>
                <w:w w:val="89"/>
              </w:rPr>
              <w:t>Amount to be</w:t>
            </w:r>
          </w:p>
        </w:tc>
        <w:tc>
          <w:tcPr>
            <w:tcW w:w="460" w:type="dxa"/>
            <w:vAlign w:val="bottom"/>
            <w:tcBorders>
              <w:right w:val="single" w:sz="8" w:color="auto"/>
            </w:tcBorders>
          </w:tcPr>
          <w:p>
            <w:pPr>
              <w:spacing w:after="0"/>
              <w:rPr>
                <w:sz w:val="14"/>
                <w:szCs w:val="14"/>
                <w:color w:val="auto"/>
              </w:rPr>
            </w:pPr>
          </w:p>
        </w:tc>
        <w:tc>
          <w:tcPr>
            <w:tcW w:w="3080" w:type="dxa"/>
            <w:vAlign w:val="bottom"/>
            <w:tcBorders>
              <w:right w:val="single" w:sz="8" w:color="auto"/>
            </w:tcBorders>
          </w:tcPr>
          <w:p>
            <w:pPr>
              <w:ind w:left="40"/>
              <w:spacing w:after="0" w:line="165" w:lineRule="exact"/>
              <w:rPr>
                <w:sz w:val="20"/>
                <w:szCs w:val="20"/>
                <w:color w:val="auto"/>
              </w:rPr>
            </w:pPr>
            <w:r>
              <w:rPr>
                <w:rFonts w:ascii="Arial" w:cs="Arial" w:eastAsia="Arial" w:hAnsi="Arial"/>
                <w:sz w:val="16"/>
                <w:szCs w:val="16"/>
                <w:b w:val="1"/>
                <w:bCs w:val="1"/>
                <w:color w:val="auto"/>
                <w:w w:val="89"/>
              </w:rPr>
              <w:t>Proposed maximum offering price per share</w:t>
            </w:r>
          </w:p>
        </w:tc>
        <w:tc>
          <w:tcPr>
            <w:tcW w:w="560" w:type="dxa"/>
            <w:vAlign w:val="bottom"/>
          </w:tcPr>
          <w:p>
            <w:pPr>
              <w:spacing w:after="0"/>
              <w:rPr>
                <w:sz w:val="14"/>
                <w:szCs w:val="14"/>
                <w:color w:val="auto"/>
              </w:rPr>
            </w:pPr>
          </w:p>
        </w:tc>
        <w:tc>
          <w:tcPr>
            <w:tcW w:w="2300" w:type="dxa"/>
            <w:vAlign w:val="bottom"/>
            <w:tcBorders>
              <w:right w:val="single" w:sz="8" w:color="auto"/>
            </w:tcBorders>
          </w:tcPr>
          <w:p>
            <w:pPr>
              <w:jc w:val="center"/>
              <w:ind w:right="517"/>
              <w:spacing w:after="0" w:line="165" w:lineRule="exact"/>
              <w:rPr>
                <w:sz w:val="20"/>
                <w:szCs w:val="20"/>
                <w:color w:val="auto"/>
              </w:rPr>
            </w:pPr>
            <w:r>
              <w:rPr>
                <w:rFonts w:ascii="Arial" w:cs="Arial" w:eastAsia="Arial" w:hAnsi="Arial"/>
                <w:sz w:val="16"/>
                <w:szCs w:val="16"/>
                <w:b w:val="1"/>
                <w:bCs w:val="1"/>
                <w:color w:val="auto"/>
                <w:w w:val="87"/>
              </w:rPr>
              <w:t>Proposed maximum</w:t>
            </w:r>
          </w:p>
        </w:tc>
        <w:tc>
          <w:tcPr>
            <w:tcW w:w="1040" w:type="dxa"/>
            <w:vAlign w:val="bottom"/>
            <w:gridSpan w:val="2"/>
          </w:tcPr>
          <w:p>
            <w:pPr>
              <w:jc w:val="center"/>
              <w:ind w:left="81"/>
              <w:spacing w:after="0" w:line="165" w:lineRule="exact"/>
              <w:rPr>
                <w:sz w:val="20"/>
                <w:szCs w:val="20"/>
                <w:color w:val="auto"/>
              </w:rPr>
            </w:pPr>
            <w:r>
              <w:rPr>
                <w:rFonts w:ascii="Arial" w:cs="Arial" w:eastAsia="Arial" w:hAnsi="Arial"/>
                <w:sz w:val="16"/>
                <w:szCs w:val="16"/>
                <w:b w:val="1"/>
                <w:bCs w:val="1"/>
                <w:color w:val="auto"/>
                <w:w w:val="89"/>
              </w:rPr>
              <w:t>Amount of</w:t>
            </w:r>
          </w:p>
        </w:tc>
      </w:tr>
      <w:tr>
        <w:trPr>
          <w:trHeight w:val="205"/>
        </w:trPr>
        <w:tc>
          <w:tcPr>
            <w:tcW w:w="100" w:type="dxa"/>
            <w:vAlign w:val="bottom"/>
            <w:tcBorders>
              <w:bottom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ind w:right="257"/>
              <w:spacing w:after="0"/>
              <w:rPr>
                <w:sz w:val="20"/>
                <w:szCs w:val="20"/>
                <w:color w:val="auto"/>
              </w:rPr>
            </w:pPr>
            <w:r>
              <w:rPr>
                <w:rFonts w:ascii="Arial" w:cs="Arial" w:eastAsia="Arial" w:hAnsi="Arial"/>
                <w:sz w:val="16"/>
                <w:szCs w:val="16"/>
                <w:b w:val="1"/>
                <w:bCs w:val="1"/>
                <w:color w:val="auto"/>
                <w:w w:val="86"/>
              </w:rPr>
              <w:t>to be registered</w:t>
            </w:r>
          </w:p>
        </w:tc>
        <w:tc>
          <w:tcPr>
            <w:tcW w:w="1740" w:type="dxa"/>
            <w:vAlign w:val="bottom"/>
            <w:tcBorders>
              <w:bottom w:val="single" w:sz="8" w:color="auto"/>
            </w:tcBorders>
          </w:tcPr>
          <w:p>
            <w:pPr>
              <w:jc w:val="center"/>
              <w:ind w:left="361"/>
              <w:spacing w:after="0"/>
              <w:rPr>
                <w:sz w:val="20"/>
                <w:szCs w:val="20"/>
                <w:color w:val="auto"/>
              </w:rPr>
            </w:pPr>
            <w:r>
              <w:rPr>
                <w:rFonts w:ascii="Arial" w:cs="Arial" w:eastAsia="Arial" w:hAnsi="Arial"/>
                <w:sz w:val="16"/>
                <w:szCs w:val="16"/>
                <w:b w:val="1"/>
                <w:bCs w:val="1"/>
                <w:color w:val="auto"/>
                <w:w w:val="88"/>
              </w:rPr>
              <w:t>registered (1)</w:t>
            </w:r>
          </w:p>
        </w:tc>
        <w:tc>
          <w:tcPr>
            <w:tcW w:w="460" w:type="dxa"/>
            <w:vAlign w:val="bottom"/>
            <w:tcBorders>
              <w:bottom w:val="single" w:sz="8" w:color="auto"/>
              <w:right w:val="single" w:sz="8" w:color="auto"/>
            </w:tcBorders>
          </w:tcPr>
          <w:p>
            <w:pPr>
              <w:spacing w:after="0"/>
              <w:rPr>
                <w:sz w:val="17"/>
                <w:szCs w:val="17"/>
                <w:color w:val="auto"/>
              </w:rPr>
            </w:pPr>
          </w:p>
        </w:tc>
        <w:tc>
          <w:tcPr>
            <w:tcW w:w="3080" w:type="dxa"/>
            <w:vAlign w:val="bottom"/>
            <w:tcBorders>
              <w:bottom w:val="single" w:sz="8" w:color="auto"/>
              <w:right w:val="single" w:sz="8" w:color="auto"/>
            </w:tcBorders>
          </w:tcPr>
          <w:p>
            <w:pPr>
              <w:jc w:val="right"/>
              <w:ind w:right="1381"/>
              <w:spacing w:after="0"/>
              <w:rPr>
                <w:sz w:val="20"/>
                <w:szCs w:val="20"/>
                <w:color w:val="auto"/>
              </w:rPr>
            </w:pPr>
            <w:r>
              <w:rPr>
                <w:rFonts w:ascii="Arial" w:cs="Arial" w:eastAsia="Arial" w:hAnsi="Arial"/>
                <w:sz w:val="16"/>
                <w:szCs w:val="16"/>
                <w:b w:val="1"/>
                <w:bCs w:val="1"/>
                <w:color w:val="auto"/>
              </w:rPr>
              <w:t>(2)</w:t>
            </w:r>
          </w:p>
        </w:tc>
        <w:tc>
          <w:tcPr>
            <w:tcW w:w="560" w:type="dxa"/>
            <w:vAlign w:val="bottom"/>
            <w:tcBorders>
              <w:bottom w:val="single" w:sz="8" w:color="auto"/>
            </w:tcBorders>
          </w:tcPr>
          <w:p>
            <w:pPr>
              <w:spacing w:after="0"/>
              <w:rPr>
                <w:sz w:val="17"/>
                <w:szCs w:val="17"/>
                <w:color w:val="auto"/>
              </w:rPr>
            </w:pPr>
          </w:p>
        </w:tc>
        <w:tc>
          <w:tcPr>
            <w:tcW w:w="2300" w:type="dxa"/>
            <w:vAlign w:val="bottom"/>
            <w:tcBorders>
              <w:bottom w:val="single" w:sz="8" w:color="auto"/>
              <w:right w:val="single" w:sz="8" w:color="auto"/>
            </w:tcBorders>
          </w:tcPr>
          <w:p>
            <w:pPr>
              <w:jc w:val="center"/>
              <w:ind w:right="517"/>
              <w:spacing w:after="0"/>
              <w:rPr>
                <w:sz w:val="20"/>
                <w:szCs w:val="20"/>
                <w:color w:val="auto"/>
              </w:rPr>
            </w:pPr>
            <w:r>
              <w:rPr>
                <w:rFonts w:ascii="Arial" w:cs="Arial" w:eastAsia="Arial" w:hAnsi="Arial"/>
                <w:sz w:val="16"/>
                <w:szCs w:val="16"/>
                <w:b w:val="1"/>
                <w:bCs w:val="1"/>
                <w:color w:val="auto"/>
                <w:w w:val="88"/>
              </w:rPr>
              <w:t>aggregate offering price</w:t>
            </w:r>
          </w:p>
        </w:tc>
        <w:tc>
          <w:tcPr>
            <w:tcW w:w="104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w w:val="86"/>
              </w:rPr>
              <w:t>registration fe</w:t>
            </w:r>
          </w:p>
        </w:tc>
      </w:tr>
      <w:tr>
        <w:trPr>
          <w:trHeight w:val="169"/>
        </w:trPr>
        <w:tc>
          <w:tcPr>
            <w:tcW w:w="2440" w:type="dxa"/>
            <w:vAlign w:val="bottom"/>
            <w:tcBorders>
              <w:right w:val="single" w:sz="8" w:color="auto"/>
            </w:tcBorders>
            <w:gridSpan w:val="2"/>
          </w:tcPr>
          <w:p>
            <w:pPr>
              <w:jc w:val="center"/>
              <w:ind w:right="117"/>
              <w:spacing w:after="0" w:line="169" w:lineRule="exact"/>
              <w:rPr>
                <w:sz w:val="20"/>
                <w:szCs w:val="20"/>
                <w:color w:val="auto"/>
              </w:rPr>
            </w:pPr>
            <w:r>
              <w:rPr>
                <w:rFonts w:ascii="Arial" w:cs="Arial" w:eastAsia="Arial" w:hAnsi="Arial"/>
                <w:sz w:val="16"/>
                <w:szCs w:val="16"/>
                <w:color w:val="auto"/>
                <w:w w:val="87"/>
              </w:rPr>
              <w:t>Common Stock, $0.01 par value per</w:t>
            </w:r>
          </w:p>
        </w:tc>
        <w:tc>
          <w:tcPr>
            <w:tcW w:w="1740" w:type="dxa"/>
            <w:vAlign w:val="bottom"/>
          </w:tcPr>
          <w:p>
            <w:pPr>
              <w:spacing w:after="0"/>
              <w:rPr>
                <w:sz w:val="14"/>
                <w:szCs w:val="14"/>
                <w:color w:val="auto"/>
              </w:rPr>
            </w:pPr>
          </w:p>
        </w:tc>
        <w:tc>
          <w:tcPr>
            <w:tcW w:w="460" w:type="dxa"/>
            <w:vAlign w:val="bottom"/>
            <w:tcBorders>
              <w:right w:val="single" w:sz="8" w:color="auto"/>
            </w:tcBorders>
          </w:tcPr>
          <w:p>
            <w:pPr>
              <w:spacing w:after="0"/>
              <w:rPr>
                <w:sz w:val="14"/>
                <w:szCs w:val="14"/>
                <w:color w:val="auto"/>
              </w:rPr>
            </w:pPr>
          </w:p>
        </w:tc>
        <w:tc>
          <w:tcPr>
            <w:tcW w:w="3080" w:type="dxa"/>
            <w:vAlign w:val="bottom"/>
            <w:tcBorders>
              <w:right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2300" w:type="dxa"/>
            <w:vAlign w:val="bottom"/>
            <w:tcBorders>
              <w:right w:val="single" w:sz="8" w:color="auto"/>
            </w:tcBorders>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1"/>
        </w:trPr>
        <w:tc>
          <w:tcPr>
            <w:tcW w:w="100" w:type="dxa"/>
            <w:vAlign w:val="bottom"/>
            <w:tcBorders>
              <w:bottom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ind w:right="237"/>
              <w:spacing w:after="0"/>
              <w:rPr>
                <w:sz w:val="20"/>
                <w:szCs w:val="20"/>
                <w:color w:val="auto"/>
              </w:rPr>
            </w:pPr>
            <w:r>
              <w:rPr>
                <w:rFonts w:ascii="Arial" w:cs="Arial" w:eastAsia="Arial" w:hAnsi="Arial"/>
                <w:sz w:val="16"/>
                <w:szCs w:val="16"/>
                <w:color w:val="auto"/>
                <w:w w:val="84"/>
              </w:rPr>
              <w:t>share</w:t>
            </w:r>
          </w:p>
        </w:tc>
        <w:tc>
          <w:tcPr>
            <w:tcW w:w="1740" w:type="dxa"/>
            <w:vAlign w:val="bottom"/>
            <w:tcBorders>
              <w:bottom w:val="single" w:sz="8" w:color="auto"/>
            </w:tcBorders>
          </w:tcPr>
          <w:p>
            <w:pPr>
              <w:jc w:val="center"/>
              <w:ind w:left="361"/>
              <w:spacing w:after="0"/>
              <w:rPr>
                <w:sz w:val="20"/>
                <w:szCs w:val="20"/>
                <w:color w:val="auto"/>
              </w:rPr>
            </w:pPr>
            <w:r>
              <w:rPr>
                <w:rFonts w:ascii="Arial" w:cs="Arial" w:eastAsia="Arial" w:hAnsi="Arial"/>
                <w:sz w:val="16"/>
                <w:szCs w:val="16"/>
                <w:color w:val="auto"/>
                <w:w w:val="85"/>
              </w:rPr>
              <w:t>2,800,000 shares</w:t>
            </w:r>
          </w:p>
        </w:tc>
        <w:tc>
          <w:tcPr>
            <w:tcW w:w="460" w:type="dxa"/>
            <w:vAlign w:val="bottom"/>
            <w:tcBorders>
              <w:bottom w:val="single" w:sz="8" w:color="auto"/>
              <w:right w:val="single" w:sz="8" w:color="auto"/>
            </w:tcBorders>
          </w:tcPr>
          <w:p>
            <w:pPr>
              <w:spacing w:after="0"/>
              <w:rPr>
                <w:sz w:val="17"/>
                <w:szCs w:val="17"/>
                <w:color w:val="auto"/>
              </w:rPr>
            </w:pPr>
          </w:p>
        </w:tc>
        <w:tc>
          <w:tcPr>
            <w:tcW w:w="3080" w:type="dxa"/>
            <w:vAlign w:val="bottom"/>
            <w:tcBorders>
              <w:bottom w:val="single" w:sz="8" w:color="auto"/>
              <w:right w:val="single" w:sz="8" w:color="auto"/>
            </w:tcBorders>
          </w:tcPr>
          <w:p>
            <w:pPr>
              <w:jc w:val="right"/>
              <w:ind w:right="1301"/>
              <w:spacing w:after="0"/>
              <w:rPr>
                <w:sz w:val="20"/>
                <w:szCs w:val="20"/>
                <w:color w:val="auto"/>
              </w:rPr>
            </w:pPr>
            <w:r>
              <w:rPr>
                <w:rFonts w:ascii="Arial" w:cs="Arial" w:eastAsia="Arial" w:hAnsi="Arial"/>
                <w:sz w:val="16"/>
                <w:szCs w:val="16"/>
                <w:color w:val="auto"/>
              </w:rPr>
              <w:t>$1.65</w:t>
            </w:r>
          </w:p>
        </w:tc>
        <w:tc>
          <w:tcPr>
            <w:tcW w:w="560" w:type="dxa"/>
            <w:vAlign w:val="bottom"/>
            <w:tcBorders>
              <w:bottom w:val="single" w:sz="8" w:color="auto"/>
            </w:tcBorders>
          </w:tcPr>
          <w:p>
            <w:pPr>
              <w:spacing w:after="0"/>
              <w:rPr>
                <w:sz w:val="17"/>
                <w:szCs w:val="17"/>
                <w:color w:val="auto"/>
              </w:rPr>
            </w:pPr>
          </w:p>
        </w:tc>
        <w:tc>
          <w:tcPr>
            <w:tcW w:w="2300" w:type="dxa"/>
            <w:vAlign w:val="bottom"/>
            <w:tcBorders>
              <w:bottom w:val="single" w:sz="8" w:color="auto"/>
              <w:right w:val="single" w:sz="8" w:color="auto"/>
            </w:tcBorders>
          </w:tcPr>
          <w:p>
            <w:pPr>
              <w:jc w:val="center"/>
              <w:ind w:right="517"/>
              <w:spacing w:after="0"/>
              <w:rPr>
                <w:sz w:val="20"/>
                <w:szCs w:val="20"/>
                <w:color w:val="auto"/>
              </w:rPr>
            </w:pPr>
            <w:r>
              <w:rPr>
                <w:rFonts w:ascii="Arial" w:cs="Arial" w:eastAsia="Arial" w:hAnsi="Arial"/>
                <w:sz w:val="16"/>
                <w:szCs w:val="16"/>
                <w:color w:val="auto"/>
                <w:w w:val="87"/>
              </w:rPr>
              <w:t>$4,620,000</w:t>
            </w: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$559.94</w:t>
            </w:r>
          </w:p>
        </w:tc>
        <w:tc>
          <w:tcPr>
            <w:tcW w:w="60" w:type="dxa"/>
            <w:vAlign w:val="bottom"/>
            <w:tcBorders>
              <w:bottom w:val="single" w:sz="8" w:color="auto"/>
            </w:tcBorders>
          </w:tcPr>
          <w:p>
            <w:pPr>
              <w:spacing w:after="0"/>
              <w:rPr>
                <w:sz w:val="17"/>
                <w:szCs w:val="17"/>
                <w:color w:val="auto"/>
              </w:rPr>
            </w:pPr>
          </w:p>
        </w:tc>
      </w:tr>
      <w:tr>
        <w:trPr>
          <w:trHeight w:val="221"/>
        </w:trPr>
        <w:tc>
          <w:tcPr>
            <w:tcW w:w="100" w:type="dxa"/>
            <w:vAlign w:val="bottom"/>
          </w:tcPr>
          <w:p>
            <w:pPr>
              <w:spacing w:after="0"/>
              <w:rPr>
                <w:sz w:val="19"/>
                <w:szCs w:val="19"/>
                <w:color w:val="auto"/>
              </w:rPr>
            </w:pPr>
          </w:p>
        </w:tc>
        <w:tc>
          <w:tcPr>
            <w:tcW w:w="2340" w:type="dxa"/>
            <w:vAlign w:val="bottom"/>
            <w:tcBorders>
              <w:bottom w:val="single" w:sz="8" w:color="9A9A9A"/>
            </w:tcBorders>
          </w:tcPr>
          <w:p>
            <w:pPr>
              <w:spacing w:after="0"/>
              <w:rPr>
                <w:sz w:val="19"/>
                <w:szCs w:val="19"/>
                <w:color w:val="auto"/>
              </w:rPr>
            </w:pPr>
          </w:p>
        </w:tc>
        <w:tc>
          <w:tcPr>
            <w:tcW w:w="1740" w:type="dxa"/>
            <w:vAlign w:val="bottom"/>
            <w:tcBorders>
              <w:bottom w:val="single" w:sz="8" w:color="9A9A9A"/>
            </w:tcBorders>
          </w:tcPr>
          <w:p>
            <w:pPr>
              <w:spacing w:after="0"/>
              <w:rPr>
                <w:sz w:val="19"/>
                <w:szCs w:val="19"/>
                <w:color w:val="auto"/>
              </w:rPr>
            </w:pPr>
          </w:p>
        </w:tc>
        <w:tc>
          <w:tcPr>
            <w:tcW w:w="460" w:type="dxa"/>
            <w:vAlign w:val="bottom"/>
            <w:tcBorders>
              <w:bottom w:val="single" w:sz="8" w:color="9A9A9A"/>
            </w:tcBorders>
          </w:tcPr>
          <w:p>
            <w:pPr>
              <w:spacing w:after="0"/>
              <w:rPr>
                <w:sz w:val="19"/>
                <w:szCs w:val="19"/>
                <w:color w:val="auto"/>
              </w:rPr>
            </w:pPr>
          </w:p>
        </w:tc>
        <w:tc>
          <w:tcPr>
            <w:tcW w:w="3080" w:type="dxa"/>
            <w:vAlign w:val="bottom"/>
            <w:tcBorders>
              <w:bottom w:val="single" w:sz="8" w:color="9A9A9A"/>
            </w:tcBorders>
          </w:tcPr>
          <w:p>
            <w:pPr>
              <w:spacing w:after="0"/>
              <w:rPr>
                <w:sz w:val="19"/>
                <w:szCs w:val="19"/>
                <w:color w:val="auto"/>
              </w:rPr>
            </w:pPr>
          </w:p>
        </w:tc>
        <w:tc>
          <w:tcPr>
            <w:tcW w:w="560" w:type="dxa"/>
            <w:vAlign w:val="bottom"/>
            <w:tcBorders>
              <w:bottom w:val="single" w:sz="8" w:color="9A9A9A"/>
            </w:tcBorders>
          </w:tcPr>
          <w:p>
            <w:pPr>
              <w:spacing w:after="0"/>
              <w:rPr>
                <w:sz w:val="19"/>
                <w:szCs w:val="19"/>
                <w:color w:val="auto"/>
              </w:rPr>
            </w:pPr>
          </w:p>
        </w:tc>
        <w:tc>
          <w:tcPr>
            <w:tcW w:w="2300" w:type="dxa"/>
            <w:vAlign w:val="bottom"/>
            <w:tcBorders>
              <w:bottom w:val="single" w:sz="8" w:color="9A9A9A"/>
            </w:tcBorders>
          </w:tcPr>
          <w:p>
            <w:pPr>
              <w:spacing w:after="0"/>
              <w:rPr>
                <w:sz w:val="19"/>
                <w:szCs w:val="19"/>
                <w:color w:val="auto"/>
              </w:rPr>
            </w:pPr>
          </w:p>
        </w:tc>
        <w:tc>
          <w:tcPr>
            <w:tcW w:w="980" w:type="dxa"/>
            <w:vAlign w:val="bottom"/>
            <w:tcBorders>
              <w:bottom w:val="single" w:sz="8" w:color="9A9A9A"/>
            </w:tcBorders>
          </w:tcPr>
          <w:p>
            <w:pPr>
              <w:spacing w:after="0"/>
              <w:rPr>
                <w:sz w:val="19"/>
                <w:szCs w:val="19"/>
                <w:color w:val="auto"/>
              </w:rPr>
            </w:pPr>
          </w:p>
        </w:tc>
        <w:tc>
          <w:tcPr>
            <w:tcW w:w="6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7318375</wp:posOffset>
            </wp:positionH>
            <wp:positionV relativeFrom="paragraph">
              <wp:posOffset>-27305</wp:posOffset>
            </wp:positionV>
            <wp:extent cx="33020" cy="40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-27305</wp:posOffset>
            </wp:positionV>
            <wp:extent cx="33020"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620"/>
          </w:cols>
          <w:pgMar w:left="140" w:top="217" w:right="139" w:bottom="1440" w:gutter="0" w:footer="0" w:header="0"/>
        </w:sectPr>
      </w:pPr>
    </w:p>
    <w:bookmarkStart w:id="1" w:name="page2"/>
    <w:bookmarkEnd w:id="1"/>
    <w:p>
      <w:pPr>
        <w:ind w:left="5" w:hanging="5"/>
        <w:spacing w:after="0" w:line="239" w:lineRule="auto"/>
        <w:tabs>
          <w:tab w:leader="none" w:pos="226" w:val="left"/>
        </w:tabs>
        <w:numPr>
          <w:ilvl w:val="0"/>
          <w:numId w:val="1"/>
        </w:numPr>
        <w:rPr>
          <w:rFonts w:ascii="Arial" w:cs="Arial" w:eastAsia="Arial" w:hAnsi="Arial"/>
          <w:sz w:val="13"/>
          <w:szCs w:val="13"/>
          <w:color w:val="auto"/>
        </w:rPr>
      </w:pPr>
      <w:r>
        <w:rPr>
          <w:rFonts w:ascii="Arial" w:cs="Arial" w:eastAsia="Arial" w:hAnsi="Arial"/>
          <w:sz w:val="13"/>
          <w:szCs w:val="13"/>
          <w:color w:val="auto"/>
        </w:rPr>
        <w:t>This Registration Statement covers (i) 2,800,000 shares of Common Stock which may be issued from time to time pursuant to the Destination XL Group, Inc. 2016 Incentive Compensation Plan, as amended (the “2016 Plan”). In addition, pursuant to Rule 416(c) under the Securities Act of 1933, as amended (the “Securities Act”), this Registration Statement covers any additional shares of Common Stock that become issuable under the 2016 Plan by reason of any stock dividend, stock split, recapitalization, or any other similar transaction without receipt of consideration that results in an increase in the number of outstanding shares of Common Stock.</w:t>
      </w:r>
    </w:p>
    <w:p>
      <w:pPr>
        <w:spacing w:after="0" w:line="112" w:lineRule="exact"/>
        <w:rPr>
          <w:rFonts w:ascii="Arial" w:cs="Arial" w:eastAsia="Arial" w:hAnsi="Arial"/>
          <w:sz w:val="13"/>
          <w:szCs w:val="13"/>
          <w:color w:val="auto"/>
        </w:rPr>
      </w:pPr>
    </w:p>
    <w:p>
      <w:pPr>
        <w:ind w:left="5" w:right="60" w:hanging="5"/>
        <w:spacing w:after="0" w:line="262" w:lineRule="auto"/>
        <w:tabs>
          <w:tab w:leader="none" w:pos="228"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calculating the registration fee in accordance with Rule 457(c) and 457(h) of the Securities Act. The price per share and aggregate offering price are calculated on the basis of the average of the high and low prices of the Common Stock on the Nasdaq Global Select Market on August 23,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163830</wp:posOffset>
            </wp:positionV>
            <wp:extent cx="7304405"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385"/>
          </w:cols>
          <w:pgMar w:left="235" w:top="128" w:right="27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6"/>
          <w:szCs w:val="16"/>
          <w:b w:val="1"/>
          <w:bCs w:val="1"/>
          <w:color w:val="auto"/>
        </w:rPr>
        <w:t>REGISTRATION OF ADDITIONAL SECURITIES</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PURSUANT TO GENERAL INSTRUCTION E</w:t>
      </w:r>
    </w:p>
    <w:p>
      <w:pPr>
        <w:spacing w:after="0" w:line="183" w:lineRule="exact"/>
        <w:rPr>
          <w:sz w:val="20"/>
          <w:szCs w:val="20"/>
          <w:color w:val="auto"/>
        </w:rPr>
      </w:pPr>
    </w:p>
    <w:p>
      <w:pPr>
        <w:jc w:val="both"/>
        <w:ind w:right="20" w:firstLine="837"/>
        <w:spacing w:after="0" w:line="282" w:lineRule="auto"/>
        <w:rPr>
          <w:sz w:val="20"/>
          <w:szCs w:val="20"/>
          <w:color w:val="auto"/>
        </w:rPr>
      </w:pPr>
      <w:r>
        <w:rPr>
          <w:rFonts w:ascii="Arial" w:cs="Arial" w:eastAsia="Arial" w:hAnsi="Arial"/>
          <w:sz w:val="15"/>
          <w:szCs w:val="15"/>
          <w:color w:val="auto"/>
        </w:rPr>
        <w:t>This registration statement (“Registration Statement”) is being filed for the purpose of registering an additional 2,800,000 shares of the Registrant’s common stock reserved for issuance under the 2016 Plan. These additional shares are additional securities of the same class as other securities for which an original registration statement (File No. 333-213311) on Form S-8 was filed with the Securities and Exchange Commission (the “Commission”) on August 25, 2016.</w:t>
      </w:r>
    </w:p>
    <w:p>
      <w:pPr>
        <w:spacing w:after="0" w:line="148" w:lineRule="exact"/>
        <w:rPr>
          <w:sz w:val="20"/>
          <w:szCs w:val="20"/>
          <w:color w:val="auto"/>
        </w:rPr>
      </w:pPr>
    </w:p>
    <w:p>
      <w:pPr>
        <w:jc w:val="both"/>
        <w:ind w:right="40" w:firstLine="837"/>
        <w:spacing w:after="0" w:line="267" w:lineRule="auto"/>
        <w:rPr>
          <w:sz w:val="20"/>
          <w:szCs w:val="20"/>
          <w:color w:val="auto"/>
        </w:rPr>
      </w:pPr>
      <w:r>
        <w:rPr>
          <w:rFonts w:ascii="Arial" w:cs="Arial" w:eastAsia="Arial" w:hAnsi="Arial"/>
          <w:sz w:val="16"/>
          <w:szCs w:val="16"/>
          <w:color w:val="auto"/>
        </w:rPr>
        <w:t>Pursuant to General Instruction E to Form S-8, the contents of such earlier registration statement are incorporated by reference into this Registration Statement, the provisions contained in Part II of such earlier registration statements are modified as set forth in this Registration Statement.</w:t>
      </w:r>
    </w:p>
    <w:p>
      <w:pPr>
        <w:spacing w:after="0" w:line="14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PART II</w:t>
      </w:r>
    </w:p>
    <w:p>
      <w:pPr>
        <w:spacing w:after="0" w:line="218" w:lineRule="exact"/>
        <w:rPr>
          <w:sz w:val="20"/>
          <w:szCs w:val="20"/>
          <w:color w:val="auto"/>
        </w:rPr>
      </w:pPr>
    </w:p>
    <w:p>
      <w:pPr>
        <w:ind w:left="3260"/>
        <w:spacing w:after="0"/>
        <w:rPr>
          <w:sz w:val="20"/>
          <w:szCs w:val="20"/>
          <w:color w:val="auto"/>
        </w:rPr>
      </w:pPr>
      <w:r>
        <w:rPr>
          <w:rFonts w:ascii="Arial" w:cs="Arial" w:eastAsia="Arial" w:hAnsi="Arial"/>
          <w:sz w:val="16"/>
          <w:szCs w:val="16"/>
          <w:b w:val="1"/>
          <w:bCs w:val="1"/>
          <w:color w:val="auto"/>
        </w:rPr>
        <w:t>INFORMATION REQUIRED IN THE REGISTRATION STATEMENT</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Incorporation of Documents by Reference.</w:t>
      </w:r>
    </w:p>
    <w:p>
      <w:pPr>
        <w:spacing w:after="0" w:line="222" w:lineRule="exact"/>
        <w:rPr>
          <w:sz w:val="20"/>
          <w:szCs w:val="20"/>
          <w:color w:val="auto"/>
        </w:rPr>
      </w:pPr>
    </w:p>
    <w:p>
      <w:pPr>
        <w:ind w:right="60" w:firstLine="419"/>
        <w:spacing w:after="0" w:line="257" w:lineRule="auto"/>
        <w:rPr>
          <w:sz w:val="20"/>
          <w:szCs w:val="20"/>
          <w:color w:val="auto"/>
        </w:rPr>
      </w:pPr>
      <w:r>
        <w:rPr>
          <w:rFonts w:ascii="Arial" w:cs="Arial" w:eastAsia="Arial" w:hAnsi="Arial"/>
          <w:sz w:val="16"/>
          <w:szCs w:val="16"/>
          <w:color w:val="auto"/>
        </w:rPr>
        <w:t>The Registrant is subject to the informational and reporting requirements of Sections 13(a), 14, and 15(d) of the Securities Exchange Act of 1934, as amended (the “Exchange Act”), and in accordance therewith files reports, proxy statements and other information with the Commission. The following documents, which are on file with the Commission, are incorporated by reference in this Registration Statement:</w:t>
      </w:r>
    </w:p>
    <w:p>
      <w:pPr>
        <w:spacing w:after="0" w:line="165" w:lineRule="exact"/>
        <w:rPr>
          <w:sz w:val="20"/>
          <w:szCs w:val="20"/>
          <w:color w:val="auto"/>
        </w:rPr>
      </w:pPr>
    </w:p>
    <w:p>
      <w:pPr>
        <w:ind w:left="820" w:hanging="412"/>
        <w:spacing w:after="0"/>
        <w:tabs>
          <w:tab w:leader="none" w:pos="820"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The Registrant’s Annual Report on </w:t>
      </w:r>
      <w:hyperlink r:id="rId11">
        <w:r>
          <w:rPr>
            <w:rFonts w:ascii="Arial" w:cs="Arial" w:eastAsia="Arial" w:hAnsi="Arial"/>
            <w:sz w:val="16"/>
            <w:szCs w:val="16"/>
            <w:u w:val="single" w:color="auto"/>
            <w:color w:val="0000EE"/>
          </w:rPr>
          <w:t>Form 10−K</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the fiscal year ended February 2, 2019, as amended;</w:t>
      </w:r>
    </w:p>
    <w:p>
      <w:pPr>
        <w:spacing w:after="0" w:line="194" w:lineRule="exact"/>
        <w:rPr>
          <w:rFonts w:ascii="Arial" w:cs="Arial" w:eastAsia="Arial" w:hAnsi="Arial"/>
          <w:sz w:val="16"/>
          <w:szCs w:val="16"/>
          <w:color w:val="auto"/>
        </w:rPr>
      </w:pPr>
    </w:p>
    <w:p>
      <w:pPr>
        <w:ind w:left="820" w:hanging="412"/>
        <w:spacing w:after="0"/>
        <w:tabs>
          <w:tab w:leader="none" w:pos="820" w:val="left"/>
        </w:tabs>
        <w:numPr>
          <w:ilvl w:val="0"/>
          <w:numId w:val="2"/>
        </w:numPr>
        <w:rPr>
          <w:rFonts w:ascii="Arial" w:cs="Arial" w:eastAsia="Arial" w:hAnsi="Arial"/>
          <w:sz w:val="14"/>
          <w:szCs w:val="14"/>
          <w:color w:val="auto"/>
        </w:rPr>
      </w:pPr>
      <w:r>
        <w:rPr>
          <w:rFonts w:ascii="Arial" w:cs="Arial" w:eastAsia="Arial" w:hAnsi="Arial"/>
          <w:sz w:val="14"/>
          <w:szCs w:val="14"/>
          <w:color w:val="auto"/>
        </w:rPr>
        <w:t>All other reports filed pursuant to Section 13(a) or 15(d) of the Exchange Act since the end of the fiscal year covered by the document referred to in (a) above; and</w:t>
      </w:r>
    </w:p>
    <w:p>
      <w:pPr>
        <w:spacing w:after="0" w:line="217" w:lineRule="exact"/>
        <w:rPr>
          <w:rFonts w:ascii="Arial" w:cs="Arial" w:eastAsia="Arial" w:hAnsi="Arial"/>
          <w:sz w:val="14"/>
          <w:szCs w:val="14"/>
          <w:color w:val="auto"/>
        </w:rPr>
      </w:pPr>
    </w:p>
    <w:p>
      <w:pPr>
        <w:ind w:left="820" w:right="140" w:hanging="412"/>
        <w:spacing w:after="0" w:line="267" w:lineRule="auto"/>
        <w:tabs>
          <w:tab w:leader="none" w:pos="820"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The description of the Registrant’s common stock contained in the Registrant’s Registration Statement on </w:t>
      </w:r>
      <w:hyperlink r:id="rId12">
        <w:r>
          <w:rPr>
            <w:rFonts w:ascii="Arial" w:cs="Arial" w:eastAsia="Arial" w:hAnsi="Arial"/>
            <w:sz w:val="16"/>
            <w:szCs w:val="16"/>
            <w:u w:val="single" w:color="auto"/>
            <w:color w:val="0000EE"/>
          </w:rPr>
          <w:t>Form 8−A/A</w:t>
        </w:r>
      </w:hyperlink>
      <w:r>
        <w:rPr>
          <w:rFonts w:ascii="Arial" w:cs="Arial" w:eastAsia="Arial" w:hAnsi="Arial"/>
          <w:sz w:val="16"/>
          <w:szCs w:val="16"/>
          <w:color w:val="auto"/>
        </w:rPr>
        <w:t>, filed on August 28, 2009, and all amendments and reports updating such description.</w:t>
      </w:r>
    </w:p>
    <w:p>
      <w:pPr>
        <w:spacing w:after="0" w:line="158" w:lineRule="exact"/>
        <w:rPr>
          <w:rFonts w:ascii="Arial" w:cs="Arial" w:eastAsia="Arial" w:hAnsi="Arial"/>
          <w:sz w:val="16"/>
          <w:szCs w:val="16"/>
          <w:color w:val="auto"/>
        </w:rPr>
      </w:pPr>
    </w:p>
    <w:p>
      <w:pPr>
        <w:ind w:right="400" w:firstLine="419"/>
        <w:spacing w:after="0" w:line="257" w:lineRule="auto"/>
        <w:rPr>
          <w:sz w:val="20"/>
          <w:szCs w:val="20"/>
          <w:color w:val="auto"/>
        </w:rPr>
      </w:pPr>
      <w:r>
        <w:rPr>
          <w:rFonts w:ascii="Arial" w:cs="Arial" w:eastAsia="Arial" w:hAnsi="Arial"/>
          <w:sz w:val="16"/>
          <w:szCs w:val="16"/>
          <w:color w:val="auto"/>
        </w:rPr>
        <w:t>In addition, all documents subsequently filed by the Registrant pursuant to Sections 13(a), 13(c), 14 and 15(d) of the Exchange Act, prior to the filing of a post−effective amendment which indicates that all securities offered hereby have been sold or which deregisters all securities then remaining unsold, shall be deemed to be incorporated by reference in this Registration Statement and to be part hereof from the date of the filing of such documents.</w:t>
      </w:r>
    </w:p>
    <w:p>
      <w:pPr>
        <w:spacing w:after="0" w:line="165" w:lineRule="exact"/>
        <w:rPr>
          <w:rFonts w:ascii="Arial" w:cs="Arial" w:eastAsia="Arial" w:hAnsi="Arial"/>
          <w:sz w:val="16"/>
          <w:szCs w:val="16"/>
          <w:color w:val="auto"/>
        </w:rPr>
      </w:pPr>
    </w:p>
    <w:p>
      <w:pPr>
        <w:jc w:val="both"/>
        <w:ind w:right="140" w:firstLine="419"/>
        <w:spacing w:after="0" w:line="253" w:lineRule="auto"/>
        <w:rPr>
          <w:sz w:val="20"/>
          <w:szCs w:val="20"/>
          <w:color w:val="auto"/>
        </w:rPr>
      </w:pPr>
      <w:r>
        <w:rPr>
          <w:rFonts w:ascii="Arial" w:cs="Arial" w:eastAsia="Arial" w:hAnsi="Arial"/>
          <w:sz w:val="16"/>
          <w:szCs w:val="16"/>
          <w:color w:val="auto"/>
        </w:rPr>
        <w:t>Any statement contained in a document incorporated or deemed to be incorporated by reference herein shall be deemed to be modified or superseded for the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spacing w:after="0" w:line="177" w:lineRule="exact"/>
        <w:rPr>
          <w:rFonts w:ascii="Arial" w:cs="Arial" w:eastAsia="Arial" w:hAnsi="Arial"/>
          <w:sz w:val="16"/>
          <w:szCs w:val="16"/>
          <w:color w:val="auto"/>
        </w:rPr>
      </w:pPr>
    </w:p>
    <w:tbl>
      <w:tblPr>
        <w:tblLayout w:type="fixed"/>
        <w:tblInd w:w="0" w:type="dxa"/>
        <w:tblCellMar>
          <w:top w:w="0" w:type="dxa"/>
          <w:left w:w="0" w:type="dxa"/>
          <w:bottom w:w="0" w:type="dxa"/>
          <w:right w:w="0" w:type="dxa"/>
        </w:tblCellMar>
      </w:tblPr>
      <w:tr>
        <w:trPr>
          <w:trHeight w:val="204"/>
        </w:trPr>
        <w:tc>
          <w:tcPr>
            <w:tcW w:w="1360" w:type="dxa"/>
            <w:vAlign w:val="bottom"/>
          </w:tcPr>
          <w:p>
            <w:pPr>
              <w:spacing w:after="0"/>
              <w:rPr>
                <w:sz w:val="20"/>
                <w:szCs w:val="20"/>
                <w:color w:val="auto"/>
              </w:rPr>
            </w:pPr>
            <w:r>
              <w:rPr>
                <w:rFonts w:ascii="Arial" w:cs="Arial" w:eastAsia="Arial" w:hAnsi="Arial"/>
                <w:sz w:val="16"/>
                <w:szCs w:val="16"/>
                <w:b w:val="1"/>
                <w:bCs w:val="1"/>
                <w:color w:val="auto"/>
              </w:rPr>
              <w:t>Item 8. Exhibits.</w:t>
            </w:r>
          </w:p>
        </w:tc>
        <w:tc>
          <w:tcPr>
            <w:tcW w:w="15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44"/>
        </w:trPr>
        <w:tc>
          <w:tcPr>
            <w:tcW w:w="1360" w:type="dxa"/>
            <w:vAlign w:val="bottom"/>
          </w:tcPr>
          <w:p>
            <w:pPr>
              <w:spacing w:after="0"/>
              <w:rPr>
                <w:sz w:val="20"/>
                <w:szCs w:val="20"/>
                <w:color w:val="auto"/>
              </w:rPr>
            </w:pPr>
            <w:r>
              <w:rPr>
                <w:rFonts w:ascii="Arial" w:cs="Arial" w:eastAsia="Arial" w:hAnsi="Arial"/>
                <w:sz w:val="16"/>
                <w:szCs w:val="16"/>
                <w:color w:val="auto"/>
              </w:rPr>
              <w:t>5.1</w:t>
            </w:r>
          </w:p>
        </w:tc>
        <w:tc>
          <w:tcPr>
            <w:tcW w:w="10100" w:type="dxa"/>
            <w:vAlign w:val="bottom"/>
            <w:gridSpan w:val="7"/>
          </w:tcPr>
          <w:p>
            <w:pPr>
              <w:spacing w:after="0"/>
              <w:rPr>
                <w:sz w:val="20"/>
                <w:szCs w:val="20"/>
                <w:color w:val="auto"/>
              </w:rPr>
            </w:pPr>
            <w:r>
              <w:rPr>
                <w:rFonts w:ascii="Arial" w:cs="Arial" w:eastAsia="Arial" w:hAnsi="Arial"/>
                <w:sz w:val="16"/>
                <w:szCs w:val="16"/>
                <w:color w:val="0000EE"/>
              </w:rPr>
              <w:t>Opinion of Greenberg Traurig LLP, counsel to the Registrant</w:t>
            </w:r>
            <w:r>
              <w:rPr>
                <w:rFonts w:ascii="Arial" w:cs="Arial" w:eastAsia="Arial" w:hAnsi="Arial"/>
                <w:sz w:val="16"/>
                <w:szCs w:val="16"/>
                <w:color w:val="000000"/>
              </w:rPr>
              <w:t>.</w:t>
            </w:r>
          </w:p>
        </w:tc>
      </w:tr>
      <w:tr>
        <w:trPr>
          <w:trHeight w:val="20"/>
        </w:trPr>
        <w:tc>
          <w:tcPr>
            <w:tcW w:w="136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8"/>
        </w:trPr>
        <w:tc>
          <w:tcPr>
            <w:tcW w:w="1360" w:type="dxa"/>
            <w:vAlign w:val="bottom"/>
          </w:tcPr>
          <w:p>
            <w:pPr>
              <w:spacing w:after="0"/>
              <w:rPr>
                <w:sz w:val="20"/>
                <w:szCs w:val="20"/>
                <w:color w:val="auto"/>
              </w:rPr>
            </w:pPr>
            <w:r>
              <w:rPr>
                <w:rFonts w:ascii="Arial" w:cs="Arial" w:eastAsia="Arial" w:hAnsi="Arial"/>
                <w:sz w:val="16"/>
                <w:szCs w:val="16"/>
                <w:color w:val="auto"/>
              </w:rPr>
              <w:t>23.1</w:t>
            </w:r>
          </w:p>
        </w:tc>
        <w:tc>
          <w:tcPr>
            <w:tcW w:w="3840" w:type="dxa"/>
            <w:vAlign w:val="bottom"/>
            <w:tcBorders>
              <w:bottom w:val="single" w:sz="8" w:color="0000EE"/>
            </w:tcBorders>
            <w:gridSpan w:val="4"/>
          </w:tcPr>
          <w:p>
            <w:pPr>
              <w:spacing w:after="0"/>
              <w:rPr>
                <w:sz w:val="20"/>
                <w:szCs w:val="20"/>
                <w:color w:val="auto"/>
              </w:rPr>
            </w:pPr>
            <w:r>
              <w:rPr>
                <w:rFonts w:ascii="Arial" w:cs="Arial" w:eastAsia="Arial" w:hAnsi="Arial"/>
                <w:sz w:val="16"/>
                <w:szCs w:val="16"/>
                <w:color w:val="0000EE"/>
                <w:w w:val="90"/>
              </w:rPr>
              <w:t>Consent of Greenberg Traurig LLP (included in Exhibit 5.1).</w:t>
            </w:r>
          </w:p>
        </w:tc>
        <w:tc>
          <w:tcPr>
            <w:tcW w:w="6260" w:type="dxa"/>
            <w:vAlign w:val="bottom"/>
            <w:gridSpan w:val="3"/>
          </w:tcPr>
          <w:p>
            <w:pPr>
              <w:spacing w:after="0"/>
              <w:rPr>
                <w:sz w:val="24"/>
                <w:szCs w:val="24"/>
                <w:color w:val="auto"/>
              </w:rPr>
            </w:pPr>
          </w:p>
        </w:tc>
      </w:tr>
      <w:tr>
        <w:trPr>
          <w:trHeight w:val="358"/>
        </w:trPr>
        <w:tc>
          <w:tcPr>
            <w:tcW w:w="1360" w:type="dxa"/>
            <w:vAlign w:val="bottom"/>
          </w:tcPr>
          <w:p>
            <w:pPr>
              <w:spacing w:after="0"/>
              <w:rPr>
                <w:sz w:val="20"/>
                <w:szCs w:val="20"/>
                <w:color w:val="auto"/>
              </w:rPr>
            </w:pPr>
            <w:r>
              <w:rPr>
                <w:rFonts w:ascii="Arial" w:cs="Arial" w:eastAsia="Arial" w:hAnsi="Arial"/>
                <w:sz w:val="16"/>
                <w:szCs w:val="16"/>
                <w:color w:val="auto"/>
              </w:rPr>
              <w:t>23.2</w:t>
            </w:r>
          </w:p>
        </w:tc>
        <w:tc>
          <w:tcPr>
            <w:tcW w:w="1520" w:type="dxa"/>
            <w:vAlign w:val="bottom"/>
            <w:tcBorders>
              <w:bottom w:val="single" w:sz="8" w:color="0000EE"/>
            </w:tcBorders>
          </w:tcPr>
          <w:p>
            <w:pPr>
              <w:spacing w:after="0"/>
              <w:rPr>
                <w:sz w:val="20"/>
                <w:szCs w:val="20"/>
                <w:color w:val="auto"/>
              </w:rPr>
            </w:pPr>
            <w:r>
              <w:rPr>
                <w:rFonts w:ascii="Arial" w:cs="Arial" w:eastAsia="Arial" w:hAnsi="Arial"/>
                <w:sz w:val="16"/>
                <w:szCs w:val="16"/>
                <w:color w:val="0000EE"/>
                <w:w w:val="90"/>
              </w:rPr>
              <w:t>Consent of KPMG LLP.</w:t>
            </w:r>
          </w:p>
        </w:tc>
        <w:tc>
          <w:tcPr>
            <w:tcW w:w="8580" w:type="dxa"/>
            <w:vAlign w:val="bottom"/>
            <w:gridSpan w:val="6"/>
          </w:tcPr>
          <w:p>
            <w:pPr>
              <w:spacing w:after="0"/>
              <w:rPr>
                <w:sz w:val="24"/>
                <w:szCs w:val="24"/>
                <w:color w:val="auto"/>
              </w:rPr>
            </w:pPr>
          </w:p>
        </w:tc>
      </w:tr>
      <w:tr>
        <w:trPr>
          <w:trHeight w:val="358"/>
        </w:trPr>
        <w:tc>
          <w:tcPr>
            <w:tcW w:w="1360" w:type="dxa"/>
            <w:vAlign w:val="bottom"/>
          </w:tcPr>
          <w:p>
            <w:pPr>
              <w:spacing w:after="0"/>
              <w:rPr>
                <w:sz w:val="20"/>
                <w:szCs w:val="20"/>
                <w:color w:val="auto"/>
              </w:rPr>
            </w:pPr>
            <w:r>
              <w:rPr>
                <w:rFonts w:ascii="Arial" w:cs="Arial" w:eastAsia="Arial" w:hAnsi="Arial"/>
                <w:sz w:val="16"/>
                <w:szCs w:val="16"/>
                <w:color w:val="auto"/>
              </w:rPr>
              <w:t>24.1</w:t>
            </w:r>
          </w:p>
        </w:tc>
        <w:tc>
          <w:tcPr>
            <w:tcW w:w="4920" w:type="dxa"/>
            <w:vAlign w:val="bottom"/>
            <w:tcBorders>
              <w:bottom w:val="single" w:sz="8" w:color="0000EE"/>
            </w:tcBorders>
            <w:gridSpan w:val="5"/>
          </w:tcPr>
          <w:p>
            <w:pPr>
              <w:spacing w:after="0"/>
              <w:rPr>
                <w:rFonts w:ascii="Arial" w:cs="Arial" w:eastAsia="Arial" w:hAnsi="Arial"/>
                <w:sz w:val="16"/>
                <w:szCs w:val="16"/>
                <w:color w:val="0000EE"/>
                <w:w w:val="89"/>
              </w:rPr>
            </w:pPr>
            <w:hyperlink w:anchor="page4">
              <w:r>
                <w:rPr>
                  <w:rFonts w:ascii="Arial" w:cs="Arial" w:eastAsia="Arial" w:hAnsi="Arial"/>
                  <w:sz w:val="16"/>
                  <w:szCs w:val="16"/>
                  <w:color w:val="0000EE"/>
                  <w:w w:val="89"/>
                </w:rPr>
                <w:t>Power of Attorney (included on signature page to this Registration Statement)</w:t>
              </w:r>
            </w:hyperlink>
          </w:p>
        </w:tc>
        <w:tc>
          <w:tcPr>
            <w:tcW w:w="5180" w:type="dxa"/>
            <w:vAlign w:val="bottom"/>
            <w:gridSpan w:val="2"/>
          </w:tcPr>
          <w:p>
            <w:pPr>
              <w:spacing w:after="0"/>
              <w:rPr>
                <w:sz w:val="24"/>
                <w:szCs w:val="24"/>
                <w:color w:val="auto"/>
              </w:rPr>
            </w:pPr>
          </w:p>
        </w:tc>
      </w:tr>
      <w:tr>
        <w:trPr>
          <w:trHeight w:val="358"/>
        </w:trPr>
        <w:tc>
          <w:tcPr>
            <w:tcW w:w="1360" w:type="dxa"/>
            <w:vAlign w:val="bottom"/>
          </w:tcPr>
          <w:p>
            <w:pPr>
              <w:spacing w:after="0"/>
              <w:rPr>
                <w:sz w:val="20"/>
                <w:szCs w:val="20"/>
                <w:color w:val="auto"/>
              </w:rPr>
            </w:pPr>
            <w:r>
              <w:rPr>
                <w:rFonts w:ascii="Arial" w:cs="Arial" w:eastAsia="Arial" w:hAnsi="Arial"/>
                <w:sz w:val="16"/>
                <w:szCs w:val="16"/>
                <w:color w:val="auto"/>
              </w:rPr>
              <w:t>99.1</w:t>
            </w:r>
          </w:p>
        </w:tc>
        <w:tc>
          <w:tcPr>
            <w:tcW w:w="9980" w:type="dxa"/>
            <w:vAlign w:val="bottom"/>
            <w:tcBorders>
              <w:bottom w:val="single" w:sz="8" w:color="0000EE"/>
            </w:tcBorders>
            <w:gridSpan w:val="6"/>
          </w:tcPr>
          <w:p>
            <w:pPr>
              <w:spacing w:after="0"/>
              <w:rPr>
                <w:rFonts w:ascii="Arial" w:cs="Arial" w:eastAsia="Arial" w:hAnsi="Arial"/>
                <w:sz w:val="16"/>
                <w:szCs w:val="16"/>
                <w:color w:val="0000EE"/>
                <w:w w:val="89"/>
              </w:rPr>
            </w:pPr>
            <w:hyperlink r:id="rId13">
              <w:r>
                <w:rPr>
                  <w:rFonts w:ascii="Arial" w:cs="Arial" w:eastAsia="Arial" w:hAnsi="Arial"/>
                  <w:sz w:val="16"/>
                  <w:szCs w:val="16"/>
                  <w:color w:val="0000EE"/>
                  <w:w w:val="89"/>
                </w:rPr>
                <w:t>Destination XL Group, Inc. 2016 Incentive Compensation Plan, as amended (included as Exhibit 10.1 to the Registrant’s Current Report on Form 8-K filed on</w:t>
              </w:r>
            </w:hyperlink>
          </w:p>
        </w:tc>
        <w:tc>
          <w:tcPr>
            <w:tcW w:w="120" w:type="dxa"/>
            <w:vAlign w:val="bottom"/>
          </w:tcPr>
          <w:p>
            <w:pPr>
              <w:spacing w:after="0"/>
              <w:rPr>
                <w:sz w:val="24"/>
                <w:szCs w:val="24"/>
                <w:color w:val="auto"/>
              </w:rPr>
            </w:pPr>
          </w:p>
        </w:tc>
      </w:tr>
      <w:tr>
        <w:trPr>
          <w:trHeight w:val="169"/>
        </w:trPr>
        <w:tc>
          <w:tcPr>
            <w:tcW w:w="1360" w:type="dxa"/>
            <w:vAlign w:val="bottom"/>
          </w:tcPr>
          <w:p>
            <w:pPr>
              <w:spacing w:after="0"/>
              <w:rPr>
                <w:sz w:val="14"/>
                <w:szCs w:val="14"/>
                <w:color w:val="auto"/>
              </w:rPr>
            </w:pPr>
          </w:p>
        </w:tc>
        <w:tc>
          <w:tcPr>
            <w:tcW w:w="10100" w:type="dxa"/>
            <w:vAlign w:val="bottom"/>
            <w:gridSpan w:val="7"/>
          </w:tcPr>
          <w:p>
            <w:pPr>
              <w:spacing w:after="0" w:line="169" w:lineRule="exact"/>
              <w:rPr>
                <w:rFonts w:ascii="Arial" w:cs="Arial" w:eastAsia="Arial" w:hAnsi="Arial"/>
                <w:sz w:val="16"/>
                <w:szCs w:val="16"/>
                <w:color w:val="0000EE"/>
              </w:rPr>
            </w:pPr>
            <w:hyperlink r:id="rId13">
              <w:r>
                <w:rPr>
                  <w:rFonts w:ascii="Arial" w:cs="Arial" w:eastAsia="Arial" w:hAnsi="Arial"/>
                  <w:sz w:val="16"/>
                  <w:szCs w:val="16"/>
                  <w:color w:val="0000EE"/>
                </w:rPr>
                <w:t>August 9, 2019 and incorporated herein by reference</w:t>
              </w:r>
              <w:r>
                <w:rPr>
                  <w:rFonts w:ascii="Arial" w:cs="Arial" w:eastAsia="Arial" w:hAnsi="Arial"/>
                  <w:sz w:val="16"/>
                  <w:szCs w:val="16"/>
                  <w:color w:val="000000"/>
                </w:rPr>
                <w:t>).</w:t>
              </w:r>
            </w:hyperlink>
          </w:p>
        </w:tc>
      </w:tr>
      <w:tr>
        <w:trPr>
          <w:trHeight w:val="515"/>
        </w:trPr>
        <w:tc>
          <w:tcPr>
            <w:tcW w:w="1360" w:type="dxa"/>
            <w:vAlign w:val="bottom"/>
            <w:tcBorders>
              <w:bottom w:val="single" w:sz="8" w:color="9A9A9A"/>
            </w:tcBorders>
          </w:tcPr>
          <w:p>
            <w:pPr>
              <w:spacing w:after="0"/>
              <w:rPr>
                <w:sz w:val="24"/>
                <w:szCs w:val="24"/>
                <w:color w:val="auto"/>
              </w:rPr>
            </w:pPr>
          </w:p>
        </w:tc>
        <w:tc>
          <w:tcPr>
            <w:tcW w:w="1520" w:type="dxa"/>
            <w:vAlign w:val="bottom"/>
            <w:tcBorders>
              <w:top w:val="single" w:sz="8" w:color="0000EE"/>
              <w:bottom w:val="single" w:sz="8" w:color="9A9A9A"/>
            </w:tcBorders>
          </w:tcPr>
          <w:p>
            <w:pPr>
              <w:spacing w:after="0"/>
              <w:rPr>
                <w:sz w:val="24"/>
                <w:szCs w:val="24"/>
                <w:color w:val="auto"/>
              </w:rPr>
            </w:pPr>
          </w:p>
        </w:tc>
        <w:tc>
          <w:tcPr>
            <w:tcW w:w="1800" w:type="dxa"/>
            <w:vAlign w:val="bottom"/>
            <w:tcBorders>
              <w:top w:val="single" w:sz="8" w:color="0000EE"/>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7254875</wp:posOffset>
            </wp:positionH>
            <wp:positionV relativeFrom="paragraph">
              <wp:posOffset>-27305</wp:posOffset>
            </wp:positionV>
            <wp:extent cx="33020"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60"/>
          </w:cols>
          <w:pgMar w:left="240" w:top="123" w:right="199" w:bottom="1440" w:gutter="0" w:footer="0" w:header="0"/>
        </w:sectPr>
      </w:pPr>
    </w:p>
    <w:bookmarkStart w:id="3" w:name="page4"/>
    <w:bookmarkEnd w:id="3"/>
    <w:p>
      <w:pPr>
        <w:jc w:val="center"/>
        <w:spacing w:after="0"/>
        <w:rPr>
          <w:sz w:val="20"/>
          <w:szCs w:val="20"/>
          <w:color w:val="auto"/>
        </w:rPr>
      </w:pPr>
      <w:r>
        <w:rPr>
          <w:rFonts w:ascii="Arial" w:cs="Arial" w:eastAsia="Arial" w:hAnsi="Arial"/>
          <w:sz w:val="19"/>
          <w:szCs w:val="19"/>
          <w:b w:val="1"/>
          <w:bCs w:val="1"/>
          <w:color w:val="000033"/>
        </w:rPr>
        <w:t>SIGNATURES</w:t>
      </w:r>
    </w:p>
    <w:p>
      <w:pPr>
        <w:spacing w:after="0" w:line="100"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000033"/>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Town of Canton, Commonwealth of Massachusetts, on August 28, 2019.</w:t>
      </w:r>
    </w:p>
    <w:p>
      <w:pPr>
        <w:spacing w:after="0" w:line="1" w:lineRule="exact"/>
        <w:rPr>
          <w:sz w:val="20"/>
          <w:szCs w:val="20"/>
          <w:color w:val="auto"/>
        </w:rPr>
      </w:pPr>
    </w:p>
    <w:p>
      <w:pPr>
        <w:ind w:left="6800"/>
        <w:spacing w:after="0"/>
        <w:rPr>
          <w:sz w:val="20"/>
          <w:szCs w:val="20"/>
          <w:color w:val="auto"/>
        </w:rPr>
      </w:pPr>
      <w:r>
        <w:rPr>
          <w:rFonts w:ascii="Arial" w:cs="Arial" w:eastAsia="Arial" w:hAnsi="Arial"/>
          <w:sz w:val="16"/>
          <w:szCs w:val="16"/>
          <w:color w:val="auto"/>
        </w:rPr>
        <w:t>D</w:t>
      </w:r>
      <w:r>
        <w:rPr>
          <w:rFonts w:ascii="Arial" w:cs="Arial" w:eastAsia="Arial" w:hAnsi="Arial"/>
          <w:sz w:val="12"/>
          <w:szCs w:val="12"/>
          <w:color w:val="auto"/>
        </w:rPr>
        <w:t>ESTINATION</w:t>
      </w:r>
      <w:r>
        <w:rPr>
          <w:rFonts w:ascii="Arial" w:cs="Arial" w:eastAsia="Arial" w:hAnsi="Arial"/>
          <w:sz w:val="16"/>
          <w:szCs w:val="16"/>
          <w:color w:val="auto"/>
        </w:rPr>
        <w:t xml:space="preserve"> XL G</w:t>
      </w:r>
      <w:r>
        <w:rPr>
          <w:rFonts w:ascii="Arial" w:cs="Arial" w:eastAsia="Arial" w:hAnsi="Arial"/>
          <w:sz w:val="12"/>
          <w:szCs w:val="12"/>
          <w:color w:val="auto"/>
        </w:rPr>
        <w:t>ROUP</w:t>
      </w:r>
      <w:r>
        <w:rPr>
          <w:rFonts w:ascii="Arial" w:cs="Arial" w:eastAsia="Arial" w:hAnsi="Arial"/>
          <w:sz w:val="16"/>
          <w:szCs w:val="16"/>
          <w:color w:val="auto"/>
        </w:rPr>
        <w:t>, I</w:t>
      </w:r>
      <w:r>
        <w:rPr>
          <w:rFonts w:ascii="Arial" w:cs="Arial" w:eastAsia="Arial" w:hAnsi="Arial"/>
          <w:sz w:val="12"/>
          <w:szCs w:val="12"/>
          <w:color w:val="auto"/>
        </w:rPr>
        <w:t>NC.</w:t>
      </w:r>
    </w:p>
    <w:p>
      <w:pPr>
        <w:spacing w:after="0" w:line="200" w:lineRule="exact"/>
        <w:rPr>
          <w:sz w:val="20"/>
          <w:szCs w:val="20"/>
          <w:color w:val="auto"/>
        </w:rPr>
      </w:pPr>
    </w:p>
    <w:p>
      <w:pPr>
        <w:ind w:left="6800"/>
        <w:spacing w:after="0"/>
        <w:tabs>
          <w:tab w:leader="none" w:pos="8620" w:val="left"/>
        </w:tabs>
        <w:rPr>
          <w:sz w:val="20"/>
          <w:szCs w:val="20"/>
          <w:color w:val="auto"/>
        </w:rPr>
      </w:pPr>
      <w:r>
        <w:rPr>
          <w:rFonts w:ascii="Arial" w:cs="Arial" w:eastAsia="Arial" w:hAnsi="Arial"/>
          <w:sz w:val="16"/>
          <w:szCs w:val="16"/>
          <w:color w:val="000033"/>
        </w:rPr>
        <w:t>By:</w:t>
      </w:r>
      <w:r>
        <w:rPr>
          <w:sz w:val="20"/>
          <w:szCs w:val="20"/>
          <w:color w:val="auto"/>
        </w:rPr>
        <w:tab/>
      </w:r>
      <w:r>
        <w:rPr>
          <w:rFonts w:ascii="Arial" w:cs="Arial" w:eastAsia="Arial" w:hAnsi="Arial"/>
          <w:sz w:val="19"/>
          <w:szCs w:val="19"/>
          <w:color w:val="000033"/>
        </w:rPr>
        <w:t>/</w:t>
      </w:r>
      <w:r>
        <w:rPr>
          <w:rFonts w:ascii="Arial" w:cs="Arial" w:eastAsia="Arial" w:hAnsi="Arial"/>
          <w:sz w:val="15"/>
          <w:szCs w:val="15"/>
          <w:color w:val="000033"/>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4581525</wp:posOffset>
            </wp:positionH>
            <wp:positionV relativeFrom="paragraph">
              <wp:posOffset>8255</wp:posOffset>
            </wp:positionV>
            <wp:extent cx="267906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679065" cy="7620"/>
                    </a:xfrm>
                    <a:prstGeom prst="rect">
                      <a:avLst/>
                    </a:prstGeom>
                    <a:noFill/>
                  </pic:spPr>
                </pic:pic>
              </a:graphicData>
            </a:graphic>
          </wp:anchor>
        </w:drawing>
      </w:r>
    </w:p>
    <w:p>
      <w:pPr>
        <w:jc w:val="center"/>
        <w:ind w:left="7220"/>
        <w:spacing w:after="0"/>
        <w:rPr>
          <w:sz w:val="20"/>
          <w:szCs w:val="20"/>
          <w:color w:val="auto"/>
        </w:rPr>
      </w:pPr>
      <w:r>
        <w:rPr>
          <w:rFonts w:ascii="Arial" w:cs="Arial" w:eastAsia="Arial" w:hAnsi="Arial"/>
          <w:sz w:val="13"/>
          <w:szCs w:val="13"/>
          <w:b w:val="1"/>
          <w:bCs w:val="1"/>
          <w:color w:val="000033"/>
        </w:rPr>
        <w:t>Robert S. Molloy</w:t>
      </w:r>
    </w:p>
    <w:p>
      <w:pPr>
        <w:jc w:val="center"/>
        <w:ind w:left="7220"/>
        <w:spacing w:after="0" w:line="226" w:lineRule="auto"/>
        <w:rPr>
          <w:sz w:val="20"/>
          <w:szCs w:val="20"/>
          <w:color w:val="auto"/>
        </w:rPr>
      </w:pPr>
      <w:r>
        <w:rPr>
          <w:rFonts w:ascii="Arial" w:cs="Arial" w:eastAsia="Arial" w:hAnsi="Arial"/>
          <w:sz w:val="12"/>
          <w:szCs w:val="12"/>
          <w:b w:val="1"/>
          <w:bCs w:val="1"/>
          <w:color w:val="000033"/>
        </w:rPr>
        <w:t>Senior Vice President, Chief Administrative Officer, General Counsel and</w:t>
      </w:r>
    </w:p>
    <w:p>
      <w:pPr>
        <w:jc w:val="center"/>
        <w:ind w:left="7220"/>
        <w:spacing w:after="0"/>
        <w:rPr>
          <w:sz w:val="20"/>
          <w:szCs w:val="20"/>
          <w:color w:val="auto"/>
        </w:rPr>
      </w:pPr>
      <w:r>
        <w:rPr>
          <w:rFonts w:ascii="Arial" w:cs="Arial" w:eastAsia="Arial" w:hAnsi="Arial"/>
          <w:sz w:val="13"/>
          <w:szCs w:val="13"/>
          <w:b w:val="1"/>
          <w:bCs w:val="1"/>
          <w:color w:val="000033"/>
        </w:rPr>
        <w:t>Secretary</w:t>
      </w:r>
    </w:p>
    <w:p>
      <w:pPr>
        <w:spacing w:after="0" w:line="163" w:lineRule="exact"/>
        <w:rPr>
          <w:sz w:val="20"/>
          <w:szCs w:val="20"/>
          <w:color w:val="auto"/>
        </w:rPr>
      </w:pPr>
    </w:p>
    <w:p>
      <w:pPr>
        <w:ind w:right="20"/>
        <w:spacing w:after="0" w:line="293" w:lineRule="auto"/>
        <w:rPr>
          <w:sz w:val="20"/>
          <w:szCs w:val="20"/>
          <w:color w:val="auto"/>
        </w:rPr>
      </w:pPr>
      <w:r>
        <w:rPr>
          <w:rFonts w:ascii="Arial" w:cs="Arial" w:eastAsia="Arial" w:hAnsi="Arial"/>
          <w:sz w:val="14"/>
          <w:szCs w:val="14"/>
          <w:color w:val="000033"/>
        </w:rPr>
        <w:t>KNOW ALL PERSONS BY THESE PRESENTS, that each person whose signature appears below constitutes and appoints Harvey S. Kanter and Robert S. Molloy as such person’s true and lawful attorney-in-fact and agent, each with full power of substitution and resubstitution, for such person in such person’s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attorneys-in-fact and agents, or any of them, or his or her substitute or substitutes, may lawfully do or cause to be done by virtue hereof.</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color w:val="000033"/>
        </w:rPr>
        <w:t>Pursuant to the requirements of the Securities Act of 1933, this Registration Statement has been signed by the following persons in the capacities and on the dates indicated.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3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tcPr>
          <w:p>
            <w:pPr>
              <w:jc w:val="center"/>
              <w:ind w:right="1609"/>
              <w:spacing w:after="0"/>
              <w:rPr>
                <w:sz w:val="20"/>
                <w:szCs w:val="20"/>
                <w:color w:val="auto"/>
              </w:rPr>
            </w:pPr>
            <w:r>
              <w:rPr>
                <w:rFonts w:ascii="Arial" w:cs="Arial" w:eastAsia="Arial" w:hAnsi="Arial"/>
                <w:sz w:val="14"/>
                <w:szCs w:val="14"/>
                <w:b w:val="1"/>
                <w:bCs w:val="1"/>
                <w:color w:val="000033"/>
                <w:w w:val="88"/>
              </w:rPr>
              <w:t>Signatures</w:t>
            </w:r>
          </w:p>
        </w:tc>
        <w:tc>
          <w:tcPr>
            <w:tcW w:w="160" w:type="dxa"/>
            <w:vAlign w:val="bottom"/>
          </w:tcPr>
          <w:p>
            <w:pPr>
              <w:spacing w:after="0"/>
              <w:rPr>
                <w:sz w:val="16"/>
                <w:szCs w:val="16"/>
                <w:color w:val="auto"/>
              </w:rPr>
            </w:pPr>
          </w:p>
        </w:tc>
        <w:tc>
          <w:tcPr>
            <w:tcW w:w="5100" w:type="dxa"/>
            <w:vAlign w:val="bottom"/>
            <w:tcBorders>
              <w:bottom w:val="single" w:sz="8" w:color="auto"/>
            </w:tcBorders>
          </w:tcPr>
          <w:p>
            <w:pPr>
              <w:ind w:left="2400"/>
              <w:spacing w:after="0"/>
              <w:rPr>
                <w:sz w:val="20"/>
                <w:szCs w:val="20"/>
                <w:color w:val="auto"/>
              </w:rPr>
            </w:pPr>
            <w:r>
              <w:rPr>
                <w:rFonts w:ascii="Arial" w:cs="Arial" w:eastAsia="Arial" w:hAnsi="Arial"/>
                <w:sz w:val="14"/>
                <w:szCs w:val="14"/>
                <w:b w:val="1"/>
                <w:bCs w:val="1"/>
                <w:color w:val="000033"/>
              </w:rPr>
              <w:t>Title</w:t>
            </w:r>
          </w:p>
        </w:tc>
        <w:tc>
          <w:tcPr>
            <w:tcW w:w="140" w:type="dxa"/>
            <w:vAlign w:val="bottom"/>
          </w:tcPr>
          <w:p>
            <w:pPr>
              <w:spacing w:after="0"/>
              <w:rPr>
                <w:sz w:val="16"/>
                <w:szCs w:val="16"/>
                <w:color w:val="auto"/>
              </w:rPr>
            </w:pPr>
          </w:p>
        </w:tc>
        <w:tc>
          <w:tcPr>
            <w:tcW w:w="1940" w:type="dxa"/>
            <w:vAlign w:val="bottom"/>
            <w:tcBorders>
              <w:bottom w:val="single" w:sz="8" w:color="auto"/>
            </w:tcBorders>
          </w:tcPr>
          <w:p>
            <w:pPr>
              <w:ind w:left="820"/>
              <w:spacing w:after="0"/>
              <w:rPr>
                <w:sz w:val="20"/>
                <w:szCs w:val="20"/>
                <w:color w:val="auto"/>
              </w:rPr>
            </w:pPr>
            <w:r>
              <w:rPr>
                <w:rFonts w:ascii="Arial" w:cs="Arial" w:eastAsia="Arial" w:hAnsi="Arial"/>
                <w:sz w:val="14"/>
                <w:szCs w:val="14"/>
                <w:b w:val="1"/>
                <w:bCs w:val="1"/>
                <w:color w:val="000033"/>
              </w:rPr>
              <w:t>Date</w:t>
            </w:r>
          </w:p>
        </w:tc>
      </w:tr>
      <w:tr>
        <w:trPr>
          <w:trHeight w:val="346"/>
        </w:trPr>
        <w:tc>
          <w:tcPr>
            <w:tcW w:w="1500" w:type="dxa"/>
            <w:vAlign w:val="bottom"/>
            <w:tcBorders>
              <w:bottom w:val="single" w:sz="8" w:color="auto"/>
            </w:tcBorders>
            <w:gridSpan w:val="2"/>
          </w:tcPr>
          <w:p>
            <w:pPr>
              <w:ind w:left="1260"/>
              <w:spacing w:after="0"/>
              <w:rPr>
                <w:sz w:val="20"/>
                <w:szCs w:val="20"/>
                <w:color w:val="auto"/>
              </w:rPr>
            </w:pPr>
            <w:r>
              <w:rPr>
                <w:rFonts w:ascii="Arial" w:cs="Arial" w:eastAsia="Arial" w:hAnsi="Arial"/>
                <w:sz w:val="14"/>
                <w:szCs w:val="14"/>
                <w:color w:val="000033"/>
              </w:rPr>
              <w:t>/s/</w:t>
            </w:r>
          </w:p>
        </w:tc>
        <w:tc>
          <w:tcPr>
            <w:tcW w:w="2600" w:type="dxa"/>
            <w:vAlign w:val="bottom"/>
            <w:tcBorders>
              <w:bottom w:val="single" w:sz="8" w:color="auto"/>
            </w:tcBorders>
            <w:gridSpan w:val="2"/>
          </w:tcPr>
          <w:p>
            <w:pPr>
              <w:jc w:val="center"/>
              <w:ind w:right="1189"/>
              <w:spacing w:after="0"/>
              <w:rPr>
                <w:sz w:val="20"/>
                <w:szCs w:val="20"/>
                <w:color w:val="auto"/>
              </w:rPr>
            </w:pPr>
            <w:r>
              <w:rPr>
                <w:rFonts w:ascii="Arial" w:cs="Arial" w:eastAsia="Arial" w:hAnsi="Arial"/>
                <w:sz w:val="14"/>
                <w:szCs w:val="14"/>
                <w:color w:val="000033"/>
                <w:w w:val="98"/>
              </w:rPr>
              <w:t>HARVEY S. KANTER</w:t>
            </w:r>
          </w:p>
        </w:tc>
        <w:tc>
          <w:tcPr>
            <w:tcW w:w="160" w:type="dxa"/>
            <w:vAlign w:val="bottom"/>
          </w:tcPr>
          <w:p>
            <w:pPr>
              <w:spacing w:after="0"/>
              <w:rPr>
                <w:sz w:val="24"/>
                <w:szCs w:val="24"/>
                <w:color w:val="auto"/>
              </w:rPr>
            </w:pPr>
          </w:p>
        </w:tc>
        <w:tc>
          <w:tcPr>
            <w:tcW w:w="5100" w:type="dxa"/>
            <w:vAlign w:val="bottom"/>
          </w:tcPr>
          <w:p>
            <w:pPr>
              <w:spacing w:after="0"/>
              <w:rPr>
                <w:sz w:val="20"/>
                <w:szCs w:val="20"/>
                <w:color w:val="auto"/>
              </w:rPr>
            </w:pPr>
            <w:r>
              <w:rPr>
                <w:rFonts w:ascii="Arial" w:cs="Arial" w:eastAsia="Arial" w:hAnsi="Arial"/>
                <w:sz w:val="14"/>
                <w:szCs w:val="14"/>
                <w:color w:val="000033"/>
              </w:rPr>
              <w:t>President and Chief Executive Officer (Principal Executive Officer) and Director</w:t>
            </w:r>
          </w:p>
        </w:tc>
        <w:tc>
          <w:tcPr>
            <w:tcW w:w="2080" w:type="dxa"/>
            <w:vAlign w:val="bottom"/>
            <w:gridSpan w:val="2"/>
          </w:tcPr>
          <w:p>
            <w:pPr>
              <w:ind w:left="140"/>
              <w:spacing w:after="0"/>
              <w:rPr>
                <w:sz w:val="20"/>
                <w:szCs w:val="20"/>
                <w:color w:val="auto"/>
              </w:rPr>
            </w:pPr>
            <w:r>
              <w:rPr>
                <w:rFonts w:ascii="Arial" w:cs="Arial" w:eastAsia="Arial" w:hAnsi="Arial"/>
                <w:sz w:val="14"/>
                <w:szCs w:val="14"/>
                <w:color w:val="000033"/>
              </w:rPr>
              <w:t>August 28, 2019</w:t>
            </w:r>
          </w:p>
        </w:tc>
      </w:tr>
      <w:tr>
        <w:trPr>
          <w:trHeight w:val="202"/>
        </w:trPr>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0" w:type="dxa"/>
            <w:vAlign w:val="bottom"/>
            <w:gridSpan w:val="2"/>
          </w:tcPr>
          <w:p>
            <w:pPr>
              <w:jc w:val="center"/>
              <w:ind w:right="1429"/>
              <w:spacing w:after="0"/>
              <w:rPr>
                <w:sz w:val="20"/>
                <w:szCs w:val="20"/>
                <w:color w:val="auto"/>
              </w:rPr>
            </w:pPr>
            <w:r>
              <w:rPr>
                <w:rFonts w:ascii="Arial" w:cs="Arial" w:eastAsia="Arial" w:hAnsi="Arial"/>
                <w:sz w:val="14"/>
                <w:szCs w:val="14"/>
                <w:b w:val="1"/>
                <w:bCs w:val="1"/>
                <w:color w:val="000033"/>
                <w:w w:val="94"/>
              </w:rPr>
              <w:t>Harvey S. Kanter</w:t>
            </w:r>
          </w:p>
        </w:tc>
        <w:tc>
          <w:tcPr>
            <w:tcW w:w="16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355"/>
        </w:trPr>
        <w:tc>
          <w:tcPr>
            <w:tcW w:w="1320" w:type="dxa"/>
            <w:vAlign w:val="bottom"/>
            <w:tcBorders>
              <w:bottom w:val="single" w:sz="8" w:color="auto"/>
            </w:tcBorders>
          </w:tcPr>
          <w:p>
            <w:pPr>
              <w:ind w:left="1120"/>
              <w:spacing w:after="0"/>
              <w:rPr>
                <w:sz w:val="20"/>
                <w:szCs w:val="20"/>
                <w:color w:val="auto"/>
              </w:rPr>
            </w:pPr>
            <w:r>
              <w:rPr>
                <w:rFonts w:ascii="Arial" w:cs="Arial" w:eastAsia="Arial" w:hAnsi="Arial"/>
                <w:sz w:val="14"/>
                <w:szCs w:val="14"/>
                <w:color w:val="000033"/>
              </w:rPr>
              <w:t>/s/</w:t>
            </w:r>
          </w:p>
        </w:tc>
        <w:tc>
          <w:tcPr>
            <w:tcW w:w="2780" w:type="dxa"/>
            <w:vAlign w:val="bottom"/>
            <w:tcBorders>
              <w:bottom w:val="single" w:sz="8" w:color="auto"/>
            </w:tcBorders>
            <w:gridSpan w:val="3"/>
          </w:tcPr>
          <w:p>
            <w:pPr>
              <w:jc w:val="center"/>
              <w:ind w:right="1009"/>
              <w:spacing w:after="0"/>
              <w:rPr>
                <w:sz w:val="20"/>
                <w:szCs w:val="20"/>
                <w:color w:val="auto"/>
              </w:rPr>
            </w:pPr>
            <w:r>
              <w:rPr>
                <w:rFonts w:ascii="Arial" w:cs="Arial" w:eastAsia="Arial" w:hAnsi="Arial"/>
                <w:sz w:val="14"/>
                <w:szCs w:val="14"/>
                <w:color w:val="000033"/>
                <w:w w:val="93"/>
              </w:rPr>
              <w:t>PETER H. STRATTON, JR.</w:t>
            </w:r>
          </w:p>
        </w:tc>
        <w:tc>
          <w:tcPr>
            <w:tcW w:w="160" w:type="dxa"/>
            <w:vAlign w:val="bottom"/>
          </w:tcPr>
          <w:p>
            <w:pPr>
              <w:spacing w:after="0"/>
              <w:rPr>
                <w:sz w:val="24"/>
                <w:szCs w:val="24"/>
                <w:color w:val="auto"/>
              </w:rPr>
            </w:pPr>
          </w:p>
        </w:tc>
        <w:tc>
          <w:tcPr>
            <w:tcW w:w="5100" w:type="dxa"/>
            <w:vAlign w:val="bottom"/>
          </w:tcPr>
          <w:p>
            <w:pPr>
              <w:spacing w:after="0"/>
              <w:rPr>
                <w:sz w:val="20"/>
                <w:szCs w:val="20"/>
                <w:color w:val="auto"/>
              </w:rPr>
            </w:pPr>
            <w:r>
              <w:rPr>
                <w:rFonts w:ascii="Arial" w:cs="Arial" w:eastAsia="Arial" w:hAnsi="Arial"/>
                <w:sz w:val="14"/>
                <w:szCs w:val="14"/>
                <w:color w:val="000033"/>
                <w:w w:val="98"/>
              </w:rPr>
              <w:t>Executive Vice President, Chief Financial Officer and Treasurer (Principal Financial</w:t>
            </w:r>
          </w:p>
        </w:tc>
        <w:tc>
          <w:tcPr>
            <w:tcW w:w="2080" w:type="dxa"/>
            <w:vAlign w:val="bottom"/>
            <w:gridSpan w:val="2"/>
          </w:tcPr>
          <w:p>
            <w:pPr>
              <w:ind w:left="140"/>
              <w:spacing w:after="0"/>
              <w:rPr>
                <w:sz w:val="20"/>
                <w:szCs w:val="20"/>
                <w:color w:val="auto"/>
              </w:rPr>
            </w:pPr>
            <w:r>
              <w:rPr>
                <w:rFonts w:ascii="Arial" w:cs="Arial" w:eastAsia="Arial" w:hAnsi="Arial"/>
                <w:sz w:val="14"/>
                <w:szCs w:val="14"/>
                <w:color w:val="000033"/>
              </w:rPr>
              <w:t>August 28, 2019</w:t>
            </w:r>
          </w:p>
        </w:tc>
      </w:tr>
      <w:tr>
        <w:trPr>
          <w:trHeight w:val="205"/>
        </w:trPr>
        <w:tc>
          <w:tcPr>
            <w:tcW w:w="1320" w:type="dxa"/>
            <w:vAlign w:val="bottom"/>
          </w:tcPr>
          <w:p>
            <w:pPr>
              <w:spacing w:after="0"/>
              <w:rPr>
                <w:sz w:val="17"/>
                <w:szCs w:val="17"/>
                <w:color w:val="auto"/>
              </w:rPr>
            </w:pPr>
          </w:p>
        </w:tc>
        <w:tc>
          <w:tcPr>
            <w:tcW w:w="2780" w:type="dxa"/>
            <w:vAlign w:val="bottom"/>
            <w:gridSpan w:val="3"/>
          </w:tcPr>
          <w:p>
            <w:pPr>
              <w:jc w:val="center"/>
              <w:ind w:right="1269"/>
              <w:spacing w:after="0"/>
              <w:rPr>
                <w:sz w:val="20"/>
                <w:szCs w:val="20"/>
                <w:color w:val="auto"/>
              </w:rPr>
            </w:pPr>
            <w:r>
              <w:rPr>
                <w:rFonts w:ascii="Arial" w:cs="Arial" w:eastAsia="Arial" w:hAnsi="Arial"/>
                <w:sz w:val="14"/>
                <w:szCs w:val="14"/>
                <w:b w:val="1"/>
                <w:bCs w:val="1"/>
                <w:color w:val="000033"/>
                <w:w w:val="94"/>
              </w:rPr>
              <w:t>Peter H. Stratton, Jr.</w:t>
            </w:r>
          </w:p>
        </w:tc>
        <w:tc>
          <w:tcPr>
            <w:tcW w:w="160" w:type="dxa"/>
            <w:vAlign w:val="bottom"/>
          </w:tcPr>
          <w:p>
            <w:pPr>
              <w:spacing w:after="0"/>
              <w:rPr>
                <w:sz w:val="17"/>
                <w:szCs w:val="17"/>
                <w:color w:val="auto"/>
              </w:rPr>
            </w:pPr>
          </w:p>
        </w:tc>
        <w:tc>
          <w:tcPr>
            <w:tcW w:w="5100" w:type="dxa"/>
            <w:vAlign w:val="bottom"/>
          </w:tcPr>
          <w:p>
            <w:pPr>
              <w:spacing w:after="0"/>
              <w:rPr>
                <w:sz w:val="20"/>
                <w:szCs w:val="20"/>
                <w:color w:val="auto"/>
              </w:rPr>
            </w:pPr>
            <w:r>
              <w:rPr>
                <w:rFonts w:ascii="Arial" w:cs="Arial" w:eastAsia="Arial" w:hAnsi="Arial"/>
                <w:sz w:val="14"/>
                <w:szCs w:val="14"/>
                <w:color w:val="000033"/>
              </w:rPr>
              <w:t>Officer)</w:t>
            </w:r>
          </w:p>
        </w:tc>
        <w:tc>
          <w:tcPr>
            <w:tcW w:w="14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355"/>
        </w:trPr>
        <w:tc>
          <w:tcPr>
            <w:tcW w:w="1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000033"/>
                <w:w w:val="80"/>
              </w:rPr>
              <w:t>/s/</w:t>
            </w:r>
          </w:p>
        </w:tc>
        <w:tc>
          <w:tcPr>
            <w:tcW w:w="2600" w:type="dxa"/>
            <w:vAlign w:val="bottom"/>
            <w:tcBorders>
              <w:bottom w:val="single" w:sz="8" w:color="auto"/>
            </w:tcBorders>
            <w:gridSpan w:val="2"/>
          </w:tcPr>
          <w:p>
            <w:pPr>
              <w:jc w:val="center"/>
              <w:ind w:right="1209"/>
              <w:spacing w:after="0"/>
              <w:rPr>
                <w:sz w:val="20"/>
                <w:szCs w:val="20"/>
                <w:color w:val="auto"/>
              </w:rPr>
            </w:pPr>
            <w:r>
              <w:rPr>
                <w:rFonts w:ascii="Arial" w:cs="Arial" w:eastAsia="Arial" w:hAnsi="Arial"/>
                <w:sz w:val="14"/>
                <w:szCs w:val="14"/>
                <w:color w:val="000033"/>
                <w:w w:val="94"/>
              </w:rPr>
              <w:t>JOHN F. COONEY</w:t>
            </w:r>
          </w:p>
        </w:tc>
        <w:tc>
          <w:tcPr>
            <w:tcW w:w="160" w:type="dxa"/>
            <w:vAlign w:val="bottom"/>
          </w:tcPr>
          <w:p>
            <w:pPr>
              <w:spacing w:after="0"/>
              <w:rPr>
                <w:sz w:val="24"/>
                <w:szCs w:val="24"/>
                <w:color w:val="auto"/>
              </w:rPr>
            </w:pPr>
          </w:p>
        </w:tc>
        <w:tc>
          <w:tcPr>
            <w:tcW w:w="5100" w:type="dxa"/>
            <w:vAlign w:val="bottom"/>
          </w:tcPr>
          <w:p>
            <w:pPr>
              <w:spacing w:after="0"/>
              <w:rPr>
                <w:sz w:val="20"/>
                <w:szCs w:val="20"/>
                <w:color w:val="auto"/>
              </w:rPr>
            </w:pPr>
            <w:r>
              <w:rPr>
                <w:rFonts w:ascii="Arial" w:cs="Arial" w:eastAsia="Arial" w:hAnsi="Arial"/>
                <w:sz w:val="14"/>
                <w:szCs w:val="14"/>
                <w:color w:val="000033"/>
                <w:w w:val="96"/>
              </w:rPr>
              <w:t>Vice President, Managing Director, Chief Accounting Officer and Corporate Controller</w:t>
            </w:r>
          </w:p>
        </w:tc>
        <w:tc>
          <w:tcPr>
            <w:tcW w:w="2080" w:type="dxa"/>
            <w:vAlign w:val="bottom"/>
            <w:gridSpan w:val="2"/>
          </w:tcPr>
          <w:p>
            <w:pPr>
              <w:ind w:left="140"/>
              <w:spacing w:after="0"/>
              <w:rPr>
                <w:sz w:val="20"/>
                <w:szCs w:val="20"/>
                <w:color w:val="auto"/>
              </w:rPr>
            </w:pPr>
            <w:r>
              <w:rPr>
                <w:rFonts w:ascii="Arial" w:cs="Arial" w:eastAsia="Arial" w:hAnsi="Arial"/>
                <w:sz w:val="14"/>
                <w:szCs w:val="14"/>
                <w:color w:val="000033"/>
              </w:rPr>
              <w:t>August 28, 2019</w:t>
            </w:r>
          </w:p>
        </w:tc>
      </w:tr>
      <w:tr>
        <w:trPr>
          <w:trHeight w:val="205"/>
        </w:trPr>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0" w:type="dxa"/>
            <w:vAlign w:val="bottom"/>
            <w:gridSpan w:val="2"/>
          </w:tcPr>
          <w:p>
            <w:pPr>
              <w:jc w:val="center"/>
              <w:ind w:right="1429"/>
              <w:spacing w:after="0"/>
              <w:rPr>
                <w:sz w:val="20"/>
                <w:szCs w:val="20"/>
                <w:color w:val="auto"/>
              </w:rPr>
            </w:pPr>
            <w:r>
              <w:rPr>
                <w:rFonts w:ascii="Arial" w:cs="Arial" w:eastAsia="Arial" w:hAnsi="Arial"/>
                <w:sz w:val="14"/>
                <w:szCs w:val="14"/>
                <w:b w:val="1"/>
                <w:bCs w:val="1"/>
                <w:color w:val="000033"/>
                <w:w w:val="89"/>
              </w:rPr>
              <w:t>John F. Cooney</w:t>
            </w:r>
          </w:p>
        </w:tc>
        <w:tc>
          <w:tcPr>
            <w:tcW w:w="160" w:type="dxa"/>
            <w:vAlign w:val="bottom"/>
          </w:tcPr>
          <w:p>
            <w:pPr>
              <w:spacing w:after="0"/>
              <w:rPr>
                <w:sz w:val="17"/>
                <w:szCs w:val="17"/>
                <w:color w:val="auto"/>
              </w:rPr>
            </w:pPr>
          </w:p>
        </w:tc>
        <w:tc>
          <w:tcPr>
            <w:tcW w:w="5100" w:type="dxa"/>
            <w:vAlign w:val="bottom"/>
          </w:tcPr>
          <w:p>
            <w:pPr>
              <w:spacing w:after="0"/>
              <w:rPr>
                <w:sz w:val="20"/>
                <w:szCs w:val="20"/>
                <w:color w:val="auto"/>
              </w:rPr>
            </w:pPr>
            <w:r>
              <w:rPr>
                <w:rFonts w:ascii="Arial" w:cs="Arial" w:eastAsia="Arial" w:hAnsi="Arial"/>
                <w:sz w:val="14"/>
                <w:szCs w:val="14"/>
                <w:color w:val="000033"/>
              </w:rPr>
              <w:t>(Principal Accounting Officer)</w:t>
            </w:r>
          </w:p>
        </w:tc>
        <w:tc>
          <w:tcPr>
            <w:tcW w:w="14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357"/>
        </w:trPr>
        <w:tc>
          <w:tcPr>
            <w:tcW w:w="1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color w:val="000033"/>
              </w:rPr>
              <w:t>/s/</w:t>
            </w:r>
          </w:p>
        </w:tc>
        <w:tc>
          <w:tcPr>
            <w:tcW w:w="2440" w:type="dxa"/>
            <w:vAlign w:val="bottom"/>
            <w:tcBorders>
              <w:bottom w:val="single" w:sz="8" w:color="auto"/>
            </w:tcBorders>
          </w:tcPr>
          <w:p>
            <w:pPr>
              <w:jc w:val="center"/>
              <w:ind w:right="1349"/>
              <w:spacing w:after="0"/>
              <w:rPr>
                <w:sz w:val="20"/>
                <w:szCs w:val="20"/>
                <w:color w:val="auto"/>
              </w:rPr>
            </w:pPr>
            <w:r>
              <w:rPr>
                <w:rFonts w:ascii="Arial" w:cs="Arial" w:eastAsia="Arial" w:hAnsi="Arial"/>
                <w:sz w:val="14"/>
                <w:szCs w:val="14"/>
                <w:color w:val="000033"/>
                <w:w w:val="96"/>
              </w:rPr>
              <w:t>JOHN E KYEES</w:t>
            </w:r>
          </w:p>
        </w:tc>
        <w:tc>
          <w:tcPr>
            <w:tcW w:w="160" w:type="dxa"/>
            <w:vAlign w:val="bottom"/>
          </w:tcPr>
          <w:p>
            <w:pPr>
              <w:spacing w:after="0"/>
              <w:rPr>
                <w:sz w:val="24"/>
                <w:szCs w:val="24"/>
                <w:color w:val="auto"/>
              </w:rPr>
            </w:pPr>
          </w:p>
        </w:tc>
        <w:tc>
          <w:tcPr>
            <w:tcW w:w="5100" w:type="dxa"/>
            <w:vAlign w:val="bottom"/>
          </w:tcPr>
          <w:p>
            <w:pPr>
              <w:spacing w:after="0"/>
              <w:rPr>
                <w:sz w:val="20"/>
                <w:szCs w:val="20"/>
                <w:color w:val="auto"/>
              </w:rPr>
            </w:pPr>
            <w:r>
              <w:rPr>
                <w:rFonts w:ascii="Arial" w:cs="Arial" w:eastAsia="Arial" w:hAnsi="Arial"/>
                <w:sz w:val="14"/>
                <w:szCs w:val="14"/>
                <w:color w:val="000033"/>
              </w:rPr>
              <w:t>Chairman of the Board of Directors</w:t>
            </w:r>
          </w:p>
        </w:tc>
        <w:tc>
          <w:tcPr>
            <w:tcW w:w="2080" w:type="dxa"/>
            <w:vAlign w:val="bottom"/>
            <w:gridSpan w:val="2"/>
          </w:tcPr>
          <w:p>
            <w:pPr>
              <w:ind w:left="140"/>
              <w:spacing w:after="0"/>
              <w:rPr>
                <w:sz w:val="20"/>
                <w:szCs w:val="20"/>
                <w:color w:val="auto"/>
              </w:rPr>
            </w:pPr>
            <w:r>
              <w:rPr>
                <w:rFonts w:ascii="Arial" w:cs="Arial" w:eastAsia="Arial" w:hAnsi="Arial"/>
                <w:sz w:val="14"/>
                <w:szCs w:val="14"/>
                <w:color w:val="000033"/>
              </w:rPr>
              <w:t>August 28, 2019</w:t>
            </w:r>
          </w:p>
        </w:tc>
      </w:tr>
      <w:tr>
        <w:trPr>
          <w:trHeight w:val="202"/>
        </w:trPr>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40" w:type="dxa"/>
            <w:vAlign w:val="bottom"/>
          </w:tcPr>
          <w:p>
            <w:pPr>
              <w:jc w:val="center"/>
              <w:ind w:right="1589"/>
              <w:spacing w:after="0"/>
              <w:rPr>
                <w:sz w:val="20"/>
                <w:szCs w:val="20"/>
                <w:color w:val="auto"/>
              </w:rPr>
            </w:pPr>
            <w:r>
              <w:rPr>
                <w:rFonts w:ascii="Arial" w:cs="Arial" w:eastAsia="Arial" w:hAnsi="Arial"/>
                <w:sz w:val="14"/>
                <w:szCs w:val="14"/>
                <w:b w:val="1"/>
                <w:bCs w:val="1"/>
                <w:color w:val="000033"/>
                <w:w w:val="89"/>
              </w:rPr>
              <w:t>John Kyees</w:t>
            </w:r>
          </w:p>
        </w:tc>
        <w:tc>
          <w:tcPr>
            <w:tcW w:w="16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357"/>
        </w:trPr>
        <w:tc>
          <w:tcPr>
            <w:tcW w:w="1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4"/>
                <w:szCs w:val="14"/>
                <w:color w:val="000033"/>
                <w:w w:val="94"/>
              </w:rPr>
              <w:t>/s/</w:t>
            </w:r>
          </w:p>
        </w:tc>
        <w:tc>
          <w:tcPr>
            <w:tcW w:w="2440" w:type="dxa"/>
            <w:vAlign w:val="bottom"/>
            <w:tcBorders>
              <w:bottom w:val="single" w:sz="8" w:color="auto"/>
            </w:tcBorders>
          </w:tcPr>
          <w:p>
            <w:pPr>
              <w:jc w:val="center"/>
              <w:ind w:right="1349"/>
              <w:spacing w:after="0"/>
              <w:rPr>
                <w:sz w:val="20"/>
                <w:szCs w:val="20"/>
                <w:color w:val="auto"/>
              </w:rPr>
            </w:pPr>
            <w:r>
              <w:rPr>
                <w:rFonts w:ascii="Arial" w:cs="Arial" w:eastAsia="Arial" w:hAnsi="Arial"/>
                <w:sz w:val="14"/>
                <w:szCs w:val="14"/>
                <w:color w:val="000033"/>
                <w:w w:val="99"/>
              </w:rPr>
              <w:t>JACK BOYLE</w:t>
            </w:r>
          </w:p>
        </w:tc>
        <w:tc>
          <w:tcPr>
            <w:tcW w:w="160" w:type="dxa"/>
            <w:vAlign w:val="bottom"/>
          </w:tcPr>
          <w:p>
            <w:pPr>
              <w:spacing w:after="0"/>
              <w:rPr>
                <w:sz w:val="24"/>
                <w:szCs w:val="24"/>
                <w:color w:val="auto"/>
              </w:rPr>
            </w:pPr>
          </w:p>
        </w:tc>
        <w:tc>
          <w:tcPr>
            <w:tcW w:w="5100" w:type="dxa"/>
            <w:vAlign w:val="bottom"/>
          </w:tcPr>
          <w:p>
            <w:pPr>
              <w:spacing w:after="0"/>
              <w:rPr>
                <w:sz w:val="20"/>
                <w:szCs w:val="20"/>
                <w:color w:val="auto"/>
              </w:rPr>
            </w:pPr>
            <w:r>
              <w:rPr>
                <w:rFonts w:ascii="Arial" w:cs="Arial" w:eastAsia="Arial" w:hAnsi="Arial"/>
                <w:sz w:val="14"/>
                <w:szCs w:val="14"/>
                <w:color w:val="000033"/>
              </w:rPr>
              <w:t>Director</w:t>
            </w:r>
          </w:p>
        </w:tc>
        <w:tc>
          <w:tcPr>
            <w:tcW w:w="2080" w:type="dxa"/>
            <w:vAlign w:val="bottom"/>
            <w:gridSpan w:val="2"/>
          </w:tcPr>
          <w:p>
            <w:pPr>
              <w:ind w:left="140"/>
              <w:spacing w:after="0"/>
              <w:rPr>
                <w:sz w:val="20"/>
                <w:szCs w:val="20"/>
                <w:color w:val="auto"/>
              </w:rPr>
            </w:pPr>
            <w:r>
              <w:rPr>
                <w:rFonts w:ascii="Arial" w:cs="Arial" w:eastAsia="Arial" w:hAnsi="Arial"/>
                <w:sz w:val="14"/>
                <w:szCs w:val="14"/>
                <w:color w:val="000033"/>
              </w:rPr>
              <w:t>August 28, 2019</w:t>
            </w:r>
          </w:p>
        </w:tc>
      </w:tr>
      <w:tr>
        <w:trPr>
          <w:trHeight w:val="202"/>
        </w:trPr>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40" w:type="dxa"/>
            <w:vAlign w:val="bottom"/>
          </w:tcPr>
          <w:p>
            <w:pPr>
              <w:jc w:val="center"/>
              <w:ind w:right="1589"/>
              <w:spacing w:after="0"/>
              <w:rPr>
                <w:sz w:val="20"/>
                <w:szCs w:val="20"/>
                <w:color w:val="auto"/>
              </w:rPr>
            </w:pPr>
            <w:r>
              <w:rPr>
                <w:rFonts w:ascii="Arial" w:cs="Arial" w:eastAsia="Arial" w:hAnsi="Arial"/>
                <w:sz w:val="14"/>
                <w:szCs w:val="14"/>
                <w:b w:val="1"/>
                <w:bCs w:val="1"/>
                <w:color w:val="000033"/>
                <w:w w:val="90"/>
              </w:rPr>
              <w:t>Jack Boyle</w:t>
            </w:r>
          </w:p>
        </w:tc>
        <w:tc>
          <w:tcPr>
            <w:tcW w:w="16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357"/>
        </w:trPr>
        <w:tc>
          <w:tcPr>
            <w:tcW w:w="1320" w:type="dxa"/>
            <w:vAlign w:val="bottom"/>
            <w:tcBorders>
              <w:bottom w:val="single" w:sz="8" w:color="auto"/>
            </w:tcBorders>
          </w:tcPr>
          <w:p>
            <w:pPr>
              <w:ind w:left="1200"/>
              <w:spacing w:after="0"/>
              <w:rPr>
                <w:sz w:val="20"/>
                <w:szCs w:val="20"/>
                <w:color w:val="auto"/>
              </w:rPr>
            </w:pPr>
            <w:r>
              <w:rPr>
                <w:rFonts w:ascii="Arial" w:cs="Arial" w:eastAsia="Arial" w:hAnsi="Arial"/>
                <w:sz w:val="13"/>
                <w:szCs w:val="13"/>
                <w:color w:val="000033"/>
                <w:w w:val="72"/>
              </w:rPr>
              <w:t>/s/</w:t>
            </w:r>
          </w:p>
        </w:tc>
        <w:tc>
          <w:tcPr>
            <w:tcW w:w="2780" w:type="dxa"/>
            <w:vAlign w:val="bottom"/>
            <w:tcBorders>
              <w:bottom w:val="single" w:sz="8" w:color="auto"/>
            </w:tcBorders>
            <w:gridSpan w:val="3"/>
          </w:tcPr>
          <w:p>
            <w:pPr>
              <w:jc w:val="center"/>
              <w:ind w:right="1009"/>
              <w:spacing w:after="0"/>
              <w:rPr>
                <w:sz w:val="20"/>
                <w:szCs w:val="20"/>
                <w:color w:val="auto"/>
              </w:rPr>
            </w:pPr>
            <w:r>
              <w:rPr>
                <w:rFonts w:ascii="Arial" w:cs="Arial" w:eastAsia="Arial" w:hAnsi="Arial"/>
                <w:sz w:val="14"/>
                <w:szCs w:val="14"/>
                <w:color w:val="000033"/>
                <w:w w:val="97"/>
              </w:rPr>
              <w:t>LIONEL F. CONACHER</w:t>
            </w:r>
          </w:p>
        </w:tc>
        <w:tc>
          <w:tcPr>
            <w:tcW w:w="160" w:type="dxa"/>
            <w:vAlign w:val="bottom"/>
          </w:tcPr>
          <w:p>
            <w:pPr>
              <w:spacing w:after="0"/>
              <w:rPr>
                <w:sz w:val="24"/>
                <w:szCs w:val="24"/>
                <w:color w:val="auto"/>
              </w:rPr>
            </w:pPr>
          </w:p>
        </w:tc>
        <w:tc>
          <w:tcPr>
            <w:tcW w:w="5100" w:type="dxa"/>
            <w:vAlign w:val="bottom"/>
          </w:tcPr>
          <w:p>
            <w:pPr>
              <w:spacing w:after="0"/>
              <w:rPr>
                <w:sz w:val="20"/>
                <w:szCs w:val="20"/>
                <w:color w:val="auto"/>
              </w:rPr>
            </w:pPr>
            <w:r>
              <w:rPr>
                <w:rFonts w:ascii="Arial" w:cs="Arial" w:eastAsia="Arial" w:hAnsi="Arial"/>
                <w:sz w:val="14"/>
                <w:szCs w:val="14"/>
                <w:color w:val="000033"/>
              </w:rPr>
              <w:t>Director</w:t>
            </w:r>
          </w:p>
        </w:tc>
        <w:tc>
          <w:tcPr>
            <w:tcW w:w="2080" w:type="dxa"/>
            <w:vAlign w:val="bottom"/>
            <w:gridSpan w:val="2"/>
          </w:tcPr>
          <w:p>
            <w:pPr>
              <w:ind w:left="140"/>
              <w:spacing w:after="0"/>
              <w:rPr>
                <w:sz w:val="20"/>
                <w:szCs w:val="20"/>
                <w:color w:val="auto"/>
              </w:rPr>
            </w:pPr>
            <w:r>
              <w:rPr>
                <w:rFonts w:ascii="Arial" w:cs="Arial" w:eastAsia="Arial" w:hAnsi="Arial"/>
                <w:sz w:val="14"/>
                <w:szCs w:val="14"/>
                <w:color w:val="000033"/>
              </w:rPr>
              <w:t>August 28, 2019</w:t>
            </w:r>
          </w:p>
        </w:tc>
      </w:tr>
      <w:tr>
        <w:trPr>
          <w:trHeight w:val="202"/>
        </w:trPr>
        <w:tc>
          <w:tcPr>
            <w:tcW w:w="1320" w:type="dxa"/>
            <w:vAlign w:val="bottom"/>
          </w:tcPr>
          <w:p>
            <w:pPr>
              <w:spacing w:after="0"/>
              <w:rPr>
                <w:sz w:val="17"/>
                <w:szCs w:val="17"/>
                <w:color w:val="auto"/>
              </w:rPr>
            </w:pPr>
          </w:p>
        </w:tc>
        <w:tc>
          <w:tcPr>
            <w:tcW w:w="2780" w:type="dxa"/>
            <w:vAlign w:val="bottom"/>
            <w:gridSpan w:val="3"/>
          </w:tcPr>
          <w:p>
            <w:pPr>
              <w:jc w:val="center"/>
              <w:ind w:right="1269"/>
              <w:spacing w:after="0"/>
              <w:rPr>
                <w:sz w:val="20"/>
                <w:szCs w:val="20"/>
                <w:color w:val="auto"/>
              </w:rPr>
            </w:pPr>
            <w:r>
              <w:rPr>
                <w:rFonts w:ascii="Arial" w:cs="Arial" w:eastAsia="Arial" w:hAnsi="Arial"/>
                <w:sz w:val="14"/>
                <w:szCs w:val="14"/>
                <w:b w:val="1"/>
                <w:bCs w:val="1"/>
                <w:color w:val="000033"/>
                <w:w w:val="92"/>
              </w:rPr>
              <w:t>Lionel F. Conacher</w:t>
            </w:r>
          </w:p>
        </w:tc>
        <w:tc>
          <w:tcPr>
            <w:tcW w:w="16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357"/>
        </w:trPr>
        <w:tc>
          <w:tcPr>
            <w:tcW w:w="1320" w:type="dxa"/>
            <w:vAlign w:val="bottom"/>
            <w:tcBorders>
              <w:bottom w:val="single" w:sz="8" w:color="auto"/>
            </w:tcBorders>
          </w:tcPr>
          <w:p>
            <w:pPr>
              <w:ind w:left="1160"/>
              <w:spacing w:after="0"/>
              <w:rPr>
                <w:sz w:val="20"/>
                <w:szCs w:val="20"/>
                <w:color w:val="auto"/>
              </w:rPr>
            </w:pPr>
            <w:r>
              <w:rPr>
                <w:rFonts w:ascii="Arial" w:cs="Arial" w:eastAsia="Arial" w:hAnsi="Arial"/>
                <w:sz w:val="14"/>
                <w:szCs w:val="14"/>
                <w:color w:val="000033"/>
                <w:w w:val="94"/>
              </w:rPr>
              <w:t>/s/</w:t>
            </w:r>
          </w:p>
        </w:tc>
        <w:tc>
          <w:tcPr>
            <w:tcW w:w="2780" w:type="dxa"/>
            <w:vAlign w:val="bottom"/>
            <w:tcBorders>
              <w:bottom w:val="single" w:sz="8" w:color="auto"/>
            </w:tcBorders>
            <w:gridSpan w:val="3"/>
          </w:tcPr>
          <w:p>
            <w:pPr>
              <w:jc w:val="center"/>
              <w:ind w:right="1029"/>
              <w:spacing w:after="0"/>
              <w:rPr>
                <w:sz w:val="20"/>
                <w:szCs w:val="20"/>
                <w:color w:val="auto"/>
              </w:rPr>
            </w:pPr>
            <w:r>
              <w:rPr>
                <w:rFonts w:ascii="Arial" w:cs="Arial" w:eastAsia="Arial" w:hAnsi="Arial"/>
                <w:sz w:val="14"/>
                <w:szCs w:val="14"/>
                <w:color w:val="000033"/>
              </w:rPr>
              <w:t>SEYMOUR HOLTZMAN</w:t>
            </w:r>
          </w:p>
        </w:tc>
        <w:tc>
          <w:tcPr>
            <w:tcW w:w="160" w:type="dxa"/>
            <w:vAlign w:val="bottom"/>
          </w:tcPr>
          <w:p>
            <w:pPr>
              <w:spacing w:after="0"/>
              <w:rPr>
                <w:sz w:val="24"/>
                <w:szCs w:val="24"/>
                <w:color w:val="auto"/>
              </w:rPr>
            </w:pPr>
          </w:p>
        </w:tc>
        <w:tc>
          <w:tcPr>
            <w:tcW w:w="5100" w:type="dxa"/>
            <w:vAlign w:val="bottom"/>
          </w:tcPr>
          <w:p>
            <w:pPr>
              <w:spacing w:after="0"/>
              <w:rPr>
                <w:sz w:val="20"/>
                <w:szCs w:val="20"/>
                <w:color w:val="auto"/>
              </w:rPr>
            </w:pPr>
            <w:r>
              <w:rPr>
                <w:rFonts w:ascii="Arial" w:cs="Arial" w:eastAsia="Arial" w:hAnsi="Arial"/>
                <w:sz w:val="14"/>
                <w:szCs w:val="14"/>
                <w:color w:val="000033"/>
              </w:rPr>
              <w:t>Director</w:t>
            </w:r>
          </w:p>
        </w:tc>
        <w:tc>
          <w:tcPr>
            <w:tcW w:w="2080" w:type="dxa"/>
            <w:vAlign w:val="bottom"/>
            <w:gridSpan w:val="2"/>
          </w:tcPr>
          <w:p>
            <w:pPr>
              <w:ind w:left="140"/>
              <w:spacing w:after="0"/>
              <w:rPr>
                <w:sz w:val="20"/>
                <w:szCs w:val="20"/>
                <w:color w:val="auto"/>
              </w:rPr>
            </w:pPr>
            <w:r>
              <w:rPr>
                <w:rFonts w:ascii="Arial" w:cs="Arial" w:eastAsia="Arial" w:hAnsi="Arial"/>
                <w:sz w:val="14"/>
                <w:szCs w:val="14"/>
                <w:color w:val="000033"/>
              </w:rPr>
              <w:t>August 28, 2019</w:t>
            </w:r>
          </w:p>
        </w:tc>
      </w:tr>
      <w:tr>
        <w:trPr>
          <w:trHeight w:val="202"/>
        </w:trPr>
        <w:tc>
          <w:tcPr>
            <w:tcW w:w="1320" w:type="dxa"/>
            <w:vAlign w:val="bottom"/>
          </w:tcPr>
          <w:p>
            <w:pPr>
              <w:spacing w:after="0"/>
              <w:rPr>
                <w:sz w:val="17"/>
                <w:szCs w:val="17"/>
                <w:color w:val="auto"/>
              </w:rPr>
            </w:pPr>
          </w:p>
        </w:tc>
        <w:tc>
          <w:tcPr>
            <w:tcW w:w="2780" w:type="dxa"/>
            <w:vAlign w:val="bottom"/>
            <w:gridSpan w:val="3"/>
          </w:tcPr>
          <w:p>
            <w:pPr>
              <w:jc w:val="center"/>
              <w:ind w:right="1249"/>
              <w:spacing w:after="0"/>
              <w:rPr>
                <w:sz w:val="20"/>
                <w:szCs w:val="20"/>
                <w:color w:val="auto"/>
              </w:rPr>
            </w:pPr>
            <w:r>
              <w:rPr>
                <w:rFonts w:ascii="Arial" w:cs="Arial" w:eastAsia="Arial" w:hAnsi="Arial"/>
                <w:sz w:val="14"/>
                <w:szCs w:val="14"/>
                <w:b w:val="1"/>
                <w:bCs w:val="1"/>
                <w:color w:val="000033"/>
                <w:w w:val="93"/>
              </w:rPr>
              <w:t>Seymour Holtzman</w:t>
            </w:r>
          </w:p>
        </w:tc>
        <w:tc>
          <w:tcPr>
            <w:tcW w:w="16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357"/>
        </w:trPr>
        <w:tc>
          <w:tcPr>
            <w:tcW w:w="1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4"/>
                <w:szCs w:val="14"/>
                <w:color w:val="000033"/>
              </w:rPr>
              <w:t>/s/</w:t>
            </w:r>
          </w:p>
        </w:tc>
        <w:tc>
          <w:tcPr>
            <w:tcW w:w="2600" w:type="dxa"/>
            <w:vAlign w:val="bottom"/>
            <w:tcBorders>
              <w:bottom w:val="single" w:sz="8" w:color="auto"/>
            </w:tcBorders>
            <w:gridSpan w:val="2"/>
          </w:tcPr>
          <w:p>
            <w:pPr>
              <w:jc w:val="center"/>
              <w:ind w:right="1209"/>
              <w:spacing w:after="0"/>
              <w:rPr>
                <w:sz w:val="20"/>
                <w:szCs w:val="20"/>
                <w:color w:val="auto"/>
              </w:rPr>
            </w:pPr>
            <w:r>
              <w:rPr>
                <w:rFonts w:ascii="Arial" w:cs="Arial" w:eastAsia="Arial" w:hAnsi="Arial"/>
                <w:sz w:val="14"/>
                <w:szCs w:val="14"/>
                <w:color w:val="000033"/>
              </w:rPr>
              <w:t>WILLEM MESDAG</w:t>
            </w:r>
          </w:p>
        </w:tc>
        <w:tc>
          <w:tcPr>
            <w:tcW w:w="160" w:type="dxa"/>
            <w:vAlign w:val="bottom"/>
          </w:tcPr>
          <w:p>
            <w:pPr>
              <w:spacing w:after="0"/>
              <w:rPr>
                <w:sz w:val="24"/>
                <w:szCs w:val="24"/>
                <w:color w:val="auto"/>
              </w:rPr>
            </w:pPr>
          </w:p>
        </w:tc>
        <w:tc>
          <w:tcPr>
            <w:tcW w:w="5100" w:type="dxa"/>
            <w:vAlign w:val="bottom"/>
          </w:tcPr>
          <w:p>
            <w:pPr>
              <w:spacing w:after="0"/>
              <w:rPr>
                <w:sz w:val="20"/>
                <w:szCs w:val="20"/>
                <w:color w:val="auto"/>
              </w:rPr>
            </w:pPr>
            <w:r>
              <w:rPr>
                <w:rFonts w:ascii="Arial" w:cs="Arial" w:eastAsia="Arial" w:hAnsi="Arial"/>
                <w:sz w:val="14"/>
                <w:szCs w:val="14"/>
                <w:color w:val="000033"/>
              </w:rPr>
              <w:t>Director</w:t>
            </w:r>
          </w:p>
        </w:tc>
        <w:tc>
          <w:tcPr>
            <w:tcW w:w="2080" w:type="dxa"/>
            <w:vAlign w:val="bottom"/>
            <w:gridSpan w:val="2"/>
          </w:tcPr>
          <w:p>
            <w:pPr>
              <w:ind w:left="140"/>
              <w:spacing w:after="0"/>
              <w:rPr>
                <w:sz w:val="20"/>
                <w:szCs w:val="20"/>
                <w:color w:val="auto"/>
              </w:rPr>
            </w:pPr>
            <w:r>
              <w:rPr>
                <w:rFonts w:ascii="Arial" w:cs="Arial" w:eastAsia="Arial" w:hAnsi="Arial"/>
                <w:sz w:val="14"/>
                <w:szCs w:val="14"/>
                <w:color w:val="000033"/>
              </w:rPr>
              <w:t>August 28, 2019</w:t>
            </w:r>
          </w:p>
        </w:tc>
      </w:tr>
      <w:tr>
        <w:trPr>
          <w:trHeight w:val="202"/>
        </w:trPr>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0" w:type="dxa"/>
            <w:vAlign w:val="bottom"/>
            <w:gridSpan w:val="2"/>
          </w:tcPr>
          <w:p>
            <w:pPr>
              <w:jc w:val="center"/>
              <w:ind w:right="1429"/>
              <w:spacing w:after="0"/>
              <w:rPr>
                <w:sz w:val="20"/>
                <w:szCs w:val="20"/>
                <w:color w:val="auto"/>
              </w:rPr>
            </w:pPr>
            <w:r>
              <w:rPr>
                <w:rFonts w:ascii="Arial" w:cs="Arial" w:eastAsia="Arial" w:hAnsi="Arial"/>
                <w:sz w:val="14"/>
                <w:szCs w:val="14"/>
                <w:b w:val="1"/>
                <w:bCs w:val="1"/>
                <w:color w:val="000033"/>
                <w:w w:val="92"/>
              </w:rPr>
              <w:t>Willem Mesdag</w:t>
            </w:r>
          </w:p>
        </w:tc>
        <w:tc>
          <w:tcPr>
            <w:tcW w:w="16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357"/>
        </w:trPr>
        <w:tc>
          <w:tcPr>
            <w:tcW w:w="1500" w:type="dxa"/>
            <w:vAlign w:val="bottom"/>
            <w:tcBorders>
              <w:bottom w:val="single" w:sz="8" w:color="auto"/>
            </w:tcBorders>
            <w:gridSpan w:val="2"/>
          </w:tcPr>
          <w:p>
            <w:pPr>
              <w:ind w:left="1300"/>
              <w:spacing w:after="0"/>
              <w:rPr>
                <w:sz w:val="20"/>
                <w:szCs w:val="20"/>
                <w:color w:val="auto"/>
              </w:rPr>
            </w:pPr>
            <w:r>
              <w:rPr>
                <w:rFonts w:ascii="Arial" w:cs="Arial" w:eastAsia="Arial" w:hAnsi="Arial"/>
                <w:sz w:val="14"/>
                <w:szCs w:val="14"/>
                <w:color w:val="000033"/>
              </w:rPr>
              <w:t>/s/</w:t>
            </w:r>
          </w:p>
        </w:tc>
        <w:tc>
          <w:tcPr>
            <w:tcW w:w="2600" w:type="dxa"/>
            <w:vAlign w:val="bottom"/>
            <w:tcBorders>
              <w:bottom w:val="single" w:sz="8" w:color="auto"/>
            </w:tcBorders>
            <w:gridSpan w:val="2"/>
          </w:tcPr>
          <w:p>
            <w:pPr>
              <w:jc w:val="center"/>
              <w:ind w:right="1209"/>
              <w:spacing w:after="0"/>
              <w:rPr>
                <w:sz w:val="20"/>
                <w:szCs w:val="20"/>
                <w:color w:val="auto"/>
              </w:rPr>
            </w:pPr>
            <w:r>
              <w:rPr>
                <w:rFonts w:ascii="Arial" w:cs="Arial" w:eastAsia="Arial" w:hAnsi="Arial"/>
                <w:sz w:val="14"/>
                <w:szCs w:val="14"/>
                <w:color w:val="000033"/>
                <w:w w:val="98"/>
              </w:rPr>
              <w:t>WARD K. MOONEY</w:t>
            </w:r>
          </w:p>
        </w:tc>
        <w:tc>
          <w:tcPr>
            <w:tcW w:w="160" w:type="dxa"/>
            <w:vAlign w:val="bottom"/>
          </w:tcPr>
          <w:p>
            <w:pPr>
              <w:spacing w:after="0"/>
              <w:rPr>
                <w:sz w:val="24"/>
                <w:szCs w:val="24"/>
                <w:color w:val="auto"/>
              </w:rPr>
            </w:pPr>
          </w:p>
        </w:tc>
        <w:tc>
          <w:tcPr>
            <w:tcW w:w="5100" w:type="dxa"/>
            <w:vAlign w:val="bottom"/>
          </w:tcPr>
          <w:p>
            <w:pPr>
              <w:spacing w:after="0"/>
              <w:rPr>
                <w:sz w:val="20"/>
                <w:szCs w:val="20"/>
                <w:color w:val="auto"/>
              </w:rPr>
            </w:pPr>
            <w:r>
              <w:rPr>
                <w:rFonts w:ascii="Arial" w:cs="Arial" w:eastAsia="Arial" w:hAnsi="Arial"/>
                <w:sz w:val="14"/>
                <w:szCs w:val="14"/>
                <w:color w:val="000033"/>
              </w:rPr>
              <w:t>Director</w:t>
            </w:r>
          </w:p>
        </w:tc>
        <w:tc>
          <w:tcPr>
            <w:tcW w:w="2080" w:type="dxa"/>
            <w:vAlign w:val="bottom"/>
            <w:gridSpan w:val="2"/>
          </w:tcPr>
          <w:p>
            <w:pPr>
              <w:ind w:left="140"/>
              <w:spacing w:after="0"/>
              <w:rPr>
                <w:sz w:val="20"/>
                <w:szCs w:val="20"/>
                <w:color w:val="auto"/>
              </w:rPr>
            </w:pPr>
            <w:r>
              <w:rPr>
                <w:rFonts w:ascii="Arial" w:cs="Arial" w:eastAsia="Arial" w:hAnsi="Arial"/>
                <w:sz w:val="14"/>
                <w:szCs w:val="14"/>
                <w:color w:val="000033"/>
              </w:rPr>
              <w:t>August 28, 2019</w:t>
            </w:r>
          </w:p>
        </w:tc>
      </w:tr>
      <w:tr>
        <w:trPr>
          <w:trHeight w:val="202"/>
        </w:trPr>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0" w:type="dxa"/>
            <w:vAlign w:val="bottom"/>
            <w:gridSpan w:val="2"/>
          </w:tcPr>
          <w:p>
            <w:pPr>
              <w:jc w:val="center"/>
              <w:ind w:right="1429"/>
              <w:spacing w:after="0"/>
              <w:rPr>
                <w:sz w:val="20"/>
                <w:szCs w:val="20"/>
                <w:color w:val="auto"/>
              </w:rPr>
            </w:pPr>
            <w:r>
              <w:rPr>
                <w:rFonts w:ascii="Arial" w:cs="Arial" w:eastAsia="Arial" w:hAnsi="Arial"/>
                <w:sz w:val="14"/>
                <w:szCs w:val="14"/>
                <w:b w:val="1"/>
                <w:bCs w:val="1"/>
                <w:color w:val="000033"/>
                <w:w w:val="96"/>
              </w:rPr>
              <w:t>Ward K. Mooney</w:t>
            </w:r>
          </w:p>
        </w:tc>
        <w:tc>
          <w:tcPr>
            <w:tcW w:w="16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357"/>
        </w:trPr>
        <w:tc>
          <w:tcPr>
            <w:tcW w:w="1320" w:type="dxa"/>
            <w:vAlign w:val="bottom"/>
            <w:tcBorders>
              <w:bottom w:val="single" w:sz="8" w:color="auto"/>
            </w:tcBorders>
          </w:tcPr>
          <w:p>
            <w:pPr>
              <w:ind w:left="1160"/>
              <w:spacing w:after="0"/>
              <w:rPr>
                <w:sz w:val="20"/>
                <w:szCs w:val="20"/>
                <w:color w:val="auto"/>
              </w:rPr>
            </w:pPr>
            <w:r>
              <w:rPr>
                <w:rFonts w:ascii="Arial" w:cs="Arial" w:eastAsia="Arial" w:hAnsi="Arial"/>
                <w:sz w:val="14"/>
                <w:szCs w:val="14"/>
                <w:color w:val="000033"/>
                <w:w w:val="94"/>
              </w:rPr>
              <w:t>/s/</w:t>
            </w:r>
          </w:p>
        </w:tc>
        <w:tc>
          <w:tcPr>
            <w:tcW w:w="2780" w:type="dxa"/>
            <w:vAlign w:val="bottom"/>
            <w:tcBorders>
              <w:bottom w:val="single" w:sz="8" w:color="auto"/>
            </w:tcBorders>
            <w:gridSpan w:val="3"/>
          </w:tcPr>
          <w:p>
            <w:pPr>
              <w:jc w:val="center"/>
              <w:ind w:right="969"/>
              <w:spacing w:after="0"/>
              <w:rPr>
                <w:sz w:val="20"/>
                <w:szCs w:val="20"/>
                <w:color w:val="auto"/>
              </w:rPr>
            </w:pPr>
            <w:r>
              <w:rPr>
                <w:rFonts w:ascii="Arial" w:cs="Arial" w:eastAsia="Arial" w:hAnsi="Arial"/>
                <w:sz w:val="14"/>
                <w:szCs w:val="14"/>
                <w:color w:val="000033"/>
                <w:w w:val="95"/>
              </w:rPr>
              <w:t>MITCHELL S. PRESSER</w:t>
            </w:r>
          </w:p>
        </w:tc>
        <w:tc>
          <w:tcPr>
            <w:tcW w:w="160" w:type="dxa"/>
            <w:vAlign w:val="bottom"/>
          </w:tcPr>
          <w:p>
            <w:pPr>
              <w:spacing w:after="0"/>
              <w:rPr>
                <w:sz w:val="24"/>
                <w:szCs w:val="24"/>
                <w:color w:val="auto"/>
              </w:rPr>
            </w:pPr>
          </w:p>
        </w:tc>
        <w:tc>
          <w:tcPr>
            <w:tcW w:w="5100" w:type="dxa"/>
            <w:vAlign w:val="bottom"/>
          </w:tcPr>
          <w:p>
            <w:pPr>
              <w:spacing w:after="0"/>
              <w:rPr>
                <w:sz w:val="20"/>
                <w:szCs w:val="20"/>
                <w:color w:val="auto"/>
              </w:rPr>
            </w:pPr>
            <w:r>
              <w:rPr>
                <w:rFonts w:ascii="Arial" w:cs="Arial" w:eastAsia="Arial" w:hAnsi="Arial"/>
                <w:sz w:val="14"/>
                <w:szCs w:val="14"/>
                <w:color w:val="000033"/>
              </w:rPr>
              <w:t>Director</w:t>
            </w:r>
          </w:p>
        </w:tc>
        <w:tc>
          <w:tcPr>
            <w:tcW w:w="2080" w:type="dxa"/>
            <w:vAlign w:val="bottom"/>
            <w:gridSpan w:val="2"/>
          </w:tcPr>
          <w:p>
            <w:pPr>
              <w:ind w:left="140"/>
              <w:spacing w:after="0"/>
              <w:rPr>
                <w:sz w:val="20"/>
                <w:szCs w:val="20"/>
                <w:color w:val="auto"/>
              </w:rPr>
            </w:pPr>
            <w:r>
              <w:rPr>
                <w:rFonts w:ascii="Arial" w:cs="Arial" w:eastAsia="Arial" w:hAnsi="Arial"/>
                <w:sz w:val="14"/>
                <w:szCs w:val="14"/>
                <w:color w:val="000033"/>
              </w:rPr>
              <w:t>August 28, 2019</w:t>
            </w:r>
          </w:p>
        </w:tc>
      </w:tr>
      <w:tr>
        <w:trPr>
          <w:trHeight w:val="202"/>
        </w:trPr>
        <w:tc>
          <w:tcPr>
            <w:tcW w:w="1320" w:type="dxa"/>
            <w:vAlign w:val="bottom"/>
          </w:tcPr>
          <w:p>
            <w:pPr>
              <w:spacing w:after="0"/>
              <w:rPr>
                <w:sz w:val="17"/>
                <w:szCs w:val="17"/>
                <w:color w:val="auto"/>
              </w:rPr>
            </w:pPr>
          </w:p>
        </w:tc>
        <w:tc>
          <w:tcPr>
            <w:tcW w:w="2780" w:type="dxa"/>
            <w:vAlign w:val="bottom"/>
            <w:gridSpan w:val="3"/>
          </w:tcPr>
          <w:p>
            <w:pPr>
              <w:jc w:val="center"/>
              <w:ind w:right="1249"/>
              <w:spacing w:after="0"/>
              <w:rPr>
                <w:sz w:val="20"/>
                <w:szCs w:val="20"/>
                <w:color w:val="auto"/>
              </w:rPr>
            </w:pPr>
            <w:r>
              <w:rPr>
                <w:rFonts w:ascii="Arial" w:cs="Arial" w:eastAsia="Arial" w:hAnsi="Arial"/>
                <w:sz w:val="14"/>
                <w:szCs w:val="14"/>
                <w:b w:val="1"/>
                <w:bCs w:val="1"/>
                <w:color w:val="000033"/>
                <w:w w:val="91"/>
              </w:rPr>
              <w:t>Mitchell S. Presser</w:t>
            </w:r>
          </w:p>
        </w:tc>
        <w:tc>
          <w:tcPr>
            <w:tcW w:w="16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357"/>
        </w:trPr>
        <w:tc>
          <w:tcPr>
            <w:tcW w:w="1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2"/>
          </w:tcPr>
          <w:p>
            <w:pPr>
              <w:jc w:val="center"/>
              <w:ind w:right="1469"/>
              <w:spacing w:after="0"/>
              <w:rPr>
                <w:sz w:val="20"/>
                <w:szCs w:val="20"/>
                <w:color w:val="auto"/>
              </w:rPr>
            </w:pPr>
            <w:r>
              <w:rPr>
                <w:rFonts w:ascii="Arial" w:cs="Arial" w:eastAsia="Arial" w:hAnsi="Arial"/>
                <w:sz w:val="14"/>
                <w:szCs w:val="14"/>
                <w:color w:val="000033"/>
              </w:rPr>
              <w:t>/s/ IVY ROSS</w:t>
            </w:r>
          </w:p>
        </w:tc>
        <w:tc>
          <w:tcPr>
            <w:tcW w:w="160" w:type="dxa"/>
            <w:vAlign w:val="bottom"/>
          </w:tcPr>
          <w:p>
            <w:pPr>
              <w:spacing w:after="0"/>
              <w:rPr>
                <w:sz w:val="24"/>
                <w:szCs w:val="24"/>
                <w:color w:val="auto"/>
              </w:rPr>
            </w:pPr>
          </w:p>
        </w:tc>
        <w:tc>
          <w:tcPr>
            <w:tcW w:w="5100" w:type="dxa"/>
            <w:vAlign w:val="bottom"/>
          </w:tcPr>
          <w:p>
            <w:pPr>
              <w:spacing w:after="0"/>
              <w:rPr>
                <w:sz w:val="20"/>
                <w:szCs w:val="20"/>
                <w:color w:val="auto"/>
              </w:rPr>
            </w:pPr>
            <w:r>
              <w:rPr>
                <w:rFonts w:ascii="Arial" w:cs="Arial" w:eastAsia="Arial" w:hAnsi="Arial"/>
                <w:sz w:val="14"/>
                <w:szCs w:val="14"/>
                <w:color w:val="000033"/>
              </w:rPr>
              <w:t>Director</w:t>
            </w:r>
          </w:p>
        </w:tc>
        <w:tc>
          <w:tcPr>
            <w:tcW w:w="2080" w:type="dxa"/>
            <w:vAlign w:val="bottom"/>
            <w:gridSpan w:val="2"/>
          </w:tcPr>
          <w:p>
            <w:pPr>
              <w:ind w:left="140"/>
              <w:spacing w:after="0"/>
              <w:rPr>
                <w:sz w:val="20"/>
                <w:szCs w:val="20"/>
                <w:color w:val="auto"/>
              </w:rPr>
            </w:pPr>
            <w:r>
              <w:rPr>
                <w:rFonts w:ascii="Arial" w:cs="Arial" w:eastAsia="Arial" w:hAnsi="Arial"/>
                <w:sz w:val="14"/>
                <w:szCs w:val="14"/>
                <w:color w:val="000033"/>
              </w:rPr>
              <w:t>August 28, 2019</w:t>
            </w:r>
          </w:p>
        </w:tc>
      </w:tr>
      <w:tr>
        <w:trPr>
          <w:trHeight w:val="202"/>
        </w:trPr>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40" w:type="dxa"/>
            <w:vAlign w:val="bottom"/>
          </w:tcPr>
          <w:p>
            <w:pPr>
              <w:jc w:val="center"/>
              <w:ind w:right="1609"/>
              <w:spacing w:after="0"/>
              <w:rPr>
                <w:sz w:val="20"/>
                <w:szCs w:val="20"/>
                <w:color w:val="auto"/>
              </w:rPr>
            </w:pPr>
            <w:r>
              <w:rPr>
                <w:rFonts w:ascii="Arial" w:cs="Arial" w:eastAsia="Arial" w:hAnsi="Arial"/>
                <w:sz w:val="14"/>
                <w:szCs w:val="14"/>
                <w:b w:val="1"/>
                <w:bCs w:val="1"/>
                <w:color w:val="000033"/>
                <w:w w:val="90"/>
              </w:rPr>
              <w:t>Ivy Ross</w:t>
            </w:r>
          </w:p>
        </w:tc>
        <w:tc>
          <w:tcPr>
            <w:tcW w:w="16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Pr>
          <w:p>
            <w:pPr>
              <w:spacing w:after="0"/>
              <w:rPr>
                <w:sz w:val="17"/>
                <w:szCs w:val="17"/>
                <w:color w:val="auto"/>
              </w:rPr>
            </w:pPr>
          </w:p>
        </w:tc>
      </w:tr>
    </w:tbl>
    <w:p>
      <w:pPr>
        <w:sectPr>
          <w:pgSz w:w="11900" w:h="16838" w:orient="portrait"/>
          <w:cols w:equalWidth="0" w:num="1">
            <w:col w:w="11440"/>
          </w:cols>
          <w:pgMar w:left="240" w:top="116" w:right="219" w:bottom="1440" w:gutter="0" w:footer="0" w:header="0"/>
        </w:sectPr>
      </w:pPr>
    </w:p>
    <w:bookmarkStart w:id="4" w:name="page5"/>
    <w:bookmarkEnd w:id="4"/>
    <w:p>
      <w:pPr>
        <w:ind w:left="107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149225</wp:posOffset>
            </wp:positionH>
            <wp:positionV relativeFrom="page">
              <wp:posOffset>88900</wp:posOffset>
            </wp:positionV>
            <wp:extent cx="1778635" cy="2851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778635" cy="285115"/>
                    </a:xfrm>
                    <a:prstGeom prst="rect">
                      <a:avLst/>
                    </a:prstGeom>
                    <a:noFill/>
                  </pic:spPr>
                </pic:pic>
              </a:graphicData>
            </a:graphic>
          </wp:anchor>
        </w:drawing>
        <w:t>Exhibit 5.1</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August 28, 2019</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Destination XL Group, Inc.</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555 Turnpike Street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Canton, Massachusetts 02021</w:t>
      </w:r>
    </w:p>
    <w:p>
      <w:pPr>
        <w:spacing w:after="0" w:line="88" w:lineRule="exact"/>
        <w:rPr>
          <w:sz w:val="20"/>
          <w:szCs w:val="20"/>
          <w:color w:val="auto"/>
        </w:rPr>
      </w:pPr>
    </w:p>
    <w:p>
      <w:pPr>
        <w:spacing w:after="0"/>
        <w:tabs>
          <w:tab w:leader="none" w:pos="840" w:val="left"/>
        </w:tabs>
        <w:rPr>
          <w:sz w:val="20"/>
          <w:szCs w:val="20"/>
          <w:color w:val="auto"/>
        </w:rPr>
      </w:pPr>
      <w:r>
        <w:rPr>
          <w:rFonts w:ascii="Arial" w:cs="Arial" w:eastAsia="Arial" w:hAnsi="Arial"/>
          <w:sz w:val="16"/>
          <w:szCs w:val="16"/>
          <w:color w:val="auto"/>
        </w:rPr>
        <w:t>Re:</w:t>
      </w:r>
      <w:r>
        <w:rPr>
          <w:sz w:val="20"/>
          <w:szCs w:val="20"/>
          <w:color w:val="auto"/>
        </w:rPr>
        <w:tab/>
      </w:r>
      <w:r>
        <w:rPr>
          <w:rFonts w:ascii="Arial" w:cs="Arial" w:eastAsia="Arial" w:hAnsi="Arial"/>
          <w:sz w:val="16"/>
          <w:szCs w:val="16"/>
          <w:color w:val="auto"/>
        </w:rPr>
        <w:t>Additional Shares to be Issued under the Destination Group XL, Inc. 2016 Incentive Compensation Plan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Ladies and Gentlemen:</w:t>
      </w:r>
    </w:p>
    <w:p>
      <w:pPr>
        <w:spacing w:after="0" w:line="194" w:lineRule="exact"/>
        <w:rPr>
          <w:sz w:val="20"/>
          <w:szCs w:val="20"/>
          <w:color w:val="auto"/>
        </w:rPr>
      </w:pPr>
    </w:p>
    <w:p>
      <w:pPr>
        <w:ind w:right="280"/>
        <w:spacing w:after="0" w:line="311" w:lineRule="auto"/>
        <w:rPr>
          <w:sz w:val="20"/>
          <w:szCs w:val="20"/>
          <w:color w:val="auto"/>
        </w:rPr>
      </w:pPr>
      <w:r>
        <w:rPr>
          <w:rFonts w:ascii="Arial" w:cs="Arial" w:eastAsia="Arial" w:hAnsi="Arial"/>
          <w:sz w:val="14"/>
          <w:szCs w:val="14"/>
          <w:color w:val="auto"/>
        </w:rPr>
        <w:t>We have assisted in the preparation of a Registration Statement on Form S-8 (the “Registration Statement”) to be filed with the Securities and Exchange Commission (the “Commission”) under the Securities Act of 1933, as amended (the “Securities Act”), relating to an aggregate of 2,800,000 shares (the “Shares”) of common stock, $0.01 par value per share, of Destination Group XL, Inc., a Delaware corporation (the “Company”), that may be issued under the Company’s 2016 Incentive Compensation Plan (the “Plan”).</w:t>
      </w:r>
    </w:p>
    <w:p>
      <w:pPr>
        <w:spacing w:after="0" w:line="130" w:lineRule="exact"/>
        <w:rPr>
          <w:sz w:val="20"/>
          <w:szCs w:val="20"/>
          <w:color w:val="auto"/>
        </w:rPr>
      </w:pPr>
    </w:p>
    <w:p>
      <w:pPr>
        <w:jc w:val="both"/>
        <w:ind w:right="100"/>
        <w:spacing w:after="0" w:line="257" w:lineRule="auto"/>
        <w:rPr>
          <w:sz w:val="20"/>
          <w:szCs w:val="20"/>
          <w:color w:val="auto"/>
        </w:rPr>
      </w:pPr>
      <w:r>
        <w:rPr>
          <w:rFonts w:ascii="Arial" w:cs="Arial" w:eastAsia="Arial" w:hAnsi="Arial"/>
          <w:sz w:val="16"/>
          <w:szCs w:val="16"/>
          <w:color w:val="auto"/>
        </w:rPr>
        <w:t>We have examined the Certificate of Incorporation and Bylaws of the Company, each as amended to date, and originals, or copies certified to our satisfaction, of all pertinent records of the meetings of the directors and stockholders of the Company, the Registration Statement and such other documents relating to the Company as we have deemed material for the purposes of this opinion.</w:t>
      </w:r>
    </w:p>
    <w:p>
      <w:pPr>
        <w:spacing w:after="0" w:line="165" w:lineRule="exact"/>
        <w:rPr>
          <w:sz w:val="20"/>
          <w:szCs w:val="20"/>
          <w:color w:val="auto"/>
        </w:rPr>
      </w:pPr>
    </w:p>
    <w:p>
      <w:pPr>
        <w:jc w:val="both"/>
        <w:ind w:right="160"/>
        <w:spacing w:after="0" w:line="257" w:lineRule="auto"/>
        <w:rPr>
          <w:sz w:val="20"/>
          <w:szCs w:val="20"/>
          <w:color w:val="auto"/>
        </w:rPr>
      </w:pPr>
      <w:r>
        <w:rPr>
          <w:rFonts w:ascii="Arial" w:cs="Arial" w:eastAsia="Arial" w:hAnsi="Arial"/>
          <w:sz w:val="16"/>
          <w:szCs w:val="16"/>
          <w:color w:val="auto"/>
        </w:rPr>
        <w:t>In our examination of the foregoing documents, we have assumed the genuineness of all signatures, the authenticity of all documents submitted to us as originals, the conformity to original documents of all documents submitted to us as certified, photostatic or other copies, the authenticity of the originals of any such documents, and the legal competence of all signatories to such documents.</w:t>
      </w:r>
    </w:p>
    <w:p>
      <w:pPr>
        <w:spacing w:after="0" w:line="165"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We assume that the appropriate action will be taken, prior to the offer and sale of the Shares in accordance with the Plan, to register and qualify the Shares for sale under all applicable state securities or “Blue Sky” laws. We express no opinion herein as to the laws of any state or jurisdiction other than the General Corporation Law of the State of Delaware and the federal laws of the United States of America. Please note that we are opining only as to the matters expressly set forth herein, and no opinion should be inferred as to any other matters.</w:t>
      </w:r>
    </w:p>
    <w:p>
      <w:pPr>
        <w:spacing w:after="0" w:line="170" w:lineRule="exact"/>
        <w:rPr>
          <w:sz w:val="20"/>
          <w:szCs w:val="20"/>
          <w:color w:val="auto"/>
        </w:rPr>
      </w:pPr>
    </w:p>
    <w:p>
      <w:pPr>
        <w:ind w:right="220"/>
        <w:spacing w:after="0" w:line="267" w:lineRule="auto"/>
        <w:rPr>
          <w:sz w:val="20"/>
          <w:szCs w:val="20"/>
          <w:color w:val="auto"/>
        </w:rPr>
      </w:pPr>
      <w:r>
        <w:rPr>
          <w:rFonts w:ascii="Arial" w:cs="Arial" w:eastAsia="Arial" w:hAnsi="Arial"/>
          <w:sz w:val="16"/>
          <w:szCs w:val="16"/>
          <w:color w:val="auto"/>
        </w:rPr>
        <w:t>Based on the foregoing, we are of the opinion that the Shares have been duly authorized for issuance and, when the Shares are issued and paid for in accordance with the terms and conditions of the Plan, the Shares will be validly issued, fully paid and nonassessable.</w:t>
      </w:r>
    </w:p>
    <w:p>
      <w:pPr>
        <w:spacing w:after="0" w:line="158" w:lineRule="exact"/>
        <w:rPr>
          <w:sz w:val="20"/>
          <w:szCs w:val="20"/>
          <w:color w:val="auto"/>
        </w:rPr>
      </w:pPr>
    </w:p>
    <w:p>
      <w:pPr>
        <w:ind w:right="380"/>
        <w:spacing w:after="0" w:line="257" w:lineRule="auto"/>
        <w:rPr>
          <w:sz w:val="20"/>
          <w:szCs w:val="20"/>
          <w:color w:val="auto"/>
        </w:rPr>
      </w:pPr>
      <w:r>
        <w:rPr>
          <w:rFonts w:ascii="Arial" w:cs="Arial" w:eastAsia="Arial" w:hAnsi="Arial"/>
          <w:sz w:val="16"/>
          <w:szCs w:val="16"/>
          <w:color w:val="auto"/>
        </w:rPr>
        <w:t>We hereby consent to the filing of this opinion with the Commission in connection with the Registration Statement in accordance with the requirements of Item 601(b)(5) of Regulation S-K under the Securities Act. In giving such consent, we do not hereby admit that we are in the category of persons whose consent is required under Section 7 of the Securities Act or the rules and regulations of the Commission.</w:t>
      </w:r>
    </w:p>
    <w:p>
      <w:pPr>
        <w:spacing w:after="0" w:line="165" w:lineRule="exact"/>
        <w:rPr>
          <w:sz w:val="20"/>
          <w:szCs w:val="20"/>
          <w:color w:val="auto"/>
        </w:rPr>
      </w:pPr>
    </w:p>
    <w:p>
      <w:pPr>
        <w:ind w:left="4400"/>
        <w:spacing w:after="0"/>
        <w:rPr>
          <w:sz w:val="20"/>
          <w:szCs w:val="20"/>
          <w:color w:val="auto"/>
        </w:rPr>
      </w:pPr>
      <w:r>
        <w:rPr>
          <w:rFonts w:ascii="Arial" w:cs="Arial" w:eastAsia="Arial" w:hAnsi="Arial"/>
          <w:sz w:val="16"/>
          <w:szCs w:val="16"/>
          <w:color w:val="auto"/>
        </w:rPr>
        <w:t>Very truly yours,</w:t>
      </w:r>
    </w:p>
    <w:p>
      <w:pPr>
        <w:spacing w:after="0" w:line="194" w:lineRule="exact"/>
        <w:rPr>
          <w:sz w:val="20"/>
          <w:szCs w:val="20"/>
          <w:color w:val="auto"/>
        </w:rPr>
      </w:pPr>
    </w:p>
    <w:p>
      <w:pPr>
        <w:ind w:left="4400"/>
        <w:spacing w:after="0"/>
        <w:rPr>
          <w:sz w:val="20"/>
          <w:szCs w:val="20"/>
          <w:color w:val="auto"/>
        </w:rPr>
      </w:pPr>
      <w:r>
        <w:rPr>
          <w:rFonts w:ascii="Arial" w:cs="Arial" w:eastAsia="Arial" w:hAnsi="Arial"/>
          <w:sz w:val="16"/>
          <w:szCs w:val="16"/>
          <w:color w:val="auto"/>
        </w:rPr>
        <w:t>/s/ Greenberg Traurig, LLP</w:t>
      </w:r>
    </w:p>
    <w:p>
      <w:pPr>
        <w:spacing w:after="0" w:line="194" w:lineRule="exact"/>
        <w:rPr>
          <w:sz w:val="20"/>
          <w:szCs w:val="20"/>
          <w:color w:val="auto"/>
        </w:rPr>
      </w:pPr>
    </w:p>
    <w:p>
      <w:pPr>
        <w:ind w:left="4400"/>
        <w:spacing w:after="0"/>
        <w:rPr>
          <w:sz w:val="20"/>
          <w:szCs w:val="20"/>
          <w:color w:val="auto"/>
        </w:rPr>
      </w:pPr>
      <w:r>
        <w:rPr>
          <w:rFonts w:ascii="Arial" w:cs="Arial" w:eastAsia="Arial" w:hAnsi="Arial"/>
          <w:sz w:val="16"/>
          <w:szCs w:val="16"/>
          <w:color w:val="auto"/>
        </w:rPr>
        <w:t>GREENBERG TRAURIG, LLP</w:t>
      </w:r>
    </w:p>
    <w:p>
      <w:pPr>
        <w:spacing w:after="0" w:line="281" w:lineRule="exact"/>
        <w:rPr>
          <w:sz w:val="20"/>
          <w:szCs w:val="20"/>
          <w:color w:val="auto"/>
        </w:rPr>
      </w:pPr>
    </w:p>
    <w:p>
      <w:pPr>
        <w:spacing w:after="0"/>
        <w:rPr>
          <w:sz w:val="20"/>
          <w:szCs w:val="20"/>
          <w:color w:val="auto"/>
        </w:rPr>
      </w:pPr>
      <w:r>
        <w:rPr>
          <w:rFonts w:ascii="Arial" w:cs="Arial" w:eastAsia="Arial" w:hAnsi="Arial"/>
          <w:sz w:val="13"/>
          <w:szCs w:val="13"/>
          <w:b w:val="1"/>
          <w:bCs w:val="1"/>
          <w:color w:val="4A4A4A"/>
        </w:rPr>
        <w:t>Greenberg Traurig, LLP | Attorneys at Law</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color w:val="4A4A4A"/>
        </w:rPr>
        <w:t>One International Place | Suite 2000 | Boston, Massachusetts 02110 | T +1 617.310.6000 | F +1 617.310.6001</w:t>
      </w:r>
    </w:p>
    <w:p>
      <w:pPr>
        <w:spacing w:after="0" w:line="71" w:lineRule="exact"/>
        <w:rPr>
          <w:sz w:val="20"/>
          <w:szCs w:val="20"/>
          <w:color w:val="auto"/>
        </w:rPr>
      </w:pPr>
    </w:p>
    <w:p>
      <w:pPr>
        <w:spacing w:after="0" w:line="231" w:lineRule="auto"/>
        <w:rPr>
          <w:sz w:val="20"/>
          <w:szCs w:val="20"/>
          <w:color w:val="auto"/>
        </w:rPr>
      </w:pPr>
      <w:r>
        <w:rPr>
          <w:rFonts w:ascii="Arial" w:cs="Arial" w:eastAsia="Arial" w:hAnsi="Arial"/>
          <w:sz w:val="11"/>
          <w:szCs w:val="11"/>
          <w:color w:val="4A4A4A"/>
        </w:rPr>
        <w:t>Albany. Amsterdam. Atlanta. Austin. Berlin</w:t>
      </w:r>
      <w:r>
        <w:rPr>
          <w:rFonts w:ascii="Arial" w:cs="Arial" w:eastAsia="Arial" w:hAnsi="Arial"/>
          <w:sz w:val="6"/>
          <w:szCs w:val="6"/>
          <w:color w:val="4A4A4A"/>
        </w:rPr>
        <w:t>¬</w:t>
      </w:r>
      <w:r>
        <w:rPr>
          <w:rFonts w:ascii="Arial" w:cs="Arial" w:eastAsia="Arial" w:hAnsi="Arial"/>
          <w:sz w:val="11"/>
          <w:szCs w:val="11"/>
          <w:color w:val="4A4A4A"/>
        </w:rPr>
        <w:t>. Boca Raton. Boston. Chicago. Dallas. Delaware. Denver. Fort Lauderdale. Houston. Las Vegas. London.</w:t>
      </w:r>
      <w:r>
        <w:rPr>
          <w:rFonts w:ascii="Arial" w:cs="Arial" w:eastAsia="Arial" w:hAnsi="Arial"/>
          <w:sz w:val="9"/>
          <w:szCs w:val="9"/>
          <w:color w:val="4A4A4A"/>
        </w:rPr>
        <w:t>*</w:t>
      </w:r>
      <w:r>
        <w:rPr>
          <w:rFonts w:ascii="Arial" w:cs="Arial" w:eastAsia="Arial" w:hAnsi="Arial"/>
          <w:sz w:val="11"/>
          <w:szCs w:val="11"/>
          <w:color w:val="4A4A4A"/>
        </w:rPr>
        <w:t xml:space="preserve"> Los Angeles. Mexico City</w:t>
      </w:r>
      <w:r>
        <w:rPr>
          <w:rFonts w:ascii="Arial" w:cs="Arial" w:eastAsia="Arial" w:hAnsi="Arial"/>
          <w:sz w:val="9"/>
          <w:szCs w:val="9"/>
          <w:color w:val="4A4A4A"/>
        </w:rPr>
        <w:t>+</w:t>
      </w:r>
      <w:r>
        <w:rPr>
          <w:rFonts w:ascii="Arial" w:cs="Arial" w:eastAsia="Arial" w:hAnsi="Arial"/>
          <w:sz w:val="11"/>
          <w:szCs w:val="11"/>
          <w:color w:val="4A4A4A"/>
        </w:rPr>
        <w:t>. Miami. Milan.</w:t>
      </w:r>
      <w:r>
        <w:rPr>
          <w:rFonts w:ascii="Arial" w:cs="Arial" w:eastAsia="Arial" w:hAnsi="Arial"/>
          <w:sz w:val="9"/>
          <w:szCs w:val="9"/>
          <w:color w:val="4A4A4A"/>
        </w:rPr>
        <w:t>»</w:t>
      </w:r>
      <w:r>
        <w:rPr>
          <w:rFonts w:ascii="Arial" w:cs="Arial" w:eastAsia="Arial" w:hAnsi="Arial"/>
          <w:sz w:val="11"/>
          <w:szCs w:val="11"/>
          <w:color w:val="4A4A4A"/>
        </w:rPr>
        <w:t xml:space="preserve"> Minneapolis. Nashville. New Jersey. New York. Northern Orlando. Philadelphia. Phoenix. Sacramento.</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4A4A4A"/>
        </w:rPr>
        <w:t>San Francisco. Seoul</w:t>
      </w:r>
      <w:r>
        <w:rPr>
          <w:rFonts w:ascii="Arial" w:cs="Arial" w:eastAsia="Arial" w:hAnsi="Arial"/>
          <w:sz w:val="9"/>
          <w:szCs w:val="9"/>
          <w:color w:val="4A4A4A"/>
        </w:rPr>
        <w:t>∞</w:t>
      </w:r>
      <w:r>
        <w:rPr>
          <w:rFonts w:ascii="Arial" w:cs="Arial" w:eastAsia="Arial" w:hAnsi="Arial"/>
          <w:sz w:val="11"/>
          <w:szCs w:val="11"/>
          <w:color w:val="4A4A4A"/>
        </w:rPr>
        <w:t>. Shanghai. Silicon Valley. Tallahassee. Tampa. Tel Aviv.</w:t>
      </w:r>
      <w:r>
        <w:rPr>
          <w:rFonts w:ascii="Arial" w:cs="Arial" w:eastAsia="Arial" w:hAnsi="Arial"/>
          <w:sz w:val="9"/>
          <w:szCs w:val="9"/>
          <w:color w:val="4A4A4A"/>
        </w:rPr>
        <w:t>^</w:t>
      </w:r>
      <w:r>
        <w:rPr>
          <w:rFonts w:ascii="Arial" w:cs="Arial" w:eastAsia="Arial" w:hAnsi="Arial"/>
          <w:sz w:val="11"/>
          <w:szCs w:val="11"/>
          <w:color w:val="4A4A4A"/>
        </w:rPr>
        <w:t xml:space="preserve"> Tokyo.</w:t>
      </w:r>
      <w:r>
        <w:rPr>
          <w:rFonts w:ascii="Arial" w:cs="Arial" w:eastAsia="Arial" w:hAnsi="Arial"/>
          <w:sz w:val="6"/>
          <w:szCs w:val="6"/>
          <w:color w:val="4A4A4A"/>
        </w:rPr>
        <w:t>¤</w:t>
      </w:r>
      <w:r>
        <w:rPr>
          <w:rFonts w:ascii="Arial" w:cs="Arial" w:eastAsia="Arial" w:hAnsi="Arial"/>
          <w:sz w:val="11"/>
          <w:szCs w:val="11"/>
          <w:color w:val="4A4A4A"/>
        </w:rPr>
        <w:t xml:space="preserve"> Warsaw</w:t>
      </w:r>
      <w:r>
        <w:rPr>
          <w:rFonts w:ascii="Arial" w:cs="Arial" w:eastAsia="Arial" w:hAnsi="Arial"/>
          <w:sz w:val="9"/>
          <w:szCs w:val="9"/>
          <w:color w:val="4A4A4A"/>
        </w:rPr>
        <w:t>~</w:t>
      </w:r>
      <w:r>
        <w:rPr>
          <w:rFonts w:ascii="Arial" w:cs="Arial" w:eastAsia="Arial" w:hAnsi="Arial"/>
          <w:sz w:val="11"/>
          <w:szCs w:val="11"/>
          <w:color w:val="4A4A4A"/>
        </w:rPr>
        <w:t>. Washington, D.C. West Palm Beach. Westchester County.</w:t>
      </w:r>
    </w:p>
    <w:p>
      <w:pPr>
        <w:spacing w:after="0" w:line="30" w:lineRule="exact"/>
        <w:rPr>
          <w:sz w:val="20"/>
          <w:szCs w:val="20"/>
          <w:color w:val="auto"/>
        </w:rPr>
      </w:pPr>
    </w:p>
    <w:p>
      <w:pPr>
        <w:spacing w:after="0"/>
        <w:rPr>
          <w:sz w:val="20"/>
          <w:szCs w:val="20"/>
          <w:color w:val="auto"/>
        </w:rPr>
      </w:pPr>
      <w:r>
        <w:rPr>
          <w:rFonts w:ascii="Arial" w:cs="Arial" w:eastAsia="Arial" w:hAnsi="Arial"/>
          <w:sz w:val="6"/>
          <w:szCs w:val="6"/>
          <w:color w:val="4A4A4A"/>
        </w:rPr>
        <w:t>Operates as: ¬Greenberg Traurig Germany, LLP; *A separate UK registered legal entity; +Greenberg Traurig, S.C.; »Greenberg Traurig Santa Maria; ∞Greenberg Traurig LLP Foreign Legal Consultant Office; ^A branch of Greenberg Traurig, P.A., Florida, USA; ¤GT Tokyo Horitsu Jimusho; ~Greenberg Traurig Grzesiak sp.k.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92075</wp:posOffset>
            </wp:positionV>
            <wp:extent cx="731837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7318375" cy="7620"/>
                    </a:xfrm>
                    <a:prstGeom prst="rect">
                      <a:avLst/>
                    </a:prstGeom>
                    <a:noFill/>
                  </pic:spPr>
                </pic:pic>
              </a:graphicData>
            </a:graphic>
          </wp:anchor>
        </w:drawing>
      </w:r>
    </w:p>
    <w:p>
      <w:pPr>
        <w:sectPr>
          <w:pgSz w:w="11900" w:h="16838" w:orient="portrait"/>
          <w:cols w:equalWidth="0" w:num="1">
            <w:col w:w="11520"/>
          </w:cols>
          <w:pgMar w:left="240" w:top="576" w:right="139" w:bottom="1440" w:gutter="0" w:footer="0" w:header="0"/>
        </w:sectPr>
      </w:pPr>
    </w:p>
    <w:bookmarkStart w:id="5" w:name="page6"/>
    <w:bookmarkEnd w:id="5"/>
    <w:p>
      <w:pPr>
        <w:jc w:val="right"/>
        <w:spacing w:after="0"/>
        <w:rPr>
          <w:sz w:val="20"/>
          <w:szCs w:val="20"/>
          <w:color w:val="auto"/>
        </w:rPr>
      </w:pPr>
      <w:r>
        <w:rPr>
          <w:rFonts w:ascii="Arial" w:cs="Arial" w:eastAsia="Arial" w:hAnsi="Arial"/>
          <w:sz w:val="16"/>
          <w:szCs w:val="16"/>
          <w:b w:val="1"/>
          <w:bCs w:val="1"/>
          <w:color w:val="auto"/>
        </w:rPr>
        <w:t>Exhibit 23.2</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Destination XL Group, Inc.:</w:t>
      </w:r>
    </w:p>
    <w:p>
      <w:pPr>
        <w:spacing w:after="0" w:line="147" w:lineRule="exact"/>
        <w:rPr>
          <w:sz w:val="20"/>
          <w:szCs w:val="20"/>
          <w:color w:val="auto"/>
        </w:rPr>
      </w:pPr>
    </w:p>
    <w:p>
      <w:pPr>
        <w:jc w:val="both"/>
        <w:spacing w:after="0" w:line="301" w:lineRule="auto"/>
        <w:rPr>
          <w:sz w:val="20"/>
          <w:szCs w:val="20"/>
          <w:color w:val="auto"/>
        </w:rPr>
      </w:pPr>
      <w:r>
        <w:rPr>
          <w:rFonts w:ascii="Arial" w:cs="Arial" w:eastAsia="Arial" w:hAnsi="Arial"/>
          <w:sz w:val="14"/>
          <w:szCs w:val="14"/>
          <w:color w:val="auto"/>
        </w:rPr>
        <w:t>We consent to the use of our reports dated March 22, 2019 with respect to the consolidated balance sheets of Destination XL Group, Inc. and subsidiaries as of February 2, 2019 and February 3, 2018, and the related consolidated statements of operations, comprehensive income (loss), changes in stockholders’ equity, and cash flows for each of the years in the three-year period ended February 2, 2019, and the related notes (collectively, the consolidated financial statements), and the effectiveness of internal control over financial reporting as of February 2, 2019, which reports appear in the February 2, 2019 annual report on Form 10-K of Destination XL Group, Inc. incorporated by reference herein.</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/s/ KPMG LLP</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Boston, Massachusetts</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August 28, 2019</w:t>
      </w:r>
    </w:p>
    <w:sectPr>
      <w:pgSz w:w="11900" w:h="16838" w:orient="portrait"/>
      <w:cols w:equalWidth="0" w:num="1">
        <w:col w:w="11440"/>
      </w:cols>
      <w:pgMar w:left="240" w:top="324"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jpeg"/><Relationship Id="rId18" Type="http://schemas.openxmlformats.org/officeDocument/2006/relationships/image" Target="media/image8.png"/><Relationship Id="rId11" Type="http://schemas.openxmlformats.org/officeDocument/2006/relationships/hyperlink" Target="http://www.sec.gov/Archives/edgar/data/813298/000156459019009017/dxlg-10k_20190202.htm" TargetMode="External"/><Relationship Id="rId12" Type="http://schemas.openxmlformats.org/officeDocument/2006/relationships/hyperlink" Target="http://www.sec.gov/Archives/edgar/data/813298/000119312509183271/d8a12ba.htm" TargetMode="External"/><Relationship Id="rId13" Type="http://schemas.openxmlformats.org/officeDocument/2006/relationships/hyperlink" Target="http://www.sec.gov/Archives/edgar/data/813298/000156459019031144/dxlg-ex101_2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2019-11-29T19:21:06Z</dcterms:created>
  <dcterms:modified xsi:type="dcterms:W3CDTF">2019-11-29T19:21:06Z</dcterms:modified>
</cp:coreProperties>
</file>