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18,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6"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56"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18, 2004, Casual Male Retail Group, Inc. (the "Company") issued a press release announcing the Company's results of operations for the third quarter and nine months ended October 30, 2004. A copy of this press release is attached hereto as Exhibit 99.1.</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November 18, 2004, the Company issued a press release announcing that the Company had signed a letter of intent, subject to the negotiation of a definitive agreement, buyer's due diligence and other normal closing conditions, to sell its remaining 32 Levi's(r)/Dockers(r) Outlet stores to an unnamed affiliate of a privately held United States retailer for an undisclosed purchase price. Although there can be no certainty, the sale is targeted to close on November 24, 2004, assuming the execution of a definitive agreement and the satisfaction of all closing conditions. A copy of this press release is attached hereto as Exhibit 99.2.</w:t>
      </w: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56" w:orient="portrait"/>
          <w:cols w:equalWidth="0" w:num="1">
            <w:col w:w="10219"/>
          </w:cols>
          <w:pgMar w:left="240" w:top="447" w:right="1440" w:bottom="0" w:gutter="0" w:footer="0" w:header="0"/>
          <w:type w:val="continuous"/>
        </w:sectPr>
      </w:pPr>
    </w:p>
    <w:bookmarkStart w:id="1" w:name="page2"/>
    <w:bookmarkEnd w:id="1"/>
    <w:p>
      <w:pPr>
        <w:ind w:left="1380"/>
        <w:spacing w:after="0"/>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results of operations for</w:t>
      </w:r>
    </w:p>
    <w:p>
      <w:pPr>
        <w:spacing w:after="0" w:line="4" w:lineRule="exact"/>
        <w:rPr>
          <w:sz w:val="20"/>
          <w:szCs w:val="20"/>
          <w:color w:val="auto"/>
        </w:rPr>
      </w:pPr>
    </w:p>
    <w:p>
      <w:pPr>
        <w:ind w:left="2440" w:right="1879"/>
        <w:spacing w:after="0" w:line="235" w:lineRule="auto"/>
        <w:rPr>
          <w:sz w:val="20"/>
          <w:szCs w:val="20"/>
          <w:color w:val="auto"/>
        </w:rPr>
      </w:pPr>
      <w:r>
        <w:rPr>
          <w:rFonts w:ascii="Courier New" w:cs="Courier New" w:eastAsia="Courier New" w:hAnsi="Courier New"/>
          <w:sz w:val="18"/>
          <w:szCs w:val="18"/>
          <w:color w:val="auto"/>
        </w:rPr>
        <w:t>the third quarter and nine months ended October 30, 2004 for Casual Male Retail Group, Inc.</w:t>
      </w:r>
    </w:p>
    <w:p>
      <w:pPr>
        <w:spacing w:after="0" w:line="203" w:lineRule="exact"/>
        <w:rPr>
          <w:sz w:val="20"/>
          <w:szCs w:val="20"/>
          <w:color w:val="auto"/>
        </w:rPr>
      </w:pP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announcing the Company's entry into a</w:t>
      </w:r>
    </w:p>
    <w:p>
      <w:pPr>
        <w:ind w:left="2440"/>
        <w:spacing w:after="0" w:line="238" w:lineRule="auto"/>
        <w:rPr>
          <w:sz w:val="20"/>
          <w:szCs w:val="20"/>
          <w:color w:val="auto"/>
        </w:rPr>
      </w:pPr>
      <w:r>
        <w:rPr>
          <w:rFonts w:ascii="Courier New" w:cs="Courier New" w:eastAsia="Courier New" w:hAnsi="Courier New"/>
          <w:sz w:val="18"/>
          <w:szCs w:val="18"/>
          <w:color w:val="auto"/>
        </w:rPr>
        <w:t>letter of intent to sell its remaining 32</w:t>
      </w:r>
    </w:p>
    <w:p>
      <w:pPr>
        <w:ind w:left="2440"/>
        <w:spacing w:after="0"/>
        <w:rPr>
          <w:sz w:val="20"/>
          <w:szCs w:val="20"/>
          <w:color w:val="auto"/>
        </w:rPr>
      </w:pPr>
      <w:r>
        <w:rPr>
          <w:rFonts w:ascii="Courier New" w:cs="Courier New" w:eastAsia="Courier New" w:hAnsi="Courier New"/>
          <w:sz w:val="18"/>
          <w:szCs w:val="18"/>
          <w:color w:val="auto"/>
        </w:rPr>
        <w:t>Levi's(r)/Dockers(r) Outlet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18, 2004</w:t>
      </w:r>
    </w:p>
    <w:p>
      <w:pPr>
        <w:sectPr>
          <w:pgSz w:w="11900" w:h="16838" w:orient="portrait"/>
          <w:cols w:equalWidth="0" w:num="1">
            <w:col w:w="10219"/>
          </w:cols>
          <w:pgMar w:left="240" w:top="136"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CASUAL MALE RETAIL GROUP INC. ANNOUNCES THIRD QUARTER</w:t>
      </w:r>
    </w:p>
    <w:p>
      <w:pPr>
        <w:ind w:left="2860"/>
        <w:spacing w:after="0" w:line="238" w:lineRule="auto"/>
        <w:rPr>
          <w:sz w:val="20"/>
          <w:szCs w:val="20"/>
          <w:color w:val="auto"/>
        </w:rPr>
      </w:pPr>
      <w:r>
        <w:rPr>
          <w:rFonts w:ascii="Courier New" w:cs="Courier New" w:eastAsia="Courier New" w:hAnsi="Courier New"/>
          <w:sz w:val="18"/>
          <w:szCs w:val="18"/>
          <w:color w:val="auto"/>
        </w:rPr>
        <w:t>FISCAL 2004 RESULTS</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CANTON, Mass., November 18, 2004 -- Casual Male Retail Group, Inc. (NASDAQ/NMS: "CMRG"), retail brand operator of Casual Male Big &amp; Tall and Rochester Big &amp; Tall and the exclusive retailer of George Foreman's clothing collection, today announced its operating results for the third quarter and nine months ended October 30, 2004. On October 29, 2004, the Company completed its acquisition of substantially all of the assets of Rochester Big &amp; Tall Clothing ("Rochester") and its operating results are included in the Company's results of operations for the third quarter and nine months of fiscal 2004 from that date.</w:t>
      </w:r>
    </w:p>
    <w:p>
      <w:pPr>
        <w:spacing w:after="0" w:line="21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For the third quarter of fiscal 2004, the Company reported operating income of $0.8 million as compared to $2.3 million for the third quarter of fiscal 2003. The Company reported a loss from continuing operations for the third quarter of fiscal 2004 of $1.0 million, or $(0.03) per share, compared to a loss of $1.4 million, or $(0.04) per share, for the third quarter of fiscal 2003. Assuming a normalized tax rate of 37%, the loss from continuing operations for the third quarter of fiscal 2004 was $(0.02) per share as compared to $(0.03) per share for the third quarter of fiscal 2003.</w:t>
      </w:r>
    </w:p>
    <w:p>
      <w:pPr>
        <w:spacing w:after="0" w:line="21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Net loss for the third quarter of fiscal 2004 was $1.4 million, or $(0.04) per share, compared to a net loss of $1.2 million, or $(0.03) per share, for the third quarter of fiscal 2003. For the nine months ended October 30, 2004, the Company reported a net loss of $6.4 million, or $(0.18) per share, as compared to a net loss of $3.3 million, or $(0.09) per share for the nine months of the prior year. Included in the net loss for the third quarter and nine months ended October 30, 2004, was a loss from discontinued operations of approximately $0.3 million, or $(0.01) per share, and $1.9 million, or $(0.05) per share, related to the continued closure of the Levi's(r)/Dockers(r) outlet stores.</w:t>
      </w:r>
    </w:p>
    <w:p>
      <w:pPr>
        <w:spacing w:after="0" w:line="215"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As previously reported, comparable store sales for Casual Male Big &amp; Tall business increased 1.6% for the third quarter of fiscal 2004 and increased 5.1% for the nine months ended October 30, 2004.</w:t>
      </w:r>
    </w:p>
    <w:p>
      <w:pPr>
        <w:spacing w:after="0" w:line="209"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"While Casual Male's big and tall sales during the first nine months of the year benefited from the new merchandising strategies and our merchandise margins were steady in comparison to last year, higher occupancy costs resulted in a 60 basis point drop in Casual Male's gross margin rate during this year's third quarter. Meanwhile, operating expenses rose during the quarter primarily as a result of professional fees associated with compliance of Section 404 of Sarbanes-Oxley and the start-up losses of the opening of Casual Male stores at Sears-Canada. During the quarter, the Company benefited from the reversal of certain accrued liabilities as a result of revising estimates based on more recent experience," stated Dennis R. Hernreich, Executive Vice President, Chief Operating Officer and Chief Financial Officer of CMRG.</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Company also announced today that the Company has signed a letter of intent, subject to the negotiation of a definitive agreement, buyer's due diligence and other normal closing conditions, to sell its remaining 32 Levi's(r)/Dockers(r) Outlet stores to an unnamed affiliate of a privately held United States retailer for an undisclosed purchase price. Although there can be no certainty, the sale is targeted to close on November 24, 2004, assuming the execution of a definitive agreement and the satisfaction of all closing conditions. The proceeds from the sale will be used to reduce Casual Male's outstanding debt under its revolving line of credit.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by Business Segment</w:t>
      </w:r>
    </w:p>
    <w:p>
      <w:pPr>
        <w:spacing w:after="0" w:line="207"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The following table reflects operating results by segment for the Company's third quarter and nine months of fiscal 2004 and for the corresponding periods of the prior year. These segment results have been prepared on a basis consistent with the presentation in the Company's recent Form 10-K and Form 10-Q filings. The Company's Casual Male Business segment includes the results of operations from its Rochester business from October 29, 2004. Historically, the Company has allocated</w:t>
      </w:r>
    </w:p>
    <w:p>
      <w:pPr>
        <w:sectPr>
          <w:pgSz w:w="11900" w:h="16838" w:orient="portrait"/>
          <w:cols w:equalWidth="0" w:num="1">
            <w:col w:w="10219"/>
          </w:cols>
          <w:pgMar w:left="240" w:top="136" w:right="1440" w:bottom="0" w:gutter="0" w:footer="0" w:header="0"/>
        </w:sectPr>
      </w:pPr>
    </w:p>
    <w:bookmarkStart w:id="3" w:name="page4"/>
    <w:bookmarkEnd w:id="3"/>
    <w:p>
      <w:pPr>
        <w:ind w:right="2519"/>
        <w:spacing w:after="0" w:line="273" w:lineRule="auto"/>
        <w:rPr>
          <w:sz w:val="20"/>
          <w:szCs w:val="20"/>
          <w:color w:val="auto"/>
        </w:rPr>
      </w:pPr>
      <w:r>
        <w:rPr>
          <w:rFonts w:ascii="Courier New" w:cs="Courier New" w:eastAsia="Courier New" w:hAnsi="Courier New"/>
          <w:sz w:val="16"/>
          <w:szCs w:val="16"/>
          <w:color w:val="auto"/>
        </w:rPr>
        <w:t>its administrative expenses among its business segments. For the third quarter of fiscal 2004, the Company eliminated this allocation and as a result all administrative expenses will be reported as part of the Casual Male business. For comparability, all prior period allocations have been reclassified to conform to the third quarter fiscal 2004 presentation.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w w:val="97"/>
              </w:rPr>
              <w:t>For the three months</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ended:</w:t>
            </w:r>
          </w:p>
        </w:tc>
        <w:tc>
          <w:tcPr>
            <w:tcW w:w="320" w:type="dxa"/>
            <w:vAlign w:val="bottom"/>
          </w:tcPr>
          <w:p>
            <w:pPr>
              <w:spacing w:after="0"/>
              <w:rPr>
                <w:sz w:val="17"/>
                <w:szCs w:val="17"/>
                <w:color w:val="auto"/>
              </w:rPr>
            </w:pPr>
          </w:p>
        </w:tc>
        <w:tc>
          <w:tcPr>
            <w:tcW w:w="2780" w:type="dxa"/>
            <w:vAlign w:val="bottom"/>
            <w:gridSpan w:val="5"/>
          </w:tcPr>
          <w:p>
            <w:pPr>
              <w:jc w:val="right"/>
              <w:ind w:right="492"/>
              <w:spacing w:after="0" w:line="203" w:lineRule="exact"/>
              <w:rPr>
                <w:sz w:val="20"/>
                <w:szCs w:val="20"/>
                <w:color w:val="auto"/>
              </w:rPr>
            </w:pPr>
            <w:r>
              <w:rPr>
                <w:rFonts w:ascii="Courier New" w:cs="Courier New" w:eastAsia="Courier New" w:hAnsi="Courier New"/>
                <w:sz w:val="18"/>
                <w:szCs w:val="18"/>
                <w:color w:val="auto"/>
              </w:rPr>
              <w:t>October 30, 2004</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November 1, 2003</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Casual</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Branded</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Casual</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Branded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rPr>
              <w:t>Male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Apparel</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Combined</w:t>
            </w:r>
          </w:p>
        </w:tc>
        <w:tc>
          <w:tcPr>
            <w:tcW w:w="380" w:type="dxa"/>
            <w:vAlign w:val="bottom"/>
          </w:tcPr>
          <w:p>
            <w:pPr>
              <w:spacing w:after="0"/>
              <w:rPr>
                <w:sz w:val="17"/>
                <w:szCs w:val="17"/>
                <w:color w:val="auto"/>
              </w:rPr>
            </w:pPr>
          </w:p>
        </w:tc>
        <w:tc>
          <w:tcPr>
            <w:tcW w:w="68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Male</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Apparel</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1800" w:type="dxa"/>
            <w:vAlign w:val="bottom"/>
          </w:tcPr>
          <w:p>
            <w:pPr>
              <w:spacing w:after="0"/>
              <w:rPr>
                <w:sz w:val="17"/>
                <w:szCs w:val="17"/>
                <w:color w:val="auto"/>
              </w:rPr>
            </w:pPr>
          </w:p>
        </w:tc>
        <w:tc>
          <w:tcPr>
            <w:tcW w:w="9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business</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Company</w:t>
            </w: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business</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1800" w:type="dxa"/>
            <w:vAlign w:val="bottom"/>
          </w:tcPr>
          <w:p>
            <w:pPr>
              <w:spacing w:after="0"/>
              <w:rPr>
                <w:sz w:val="17"/>
                <w:szCs w:val="17"/>
                <w:color w:val="auto"/>
              </w:rPr>
            </w:pPr>
          </w:p>
        </w:tc>
        <w:tc>
          <w:tcPr>
            <w:tcW w:w="6420" w:type="dxa"/>
            <w:vAlign w:val="bottom"/>
            <w:gridSpan w:val="1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74.6</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19.3</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93.9</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73.0</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24.9</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97.9</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of</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 costs</w:t>
            </w:r>
          </w:p>
        </w:tc>
        <w:tc>
          <w:tcPr>
            <w:tcW w:w="3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30.3</w:t>
            </w:r>
          </w:p>
        </w:tc>
        <w:tc>
          <w:tcPr>
            <w:tcW w:w="32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5.0</w:t>
            </w:r>
          </w:p>
        </w:tc>
        <w:tc>
          <w:tcPr>
            <w:tcW w:w="360" w:type="dxa"/>
            <w:vAlign w:val="bottom"/>
          </w:tcPr>
          <w:p>
            <w:pPr>
              <w:spacing w:after="0"/>
              <w:rPr>
                <w:sz w:val="17"/>
                <w:szCs w:val="17"/>
                <w:color w:val="auto"/>
              </w:rPr>
            </w:pP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35.3</w:t>
            </w:r>
          </w:p>
        </w:tc>
        <w:tc>
          <w:tcPr>
            <w:tcW w:w="38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30.1</w:t>
            </w:r>
          </w:p>
        </w:tc>
        <w:tc>
          <w:tcPr>
            <w:tcW w:w="26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8.2</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38.3</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Gross margin rate</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40.6%</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25.9%</w:t>
            </w:r>
          </w:p>
        </w:tc>
        <w:tc>
          <w:tcPr>
            <w:tcW w:w="360" w:type="dxa"/>
            <w:vAlign w:val="bottom"/>
          </w:tcPr>
          <w:p>
            <w:pPr>
              <w:spacing w:after="0"/>
              <w:rPr>
                <w:sz w:val="17"/>
                <w:szCs w:val="17"/>
                <w:color w:val="auto"/>
              </w:rPr>
            </w:pP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37.6%</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41.2%</w:t>
            </w:r>
          </w:p>
        </w:tc>
        <w:tc>
          <w:tcPr>
            <w:tcW w:w="2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32.9%</w:t>
            </w:r>
          </w:p>
        </w:tc>
        <w:tc>
          <w:tcPr>
            <w:tcW w:w="2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39.1%</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and administrative 29.3</w:t>
            </w:r>
          </w:p>
        </w:tc>
        <w:tc>
          <w:tcPr>
            <w:tcW w:w="32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2.9</w:t>
            </w:r>
          </w:p>
        </w:tc>
        <w:tc>
          <w:tcPr>
            <w:tcW w:w="360" w:type="dxa"/>
            <w:vAlign w:val="bottom"/>
          </w:tcPr>
          <w:p>
            <w:pPr>
              <w:spacing w:after="0"/>
              <w:rPr>
                <w:sz w:val="17"/>
                <w:szCs w:val="17"/>
                <w:color w:val="auto"/>
              </w:rPr>
            </w:pP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32.2</w:t>
            </w:r>
          </w:p>
        </w:tc>
        <w:tc>
          <w:tcPr>
            <w:tcW w:w="38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28.5</w:t>
            </w:r>
          </w:p>
        </w:tc>
        <w:tc>
          <w:tcPr>
            <w:tcW w:w="26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33.8</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Provision (reversal)</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 impairment of</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store</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closings and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severance</w:t>
            </w:r>
          </w:p>
        </w:tc>
        <w:tc>
          <w:tcPr>
            <w:tcW w:w="320" w:type="dxa"/>
            <w:vAlign w:val="bottom"/>
          </w:tcPr>
          <w:p>
            <w:pPr>
              <w:spacing w:after="0"/>
              <w:rPr>
                <w:sz w:val="17"/>
                <w:szCs w:val="17"/>
                <w:color w:val="auto"/>
              </w:rPr>
            </w:pP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(0.6)</w:t>
            </w:r>
          </w:p>
        </w:tc>
        <w:tc>
          <w:tcPr>
            <w:tcW w:w="360" w:type="dxa"/>
            <w:vAlign w:val="bottom"/>
          </w:tcPr>
          <w:p>
            <w:pPr>
              <w:spacing w:after="0"/>
              <w:rPr>
                <w:sz w:val="17"/>
                <w:szCs w:val="17"/>
                <w:color w:val="auto"/>
              </w:rPr>
            </w:pP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(0.6)</w:t>
            </w:r>
          </w:p>
        </w:tc>
        <w:tc>
          <w:tcPr>
            <w:tcW w:w="380" w:type="dxa"/>
            <w:vAlign w:val="bottom"/>
          </w:tcPr>
          <w:p>
            <w:pPr>
              <w:spacing w:after="0"/>
              <w:rPr>
                <w:sz w:val="17"/>
                <w:szCs w:val="17"/>
                <w:color w:val="auto"/>
              </w:rPr>
            </w:pPr>
          </w:p>
        </w:tc>
        <w:tc>
          <w:tcPr>
            <w:tcW w:w="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3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w:t>
            </w:r>
          </w:p>
        </w:tc>
        <w:tc>
          <w:tcPr>
            <w:tcW w:w="32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w:t>
            </w:r>
          </w:p>
        </w:tc>
        <w:tc>
          <w:tcPr>
            <w:tcW w:w="36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2.9</w:t>
            </w:r>
          </w:p>
        </w:tc>
        <w:tc>
          <w:tcPr>
            <w:tcW w:w="38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26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800" w:type="dxa"/>
            <w:vAlign w:val="bottom"/>
          </w:tcPr>
          <w:p>
            <w:pPr>
              <w:spacing w:after="0"/>
              <w:rPr>
                <w:sz w:val="17"/>
                <w:szCs w:val="17"/>
                <w:color w:val="auto"/>
              </w:rPr>
            </w:pPr>
          </w:p>
        </w:tc>
        <w:tc>
          <w:tcPr>
            <w:tcW w:w="6420" w:type="dxa"/>
            <w:vAlign w:val="bottom"/>
            <w:gridSpan w:val="1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(1.5)</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0.8</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(0.1)</w:t>
            </w:r>
          </w:p>
        </w:tc>
        <w:tc>
          <w:tcPr>
            <w:tcW w:w="10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$ 2.4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800" w:type="dxa"/>
            <w:vAlign w:val="bottom"/>
          </w:tcPr>
          <w:p>
            <w:pPr>
              <w:spacing w:after="0"/>
              <w:rPr>
                <w:sz w:val="17"/>
                <w:szCs w:val="17"/>
                <w:color w:val="auto"/>
              </w:rPr>
            </w:pPr>
          </w:p>
        </w:tc>
        <w:tc>
          <w:tcPr>
            <w:tcW w:w="6420" w:type="dxa"/>
            <w:vAlign w:val="bottom"/>
            <w:gridSpan w:val="1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w w:val="96"/>
              </w:rPr>
              <w:t>For the nine months ended:</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320" w:type="dxa"/>
            <w:vAlign w:val="bottom"/>
          </w:tcPr>
          <w:p>
            <w:pPr>
              <w:spacing w:after="0"/>
              <w:rPr>
                <w:sz w:val="17"/>
                <w:szCs w:val="17"/>
                <w:color w:val="auto"/>
              </w:rPr>
            </w:pPr>
          </w:p>
        </w:tc>
        <w:tc>
          <w:tcPr>
            <w:tcW w:w="204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rPr>
              <w:t>October 30, 2004</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gridSpan w:val="5"/>
          </w:tcPr>
          <w:p>
            <w:pPr>
              <w:jc w:val="right"/>
              <w:ind w:right="752"/>
              <w:spacing w:after="0" w:line="203" w:lineRule="exact"/>
              <w:rPr>
                <w:sz w:val="20"/>
                <w:szCs w:val="20"/>
                <w:color w:val="auto"/>
              </w:rPr>
            </w:pPr>
            <w:r>
              <w:rPr>
                <w:rFonts w:ascii="Courier New" w:cs="Courier New" w:eastAsia="Courier New" w:hAnsi="Courier New"/>
                <w:sz w:val="18"/>
                <w:szCs w:val="18"/>
                <w:color w:val="auto"/>
              </w:rPr>
              <w:t>November 1, 2003</w:t>
            </w:r>
          </w:p>
        </w:tc>
      </w:tr>
      <w:tr>
        <w:trPr>
          <w:trHeight w:val="203"/>
        </w:trPr>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Casual</w:t>
            </w: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Branded</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Casual</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Branded</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9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rPr>
              <w:t>Male</w:t>
            </w: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Apparel</w:t>
            </w: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Combined</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Male</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Apparel</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1800" w:type="dxa"/>
            <w:vAlign w:val="bottom"/>
          </w:tcPr>
          <w:p>
            <w:pPr>
              <w:spacing w:after="0"/>
              <w:rPr>
                <w:sz w:val="17"/>
                <w:szCs w:val="17"/>
                <w:color w:val="auto"/>
              </w:rPr>
            </w:pPr>
          </w:p>
        </w:tc>
        <w:tc>
          <w:tcPr>
            <w:tcW w:w="9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business</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Company</w:t>
            </w: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business</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1800" w:type="dxa"/>
            <w:vAlign w:val="bottom"/>
          </w:tcPr>
          <w:p>
            <w:pPr>
              <w:spacing w:after="0"/>
              <w:rPr>
                <w:sz w:val="17"/>
                <w:szCs w:val="17"/>
                <w:color w:val="auto"/>
              </w:rPr>
            </w:pPr>
          </w:p>
        </w:tc>
        <w:tc>
          <w:tcPr>
            <w:tcW w:w="6420" w:type="dxa"/>
            <w:vAlign w:val="bottom"/>
            <w:gridSpan w:val="1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234.3</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64.0</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298.3</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224.8</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61.1</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$ 285.9</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Gross margin, net</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occupancy costs</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96.2</w:t>
            </w:r>
          </w:p>
        </w:tc>
        <w:tc>
          <w:tcPr>
            <w:tcW w:w="32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15.3</w:t>
            </w:r>
          </w:p>
        </w:tc>
        <w:tc>
          <w:tcPr>
            <w:tcW w:w="360" w:type="dxa"/>
            <w:vAlign w:val="bottom"/>
          </w:tcPr>
          <w:p>
            <w:pPr>
              <w:spacing w:after="0"/>
              <w:rPr>
                <w:sz w:val="17"/>
                <w:szCs w:val="17"/>
                <w:color w:val="auto"/>
              </w:rPr>
            </w:pP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111.5</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92.5</w:t>
            </w:r>
          </w:p>
        </w:tc>
        <w:tc>
          <w:tcPr>
            <w:tcW w:w="26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16.1</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108.6</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Gross margin rate</w:t>
            </w:r>
          </w:p>
        </w:tc>
        <w:tc>
          <w:tcPr>
            <w:tcW w:w="3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w:t>
            </w:r>
          </w:p>
        </w:tc>
        <w:tc>
          <w:tcPr>
            <w:tcW w:w="32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23.9%</w:t>
            </w:r>
          </w:p>
        </w:tc>
        <w:tc>
          <w:tcPr>
            <w:tcW w:w="36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37.4%</w:t>
            </w:r>
          </w:p>
        </w:tc>
        <w:tc>
          <w:tcPr>
            <w:tcW w:w="3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w:t>
            </w:r>
          </w:p>
        </w:tc>
        <w:tc>
          <w:tcPr>
            <w:tcW w:w="26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26.4%</w:t>
            </w:r>
          </w:p>
        </w:tc>
        <w:tc>
          <w:tcPr>
            <w:tcW w:w="2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Selling, general and</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90.5</w:t>
            </w:r>
          </w:p>
        </w:tc>
        <w:tc>
          <w:tcPr>
            <w:tcW w:w="32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12.9</w:t>
            </w:r>
          </w:p>
        </w:tc>
        <w:tc>
          <w:tcPr>
            <w:tcW w:w="360" w:type="dxa"/>
            <w:vAlign w:val="bottom"/>
          </w:tcPr>
          <w:p>
            <w:pPr>
              <w:spacing w:after="0"/>
              <w:rPr>
                <w:sz w:val="17"/>
                <w:szCs w:val="17"/>
                <w:color w:val="auto"/>
              </w:rPr>
            </w:pP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103.4</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83.7</w:t>
            </w:r>
          </w:p>
        </w:tc>
        <w:tc>
          <w:tcPr>
            <w:tcW w:w="260" w:type="dxa"/>
            <w:vAlign w:val="bottom"/>
          </w:tcPr>
          <w:p>
            <w:pPr>
              <w:spacing w:after="0"/>
              <w:rPr>
                <w:sz w:val="17"/>
                <w:szCs w:val="17"/>
                <w:color w:val="auto"/>
              </w:rPr>
            </w:pP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13.7</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97.4</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Provision (reversal)</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 impairment of</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store</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closings and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severance</w:t>
            </w:r>
          </w:p>
        </w:tc>
        <w:tc>
          <w:tcPr>
            <w:tcW w:w="320" w:type="dxa"/>
            <w:vAlign w:val="bottom"/>
          </w:tcPr>
          <w:p>
            <w:pPr>
              <w:spacing w:after="0"/>
              <w:rPr>
                <w:sz w:val="17"/>
                <w:szCs w:val="17"/>
                <w:color w:val="auto"/>
              </w:rPr>
            </w:pPr>
          </w:p>
        </w:tc>
        <w:tc>
          <w:tcPr>
            <w:tcW w:w="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w:t>
            </w:r>
          </w:p>
        </w:tc>
        <w:tc>
          <w:tcPr>
            <w:tcW w:w="36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(0.6)</w:t>
            </w:r>
          </w:p>
        </w:tc>
        <w:tc>
          <w:tcPr>
            <w:tcW w:w="38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3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c>
          <w:tcPr>
            <w:tcW w:w="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w:t>
            </w:r>
          </w:p>
        </w:tc>
        <w:tc>
          <w:tcPr>
            <w:tcW w:w="260" w:type="dxa"/>
            <w:vAlign w:val="bottom"/>
          </w:tcPr>
          <w:p>
            <w:pPr>
              <w:spacing w:after="0"/>
              <w:rPr>
                <w:sz w:val="17"/>
                <w:szCs w:val="17"/>
                <w:color w:val="auto"/>
              </w:rPr>
            </w:pP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800" w:type="dxa"/>
            <w:vAlign w:val="bottom"/>
          </w:tcPr>
          <w:p>
            <w:pPr>
              <w:spacing w:after="0"/>
              <w:rPr>
                <w:sz w:val="17"/>
                <w:szCs w:val="17"/>
                <w:color w:val="auto"/>
              </w:rPr>
            </w:pPr>
          </w:p>
        </w:tc>
        <w:tc>
          <w:tcPr>
            <w:tcW w:w="6420" w:type="dxa"/>
            <w:vAlign w:val="bottom"/>
            <w:gridSpan w:val="1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c>
          <w:tcPr>
            <w:tcW w:w="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1800" w:type="dxa"/>
            <w:vAlign w:val="bottom"/>
          </w:tcPr>
          <w:p>
            <w:pPr>
              <w:spacing w:after="0"/>
              <w:rPr>
                <w:sz w:val="17"/>
                <w:szCs w:val="17"/>
                <w:color w:val="auto"/>
              </w:rPr>
            </w:pPr>
          </w:p>
        </w:tc>
        <w:tc>
          <w:tcPr>
            <w:tcW w:w="6420" w:type="dxa"/>
            <w:vAlign w:val="bottom"/>
            <w:gridSpan w:val="1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In addition to the financial measures prepared in accordance with generally accepted accounting principles (GAAP), our above discussion refers to a normalized tax rate, which is a non-GAAP measure. Normalized tax basis reflects a 37% effective tax rate on pre-tax income. The Company believes that the inclusion of such non-GAAP measure helps investors to gain a better understanding of the Company's performance, especially when comparing such results to previous periods or forecasts. However, the non-GAAP financial measures included in this press release are not meant to be considered superior to or as a substitute for results of operations prepared in accordance with GAAP. The following table shows the reconciliation of the loss from continuing operations for the third quarter of fiscal 2004 and fiscal 2003 on a GAAP basis effected for the adjustment for normalized taxes:</w:t>
      </w:r>
    </w:p>
    <w:p>
      <w:pPr>
        <w:spacing w:after="0" w:line="202" w:lineRule="exact"/>
        <w:rPr>
          <w:sz w:val="20"/>
          <w:szCs w:val="20"/>
          <w:color w:val="auto"/>
        </w:rPr>
      </w:pPr>
    </w:p>
    <w:p>
      <w:pPr>
        <w:spacing w:after="0"/>
        <w:tabs>
          <w:tab w:leader="none" w:pos="3460" w:val="left"/>
          <w:tab w:leader="none" w:pos="6200" w:val="left"/>
        </w:tabs>
        <w:rPr>
          <w:sz w:val="20"/>
          <w:szCs w:val="20"/>
          <w:color w:val="auto"/>
        </w:rPr>
      </w:pPr>
      <w:r>
        <w:rPr>
          <w:rFonts w:ascii="Courier New" w:cs="Courier New" w:eastAsia="Courier New" w:hAnsi="Courier New"/>
          <w:sz w:val="18"/>
          <w:szCs w:val="18"/>
          <w:color w:val="auto"/>
        </w:rPr>
        <w:t>For the three months ended:</w:t>
      </w:r>
      <w:r>
        <w:rPr>
          <w:sz w:val="20"/>
          <w:szCs w:val="20"/>
          <w:color w:val="auto"/>
        </w:rPr>
        <w:tab/>
      </w:r>
      <w:r>
        <w:rPr>
          <w:rFonts w:ascii="Courier New" w:cs="Courier New" w:eastAsia="Courier New" w:hAnsi="Courier New"/>
          <w:sz w:val="18"/>
          <w:szCs w:val="18"/>
          <w:color w:val="auto"/>
        </w:rPr>
        <w:t>October 30 ,2004</w:t>
      </w:r>
      <w:r>
        <w:rPr>
          <w:sz w:val="20"/>
          <w:szCs w:val="20"/>
          <w:color w:val="auto"/>
        </w:rPr>
        <w:tab/>
      </w:r>
      <w:r>
        <w:rPr>
          <w:rFonts w:ascii="Courier New" w:cs="Courier New" w:eastAsia="Courier New" w:hAnsi="Courier New"/>
          <w:sz w:val="16"/>
          <w:szCs w:val="16"/>
          <w:color w:val="auto"/>
        </w:rPr>
        <w:t>November 1, 2003</w:t>
      </w:r>
    </w:p>
    <w:p>
      <w:pPr>
        <w:spacing w:after="0"/>
        <w:tabs>
          <w:tab w:leader="none" w:pos="4520" w:val="left"/>
          <w:tab w:leader="none" w:pos="6840" w:val="left"/>
        </w:tabs>
        <w:rPr>
          <w:sz w:val="20"/>
          <w:szCs w:val="20"/>
          <w:color w:val="auto"/>
        </w:rPr>
      </w:pPr>
      <w:r>
        <w:rPr>
          <w:rFonts w:ascii="Courier New" w:cs="Courier New" w:eastAsia="Courier New" w:hAnsi="Courier New"/>
          <w:sz w:val="18"/>
          <w:szCs w:val="18"/>
          <w:color w:val="auto"/>
        </w:rPr>
        <w:t>(in thousands, except per</w:t>
      </w:r>
      <w:r>
        <w:rPr>
          <w:sz w:val="20"/>
          <w:szCs w:val="20"/>
          <w:color w:val="auto"/>
        </w:rPr>
        <w:tab/>
      </w:r>
      <w:r>
        <w:rPr>
          <w:rFonts w:ascii="Courier New" w:cs="Courier New" w:eastAsia="Courier New" w:hAnsi="Courier New"/>
          <w:sz w:val="18"/>
          <w:szCs w:val="18"/>
          <w:color w:val="auto"/>
        </w:rPr>
        <w:t>Per share</w:t>
      </w:r>
      <w:r>
        <w:rPr>
          <w:sz w:val="20"/>
          <w:szCs w:val="20"/>
          <w:color w:val="auto"/>
        </w:rPr>
        <w:tab/>
      </w:r>
      <w:r>
        <w:rPr>
          <w:rFonts w:ascii="Courier New" w:cs="Courier New" w:eastAsia="Courier New" w:hAnsi="Courier New"/>
          <w:sz w:val="16"/>
          <w:szCs w:val="16"/>
          <w:color w:val="auto"/>
        </w:rPr>
        <w:t>Per share</w:t>
      </w:r>
    </w:p>
    <w:p>
      <w:pPr>
        <w:ind w:left="120"/>
        <w:spacing w:after="0"/>
        <w:tabs>
          <w:tab w:leader="none" w:pos="4520" w:val="left"/>
          <w:tab w:leader="none" w:pos="6840" w:val="left"/>
        </w:tabs>
        <w:rPr>
          <w:sz w:val="20"/>
          <w:szCs w:val="20"/>
          <w:color w:val="auto"/>
        </w:rPr>
      </w:pPr>
      <w:r>
        <w:rPr>
          <w:rFonts w:ascii="Courier New" w:cs="Courier New" w:eastAsia="Courier New" w:hAnsi="Courier New"/>
          <w:sz w:val="18"/>
          <w:szCs w:val="18"/>
          <w:color w:val="auto"/>
        </w:rPr>
        <w:t>share data)</w:t>
      </w:r>
      <w:r>
        <w:rPr>
          <w:sz w:val="20"/>
          <w:szCs w:val="20"/>
          <w:color w:val="auto"/>
        </w:rPr>
        <w:tab/>
      </w:r>
      <w:r>
        <w:rPr>
          <w:rFonts w:ascii="Courier New" w:cs="Courier New" w:eastAsia="Courier New" w:hAnsi="Courier New"/>
          <w:sz w:val="18"/>
          <w:szCs w:val="18"/>
          <w:color w:val="auto"/>
        </w:rPr>
        <w:t>basic and</w:t>
      </w:r>
      <w:r>
        <w:rPr>
          <w:sz w:val="20"/>
          <w:szCs w:val="20"/>
          <w:color w:val="auto"/>
        </w:rPr>
        <w:tab/>
      </w:r>
      <w:r>
        <w:rPr>
          <w:rFonts w:ascii="Courier New" w:cs="Courier New" w:eastAsia="Courier New" w:hAnsi="Courier New"/>
          <w:sz w:val="16"/>
          <w:szCs w:val="16"/>
          <w:color w:val="auto"/>
        </w:rPr>
        <w:t>basic and</w:t>
      </w:r>
    </w:p>
    <w:p>
      <w:pPr>
        <w:ind w:left="4640"/>
        <w:spacing w:after="0" w:line="237" w:lineRule="auto"/>
        <w:tabs>
          <w:tab w:leader="none" w:pos="6940" w:val="left"/>
        </w:tabs>
        <w:rPr>
          <w:sz w:val="20"/>
          <w:szCs w:val="20"/>
          <w:color w:val="auto"/>
        </w:rPr>
      </w:pPr>
      <w:r>
        <w:rPr>
          <w:rFonts w:ascii="Courier New" w:cs="Courier New" w:eastAsia="Courier New" w:hAnsi="Courier New"/>
          <w:sz w:val="18"/>
          <w:szCs w:val="18"/>
          <w:color w:val="auto"/>
        </w:rPr>
        <w:t>diluted</w:t>
      </w:r>
      <w:r>
        <w:rPr>
          <w:sz w:val="20"/>
          <w:szCs w:val="20"/>
          <w:color w:val="auto"/>
        </w:rPr>
        <w:tab/>
      </w:r>
      <w:r>
        <w:rPr>
          <w:rFonts w:ascii="Courier New" w:cs="Courier New" w:eastAsia="Courier New" w:hAnsi="Courier New"/>
          <w:sz w:val="18"/>
          <w:szCs w:val="18"/>
          <w:color w:val="auto"/>
        </w:rPr>
        <w:t>diluted</w:t>
      </w:r>
    </w:p>
    <w:p>
      <w:pPr>
        <w:ind w:left="3060"/>
        <w:spacing w:after="0"/>
        <w:tabs>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460" w:val="left"/>
          <w:tab w:leader="none" w:pos="4620" w:val="left"/>
          <w:tab w:leader="none" w:pos="5880" w:val="left"/>
          <w:tab w:leader="none" w:pos="7160" w:val="left"/>
        </w:tabs>
        <w:rPr>
          <w:sz w:val="20"/>
          <w:szCs w:val="20"/>
          <w:color w:val="auto"/>
        </w:rPr>
      </w:pPr>
      <w:r>
        <w:rPr>
          <w:rFonts w:ascii="Courier New" w:cs="Courier New" w:eastAsia="Courier New" w:hAnsi="Courier New"/>
          <w:sz w:val="18"/>
          <w:szCs w:val="18"/>
          <w:color w:val="auto"/>
        </w:rPr>
        <w:t>Loss from continuing operations</w:t>
        <w:tab/>
        <w:t>$(1,044)</w:t>
      </w:r>
      <w:r>
        <w:rPr>
          <w:sz w:val="20"/>
          <w:szCs w:val="20"/>
          <w:color w:val="auto"/>
        </w:rPr>
        <w:tab/>
      </w:r>
      <w:r>
        <w:rPr>
          <w:rFonts w:ascii="Courier New" w:cs="Courier New" w:eastAsia="Courier New" w:hAnsi="Courier New"/>
          <w:sz w:val="18"/>
          <w:szCs w:val="18"/>
          <w:color w:val="auto"/>
        </w:rPr>
        <w:t>$(0.03)</w:t>
      </w:r>
      <w:r>
        <w:rPr>
          <w:sz w:val="20"/>
          <w:szCs w:val="20"/>
          <w:color w:val="auto"/>
        </w:rPr>
        <w:tab/>
      </w:r>
      <w:r>
        <w:rPr>
          <w:rFonts w:ascii="Courier New" w:cs="Courier New" w:eastAsia="Courier New" w:hAnsi="Courier New"/>
          <w:sz w:val="18"/>
          <w:szCs w:val="18"/>
          <w:color w:val="auto"/>
        </w:rPr>
        <w:t>$ (1,428)</w:t>
      </w:r>
      <w:r>
        <w:rPr>
          <w:sz w:val="20"/>
          <w:szCs w:val="20"/>
          <w:color w:val="auto"/>
        </w:rPr>
        <w:tab/>
      </w:r>
      <w:r>
        <w:rPr>
          <w:rFonts w:ascii="Courier New" w:cs="Courier New" w:eastAsia="Courier New" w:hAnsi="Courier New"/>
          <w:sz w:val="16"/>
          <w:szCs w:val="16"/>
          <w:color w:val="auto"/>
        </w:rPr>
        <w:t>$(0.04)</w:t>
      </w:r>
    </w:p>
    <w:tbl>
      <w:tblPr>
        <w:tblLayout w:type="fixed"/>
        <w:tblInd w:w="0" w:type="dxa"/>
        <w:tblCellMar>
          <w:top w:w="0" w:type="dxa"/>
          <w:left w:w="0" w:type="dxa"/>
          <w:bottom w:w="0" w:type="dxa"/>
          <w:right w:w="0" w:type="dxa"/>
        </w:tblCellMar>
      </w:tblPr>
      <w:tr>
        <w:trPr>
          <w:trHeight w:val="202"/>
        </w:trPr>
        <w:tc>
          <w:tcPr>
            <w:tcW w:w="3440" w:type="dxa"/>
            <w:vAlign w:val="bottom"/>
          </w:tcPr>
          <w:p>
            <w:pPr>
              <w:jc w:val="center"/>
              <w:ind w:right="392"/>
              <w:spacing w:after="0" w:line="202" w:lineRule="exact"/>
              <w:rPr>
                <w:sz w:val="20"/>
                <w:szCs w:val="20"/>
                <w:color w:val="auto"/>
              </w:rPr>
            </w:pPr>
            <w:r>
              <w:rPr>
                <w:rFonts w:ascii="Courier New" w:cs="Courier New" w:eastAsia="Courier New" w:hAnsi="Courier New"/>
                <w:sz w:val="18"/>
                <w:szCs w:val="18"/>
                <w:color w:val="auto"/>
                <w:w w:val="97"/>
              </w:rPr>
              <w:t>Income tax benefit, assuming</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4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normalized tax rate of 37%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386</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0.01</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bl>
    <w:p>
      <w:pPr>
        <w:ind w:left="3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Adjusted</w:t>
            </w:r>
          </w:p>
        </w:tc>
        <w:tc>
          <w:tcPr>
            <w:tcW w:w="3520" w:type="dxa"/>
            <w:vAlign w:val="bottom"/>
          </w:tcPr>
          <w:p>
            <w:pPr>
              <w:spacing w:after="0"/>
              <w:rPr>
                <w:sz w:val="20"/>
                <w:szCs w:val="20"/>
                <w:color w:val="auto"/>
              </w:rPr>
            </w:pPr>
            <w:r>
              <w:rPr>
                <w:rFonts w:ascii="Courier New" w:cs="Courier New" w:eastAsia="Courier New" w:hAnsi="Courier New"/>
                <w:sz w:val="18"/>
                <w:szCs w:val="18"/>
                <w:color w:val="auto"/>
              </w:rPr>
              <w:t>loss from continuing</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operations, after normalized</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tax rate</w:t>
            </w:r>
          </w:p>
        </w:tc>
        <w:tc>
          <w:tcPr>
            <w:tcW w:w="3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(658)</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$(0.02)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(900)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960" w:type="dxa"/>
            <w:vAlign w:val="bottom"/>
          </w:tcPr>
          <w:p>
            <w:pPr>
              <w:spacing w:after="0"/>
              <w:rPr>
                <w:sz w:val="17"/>
                <w:szCs w:val="17"/>
                <w:color w:val="auto"/>
              </w:rPr>
            </w:pPr>
          </w:p>
        </w:tc>
        <w:tc>
          <w:tcPr>
            <w:tcW w:w="7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Weighted</w:t>
            </w:r>
          </w:p>
        </w:tc>
        <w:tc>
          <w:tcPr>
            <w:tcW w:w="3520" w:type="dxa"/>
            <w:vAlign w:val="bottom"/>
          </w:tcPr>
          <w:p>
            <w:pPr>
              <w:spacing w:after="0"/>
              <w:rPr>
                <w:sz w:val="20"/>
                <w:szCs w:val="20"/>
                <w:color w:val="auto"/>
              </w:rPr>
            </w:pPr>
            <w:r>
              <w:rPr>
                <w:rFonts w:ascii="Courier New" w:cs="Courier New" w:eastAsia="Courier New" w:hAnsi="Courier New"/>
                <w:sz w:val="18"/>
                <w:szCs w:val="18"/>
                <w:color w:val="auto"/>
              </w:rPr>
              <w:t>average number of</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diluted</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34,209</w:t>
            </w:r>
          </w:p>
        </w:tc>
        <w:tc>
          <w:tcPr>
            <w:tcW w:w="1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35,992</w:t>
            </w:r>
          </w:p>
        </w:tc>
      </w:tr>
    </w:tbl>
    <w:p>
      <w:pPr>
        <w:spacing w:after="0" w:line="200" w:lineRule="exact"/>
        <w:rPr>
          <w:sz w:val="20"/>
          <w:szCs w:val="20"/>
          <w:color w:val="auto"/>
        </w:rPr>
      </w:pPr>
    </w:p>
    <w:p>
      <w:pPr>
        <w:spacing w:after="0" w:line="209" w:lineRule="exact"/>
        <w:rPr>
          <w:sz w:val="20"/>
          <w:szCs w:val="20"/>
          <w:color w:val="auto"/>
        </w:rPr>
      </w:pPr>
    </w:p>
    <w:p>
      <w:pPr>
        <w:ind w:right="2519"/>
        <w:spacing w:after="0" w:line="272" w:lineRule="auto"/>
        <w:rPr>
          <w:sz w:val="20"/>
          <w:szCs w:val="20"/>
          <w:color w:val="auto"/>
        </w:rPr>
      </w:pPr>
      <w:r>
        <w:rPr>
          <w:rFonts w:ascii="Courier New" w:cs="Courier New" w:eastAsia="Courier New" w:hAnsi="Courier New"/>
          <w:sz w:val="16"/>
          <w:szCs w:val="16"/>
          <w:color w:val="auto"/>
        </w:rPr>
        <w:t>CMRG will conduct a conference call to discuss its third quarter earnings results today at 11:00 a.m. Eastern Time at www.casualmale.com/investor.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8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Casual Male will be reporting monthly comparable store sales for Rochester, which includes its 22 stores and its direct to consumer businesses, separately from the Casual Male Big &amp; Tall stores beginning with November 2004 sales.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CMRG, the largest retailer of big and tall men's apparel with retail</w:t>
      </w:r>
    </w:p>
    <w:p>
      <w:pPr>
        <w:spacing w:after="0" w:line="238" w:lineRule="auto"/>
        <w:rPr>
          <w:sz w:val="20"/>
          <w:szCs w:val="20"/>
          <w:color w:val="auto"/>
        </w:rPr>
      </w:pPr>
      <w:r>
        <w:rPr>
          <w:rFonts w:ascii="Courier New" w:cs="Courier New" w:eastAsia="Courier New" w:hAnsi="Courier New"/>
          <w:sz w:val="18"/>
          <w:szCs w:val="18"/>
          <w:color w:val="auto"/>
        </w:rPr>
        <w:t>operations throughout the United States and Canada, operates 496 Casual</w:t>
      </w:r>
    </w:p>
    <w:p>
      <w:pPr>
        <w:spacing w:after="0"/>
        <w:rPr>
          <w:sz w:val="20"/>
          <w:szCs w:val="20"/>
          <w:color w:val="auto"/>
        </w:rPr>
      </w:pPr>
      <w:r>
        <w:rPr>
          <w:rFonts w:ascii="Courier New" w:cs="Courier New" w:eastAsia="Courier New" w:hAnsi="Courier New"/>
          <w:sz w:val="18"/>
          <w:szCs w:val="18"/>
          <w:color w:val="auto"/>
        </w:rPr>
        <w:t>Male Big &amp; Tall stores, the Casual Male e-commerce site, Casual Male</w:t>
      </w:r>
    </w:p>
    <w:p>
      <w:pPr>
        <w:spacing w:after="0" w:line="237" w:lineRule="auto"/>
        <w:rPr>
          <w:sz w:val="20"/>
          <w:szCs w:val="20"/>
          <w:color w:val="auto"/>
        </w:rPr>
      </w:pPr>
      <w:r>
        <w:rPr>
          <w:rFonts w:ascii="Courier New" w:cs="Courier New" w:eastAsia="Courier New" w:hAnsi="Courier New"/>
          <w:sz w:val="18"/>
          <w:szCs w:val="18"/>
          <w:color w:val="auto"/>
        </w:rPr>
        <w:t>catalog business, 13 Casual Male at Sears-Canada stores, 32 Levi's(r) Outlet</w:t>
      </w:r>
    </w:p>
    <w:p>
      <w:pPr>
        <w:spacing w:after="0" w:line="238" w:lineRule="auto"/>
        <w:rPr>
          <w:sz w:val="20"/>
          <w:szCs w:val="20"/>
          <w:color w:val="auto"/>
        </w:rPr>
      </w:pPr>
      <w:r>
        <w:rPr>
          <w:rFonts w:ascii="Courier New" w:cs="Courier New" w:eastAsia="Courier New" w:hAnsi="Courier New"/>
          <w:sz w:val="18"/>
          <w:szCs w:val="18"/>
          <w:color w:val="auto"/>
        </w:rPr>
        <w:t>by Designs and Dockers(r) Outlet by Designs stores and 22 Rochester Big &amp;</w:t>
      </w:r>
    </w:p>
    <w:p>
      <w:pPr>
        <w:spacing w:after="0"/>
        <w:rPr>
          <w:sz w:val="20"/>
          <w:szCs w:val="20"/>
          <w:color w:val="auto"/>
        </w:rPr>
      </w:pPr>
      <w:r>
        <w:rPr>
          <w:rFonts w:ascii="Courier New" w:cs="Courier New" w:eastAsia="Courier New" w:hAnsi="Courier New"/>
          <w:sz w:val="18"/>
          <w:szCs w:val="18"/>
          <w:color w:val="auto"/>
        </w:rPr>
        <w:t>Tall stores and direct to consumer business. The Company is headquartered</w:t>
      </w:r>
    </w:p>
    <w:p>
      <w:pPr>
        <w:spacing w:after="0" w:line="237" w:lineRule="auto"/>
        <w:rPr>
          <w:sz w:val="20"/>
          <w:szCs w:val="20"/>
          <w:color w:val="auto"/>
        </w:rPr>
      </w:pPr>
      <w:r>
        <w:rPr>
          <w:rFonts w:ascii="Courier New" w:cs="Courier New" w:eastAsia="Courier New" w:hAnsi="Courier New"/>
          <w:sz w:val="18"/>
          <w:szCs w:val="18"/>
          <w:color w:val="auto"/>
        </w:rPr>
        <w:t>in Canton, Massachusetts and its common stock is listed on the NASDAQ</w:t>
      </w:r>
    </w:p>
    <w:p>
      <w:pPr>
        <w:spacing w:after="0"/>
        <w:rPr>
          <w:sz w:val="20"/>
          <w:szCs w:val="20"/>
          <w:color w:val="auto"/>
        </w:rPr>
      </w:pPr>
      <w:r>
        <w:rPr>
          <w:rFonts w:ascii="Courier New" w:cs="Courier New" w:eastAsia="Courier New" w:hAnsi="Courier New"/>
          <w:sz w:val="18"/>
          <w:szCs w:val="18"/>
          <w:color w:val="auto"/>
        </w:rPr>
        <w:t>National Market under the symbol "CMRG."</w:t>
      </w:r>
    </w:p>
    <w:p>
      <w:pPr>
        <w:spacing w:after="0" w:line="200" w:lineRule="exact"/>
        <w:rPr>
          <w:sz w:val="20"/>
          <w:szCs w:val="20"/>
          <w:color w:val="auto"/>
        </w:rPr>
      </w:pPr>
    </w:p>
    <w:p>
      <w:pPr>
        <w:spacing w:after="0" w:line="209"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This press release contains forward-looking statements within the meaning of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in this press release and elsewhere as a result of numerous risks and uncertainties. The Company encourages readers to refer to its prior filings with the Securities and Exchange Commission, including, without limitation, its Current Report on Form 8-K filed on April 14, 2004, that set forth certain risks and uncertainties that may have an impact on future results and direction of the Company.</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[Tables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190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000"/>
        <w:spacing w:after="0"/>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2"/>
        </w:trPr>
        <w:tc>
          <w:tcPr>
            <w:tcW w:w="2440" w:type="dxa"/>
            <w:vAlign w:val="bottom"/>
          </w:tcPr>
          <w:p>
            <w:pPr>
              <w:spacing w:after="0"/>
              <w:rPr>
                <w:sz w:val="17"/>
                <w:szCs w:val="17"/>
                <w:color w:val="auto"/>
              </w:rPr>
            </w:pPr>
          </w:p>
        </w:tc>
        <w:tc>
          <w:tcPr>
            <w:tcW w:w="2100" w:type="dxa"/>
            <w:vAlign w:val="bottom"/>
            <w:gridSpan w:val="2"/>
          </w:tcPr>
          <w:p>
            <w:pPr>
              <w:jc w:val="right"/>
              <w:ind w:right="132"/>
              <w:spacing w:after="0" w:line="202" w:lineRule="exact"/>
              <w:rPr>
                <w:sz w:val="20"/>
                <w:szCs w:val="20"/>
                <w:color w:val="auto"/>
              </w:rPr>
            </w:pPr>
            <w:r>
              <w:rPr>
                <w:rFonts w:ascii="Courier New" w:cs="Courier New" w:eastAsia="Courier New" w:hAnsi="Courier New"/>
                <w:sz w:val="18"/>
                <w:szCs w:val="18"/>
                <w:color w:val="auto"/>
              </w:rPr>
              <w:t>(Unaudited)</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244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For the</w:t>
            </w:r>
          </w:p>
        </w:tc>
        <w:tc>
          <w:tcPr>
            <w:tcW w:w="210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w w:val="99"/>
              </w:rPr>
              <w:t>three months ended</w:t>
            </w:r>
          </w:p>
        </w:tc>
        <w:tc>
          <w:tcPr>
            <w:tcW w:w="2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For the nine months ended</w:t>
            </w:r>
          </w:p>
        </w:tc>
      </w:tr>
      <w:tr>
        <w:trPr>
          <w:trHeight w:val="203"/>
        </w:trPr>
        <w:tc>
          <w:tcPr>
            <w:tcW w:w="2440" w:type="dxa"/>
            <w:vAlign w:val="bottom"/>
          </w:tcPr>
          <w:p>
            <w:pPr>
              <w:spacing w:after="0"/>
              <w:rPr>
                <w:sz w:val="17"/>
                <w:szCs w:val="17"/>
                <w:color w:val="auto"/>
              </w:rPr>
            </w:pPr>
          </w:p>
        </w:tc>
        <w:tc>
          <w:tcPr>
            <w:tcW w:w="21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10/30/2004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11/1/2003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10/30/2004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11/1/2003</w:t>
            </w:r>
          </w:p>
        </w:tc>
      </w:tr>
      <w:tr>
        <w:trPr>
          <w:trHeight w:val="203"/>
        </w:trPr>
        <w:tc>
          <w:tcPr>
            <w:tcW w:w="2440" w:type="dxa"/>
            <w:vAlign w:val="bottom"/>
          </w:tcPr>
          <w:p>
            <w:pPr>
              <w:spacing w:after="0"/>
              <w:rPr>
                <w:sz w:val="17"/>
                <w:szCs w:val="17"/>
                <w:color w:val="auto"/>
              </w:rPr>
            </w:pPr>
          </w:p>
        </w:tc>
        <w:tc>
          <w:tcPr>
            <w:tcW w:w="3300" w:type="dxa"/>
            <w:vAlign w:val="bottom"/>
            <w:gridSpan w:val="3"/>
          </w:tcPr>
          <w:p>
            <w:pPr>
              <w:ind w:left="940"/>
              <w:spacing w:after="0" w:line="203" w:lineRule="exact"/>
              <w:rPr>
                <w:sz w:val="20"/>
                <w:szCs w:val="20"/>
                <w:color w:val="auto"/>
              </w:rPr>
            </w:pPr>
            <w:r>
              <w:rPr>
                <w:rFonts w:ascii="Courier New" w:cs="Courier New" w:eastAsia="Courier New" w:hAnsi="Courier New"/>
                <w:sz w:val="18"/>
                <w:szCs w:val="18"/>
                <w:color w:val="auto"/>
                <w:w w:val="98"/>
              </w:rPr>
              <w:t>----------------------</w:t>
            </w:r>
          </w:p>
        </w:tc>
        <w:tc>
          <w:tcPr>
            <w:tcW w:w="27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93,922</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97,910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$ 298,239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$ 285,901</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120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58,663</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59,597</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186,696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177,299</w:t>
            </w:r>
          </w:p>
        </w:tc>
      </w:tr>
      <w:tr>
        <w:trPr>
          <w:trHeight w:val="203"/>
        </w:trPr>
        <w:tc>
          <w:tcPr>
            <w:tcW w:w="2440" w:type="dxa"/>
            <w:vAlign w:val="bottom"/>
          </w:tcPr>
          <w:p>
            <w:pPr>
              <w:spacing w:after="0"/>
              <w:rPr>
                <w:sz w:val="17"/>
                <w:szCs w:val="17"/>
                <w:color w:val="auto"/>
              </w:rPr>
            </w:pPr>
          </w:p>
        </w:tc>
        <w:tc>
          <w:tcPr>
            <w:tcW w:w="2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200" w:type="dxa"/>
            <w:vAlign w:val="bottom"/>
          </w:tcPr>
          <w:p>
            <w:pPr>
              <w:spacing w:after="0"/>
              <w:rPr>
                <w:sz w:val="17"/>
                <w:szCs w:val="17"/>
                <w:color w:val="auto"/>
              </w:rPr>
            </w:pP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35,259</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38,313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111,543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108,602</w:t>
            </w:r>
          </w:p>
        </w:tc>
      </w:tr>
    </w:tbl>
    <w:p>
      <w:pPr>
        <w:sectPr>
          <w:pgSz w:w="11900" w:h="16838" w:orient="portrait"/>
          <w:cols w:equalWidth="0" w:num="1">
            <w:col w:w="10219"/>
          </w:cols>
          <w:pgMar w:left="240" w:top="136"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32,152</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33,793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103,434</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97,441</w:t>
            </w:r>
          </w:p>
        </w:tc>
      </w:tr>
      <w:tr>
        <w:trPr>
          <w:trHeight w:val="203"/>
        </w:trPr>
        <w:tc>
          <w:tcPr>
            <w:tcW w:w="4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Provision (reversal) for impairment</w:t>
            </w: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assets, store closings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severance</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(591)</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(591)</w:t>
            </w:r>
          </w:p>
        </w:tc>
        <w:tc>
          <w:tcPr>
            <w:tcW w:w="1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2,864</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2,241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8,144</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6,177</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34,425</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36,034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110,987</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103,618</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6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834</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2,279</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556</w:t>
            </w:r>
          </w:p>
        </w:tc>
        <w:tc>
          <w:tcPr>
            <w:tcW w:w="1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4,984</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Other income (expense), net</w:t>
            </w:r>
          </w:p>
        </w:tc>
        <w:tc>
          <w:tcPr>
            <w:tcW w:w="160" w:type="dxa"/>
            <w:vAlign w:val="bottom"/>
          </w:tcPr>
          <w:p>
            <w:pPr>
              <w:spacing w:after="0"/>
              <w:rPr>
                <w:sz w:val="24"/>
                <w:szCs w:val="24"/>
                <w:color w:val="auto"/>
              </w:rPr>
            </w:pPr>
          </w:p>
        </w:tc>
        <w:tc>
          <w:tcPr>
            <w:tcW w:w="1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(425)</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308</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(425)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(1,878)</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(3,135)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(6,035)</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(8,996)</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Loss from continuing operations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minority interest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(1,044)</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(1,281)</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(5,171)</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(4,437)</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16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147</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(701)</w:t>
            </w:r>
          </w:p>
        </w:tc>
        <w:tc>
          <w:tcPr>
            <w:tcW w:w="1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Loss from continuing operations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(1,044)</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(4,470)</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(4,492)</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Income (loss) from discontinued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(322)</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(1,891)</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1,192</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  (1,204)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(6,361)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 basic and diluted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Loss from continuing operations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($0.03)</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($0.13)</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(loss) from discontinued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($0.01)</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($0.05)</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($0.04)</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($0.18)</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($0.09)</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Weighted-average number</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common shares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and Diluted</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34,209</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35,992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34,607</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35,855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CASUAL MALE RETAIL GROUP, INC.</w:t>
      </w:r>
    </w:p>
    <w:p>
      <w:pPr>
        <w:ind w:left="254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120"/>
        <w:spacing w:after="0"/>
        <w:rPr>
          <w:sz w:val="20"/>
          <w:szCs w:val="20"/>
          <w:color w:val="auto"/>
        </w:rPr>
      </w:pPr>
      <w:r>
        <w:rPr>
          <w:rFonts w:ascii="Courier New" w:cs="Courier New" w:eastAsia="Courier New" w:hAnsi="Courier New"/>
          <w:sz w:val="18"/>
          <w:szCs w:val="18"/>
          <w:color w:val="auto"/>
        </w:rPr>
        <w:t>October 30, 2004 and January 31, 2004</w:t>
      </w:r>
    </w:p>
    <w:tbl>
      <w:tblPr>
        <w:tblLayout w:type="fixed"/>
        <w:tblInd w:w="0" w:type="dxa"/>
        <w:tblCellMar>
          <w:top w:w="0" w:type="dxa"/>
          <w:left w:w="0" w:type="dxa"/>
          <w:bottom w:w="0" w:type="dxa"/>
          <w:right w:w="0" w:type="dxa"/>
        </w:tblCellMar>
      </w:tblPr>
      <w:tr>
        <w:trPr>
          <w:trHeight w:val="202"/>
        </w:trPr>
        <w:tc>
          <w:tcPr>
            <w:tcW w:w="5480" w:type="dxa"/>
            <w:vAlign w:val="bottom"/>
            <w:gridSpan w:val="3"/>
          </w:tcPr>
          <w:p>
            <w:pPr>
              <w:jc w:val="right"/>
              <w:ind w:right="752"/>
              <w:spacing w:after="0" w:line="202" w:lineRule="exact"/>
              <w:rPr>
                <w:sz w:val="20"/>
                <w:szCs w:val="20"/>
                <w:color w:val="auto"/>
              </w:rPr>
            </w:pPr>
            <w:r>
              <w:rPr>
                <w:rFonts w:ascii="Courier New" w:cs="Courier New" w:eastAsia="Courier New" w:hAnsi="Courier New"/>
                <w:sz w:val="18"/>
                <w:szCs w:val="18"/>
                <w:color w:val="auto"/>
              </w:rPr>
              <w:t>(In thousands)</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3800" w:type="dxa"/>
            <w:vAlign w:val="bottom"/>
          </w:tcPr>
          <w:p>
            <w:pPr>
              <w:spacing w:after="0"/>
              <w:rPr>
                <w:sz w:val="24"/>
                <w:szCs w:val="24"/>
                <w:color w:val="auto"/>
              </w:rPr>
            </w:pPr>
          </w:p>
        </w:tc>
        <w:tc>
          <w:tcPr>
            <w:tcW w:w="16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w w:val="95"/>
              </w:rPr>
              <w:t>October 30,</w:t>
            </w:r>
          </w:p>
        </w:tc>
        <w:tc>
          <w:tcPr>
            <w:tcW w:w="180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5"/>
              </w:rPr>
              <w:t>January 31,</w:t>
            </w:r>
          </w:p>
        </w:tc>
      </w:tr>
      <w:tr>
        <w:trPr>
          <w:trHeight w:val="203"/>
        </w:trPr>
        <w:tc>
          <w:tcPr>
            <w:tcW w:w="3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2004</w:t>
            </w:r>
          </w:p>
        </w:tc>
        <w:tc>
          <w:tcPr>
            <w:tcW w:w="84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800" w:type="dxa"/>
            <w:vAlign w:val="bottom"/>
          </w:tcPr>
          <w:p>
            <w:pPr>
              <w:spacing w:after="0"/>
              <w:rPr>
                <w:sz w:val="17"/>
                <w:szCs w:val="17"/>
                <w:color w:val="auto"/>
              </w:rPr>
            </w:pPr>
          </w:p>
        </w:tc>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Cash and investments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6,387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4,179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receivable</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5,368</w:t>
            </w:r>
          </w:p>
        </w:tc>
        <w:tc>
          <w:tcPr>
            <w:tcW w:w="84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122,408</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98,673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11,263</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10,831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72,584</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68,345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88,391</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81,306</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9,127</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9,408</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$ 315,528</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$ 272,742</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w w:val="97"/>
              </w:rPr>
              <w:t>LIABILITIES AND STOCKHOLDERS' EQUITY</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73,628</w:t>
            </w:r>
          </w:p>
        </w:tc>
        <w:tc>
          <w:tcPr>
            <w:tcW w:w="8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59,155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51,498</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reserves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2,024</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2,945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portion</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119,430</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122,374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320" w:type="dxa"/>
            <w:vAlign w:val="bottom"/>
          </w:tcPr>
          <w:p>
            <w:pPr>
              <w:spacing w:after="0"/>
              <w:rPr>
                <w:sz w:val="17"/>
                <w:szCs w:val="17"/>
                <w:color w:val="auto"/>
              </w:rPr>
            </w:pPr>
          </w:p>
        </w:tc>
        <w:tc>
          <w:tcPr>
            <w:tcW w:w="1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3,804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68,948</w:t>
            </w:r>
          </w:p>
        </w:tc>
        <w:tc>
          <w:tcPr>
            <w:tcW w:w="8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80,841</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315,528</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$ 272,742</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6" w:name="page7"/>
    <w:bookmarkEnd w:id="6"/>
    <w:p>
      <w:pPr>
        <w:jc w:val="right"/>
        <w:spacing w:after="0" w:line="203"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0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Casual Male Retail Group, Inc. Enters into Letter of Intent to Sell</w:t>
      </w:r>
    </w:p>
    <w:p>
      <w:pPr>
        <w:jc w:val="center"/>
        <w:ind w:right="2419"/>
        <w:spacing w:after="0" w:line="238" w:lineRule="auto"/>
        <w:rPr>
          <w:sz w:val="20"/>
          <w:szCs w:val="20"/>
          <w:color w:val="auto"/>
        </w:rPr>
      </w:pPr>
      <w:r>
        <w:rPr>
          <w:rFonts w:ascii="Courier New" w:cs="Courier New" w:eastAsia="Courier New" w:hAnsi="Courier New"/>
          <w:sz w:val="18"/>
          <w:szCs w:val="18"/>
          <w:color w:val="auto"/>
        </w:rPr>
        <w:t>Levi's(r)/Dockers(r) Outlet Stores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CANTON, MA November 18, 2004 -- Casual Male Retail Group, Inc. (NASDAQ/NMS: "CMRG"), retail brand operator of Casual Male Big &amp; Tall, the exclusive retailer of George Foreman's clothing collection, and Rochester Big &amp; Tall ("Rochester"), today announced that Casual Male has signed a letter of intent, subject to the negotiation of a definitive agreement, buyer's due diligence and other normal closing conditions, to sell its remaining 32 Levi's(r)/Dockers(r) Outlet stores to an unnamed affiliate of a privately held United States retailer for an undisclosed purchase price. Although there can be no certainty, the sale is targeted to close on November 24, 2004, assuming the execution</w:t>
      </w:r>
    </w:p>
    <w:p>
      <w:pPr>
        <w:spacing w:after="0" w:line="12"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of a definitive agreement and the satisfaction of all closing conditions. The proceeds from the sale will be used to reduce Casual Male's outstanding debt under its revolving line of credit.</w:t>
      </w:r>
    </w:p>
    <w:p>
      <w:pPr>
        <w:spacing w:after="0" w:line="209"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Seymour Holtzman, Chairman of Casual Male Retail Group, Inc., said, "We had been closing our Levi's(r)/Dockers(r) stores for the last two years under a liquidation plan and we believe that selling the remaining stores in one transaction is more advantageous financially to the Company. In the last six months, we have been able to extricate the Company from its non-core apparel businesses on very favorable terms for our shareholders. With the recent acquisition of Rochester, Casual Male can now focus on creating a big and tall apparel company of global importance without the distraction of our legacy businesses."</w:t>
      </w:r>
    </w:p>
    <w:p>
      <w:pPr>
        <w:spacing w:after="0" w:line="18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Casual Male will discuss the proposed Levi's(r)/Dockers(r) sale and its third quarter earnings on Thursday, November 18, 2004 at 11:00 a.m. ET. To listen to the web cast, go to www.casualmale.com/investor and click on the third quarter earnings icon.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operates 496 Casual Male Big &amp; Tall stores, the Casual Male e-commerce site, Casual Male catalog business, and 22 Rochester Big &amp; Tall stores and direct to consumer business. The Company is headquartered in Canton, Massachusetts and its common stock is listed on the Nasdaq National Market under the symbol "CMRG."</w:t>
      </w:r>
    </w:p>
    <w:p>
      <w:pPr>
        <w:spacing w:after="0" w:line="210"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including statements about the proposed sale of the Company's remaining Levi's(r)/Dockers(r) Outlets stores, including the terms and timing of such sale.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in this press release due to numerous factors, including, without limitation, the ability to negotiate and execute a definitive agreement relating to the sale of the Levi's(r)/Dockers(r) Outlets stores, satisfy the conditions to the consummation of the sale and other risks generally associated with such transactions. Furthermore, the Company encourages readers to refer to its prior filings with the Securities and Exchange Commission, including, without limitation, its Current Report on Form 8-K filed on April 14, 2004, that set forth certain risks and uncertainties that may have an impact on future results and direction of the Company.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2019-12-19T22:12:03Z</dcterms:created>
  <dcterms:modified xsi:type="dcterms:W3CDTF">2019-12-19T22:12:03Z</dcterms:modified>
</cp:coreProperties>
</file>