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t>UNITED STATES</w:t>
      </w:r>
    </w:p>
    <w:p>
      <w:pPr>
        <w:spacing w:after="0" w:line="87"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spacing w:after="0" w:line="24"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145415</wp:posOffset>
            </wp:positionV>
            <wp:extent cx="5645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29"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154940</wp:posOffset>
            </wp:positionV>
            <wp:extent cx="5645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5"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42"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0" w:lineRule="exact"/>
        <w:rPr>
          <w:sz w:val="24"/>
          <w:szCs w:val="24"/>
          <w:color w:val="auto"/>
        </w:rPr>
      </w:pPr>
    </w:p>
    <w:p>
      <w:pPr>
        <w:ind w:left="3444"/>
        <w:spacing w:after="0"/>
        <w:rPr>
          <w:sz w:val="20"/>
          <w:szCs w:val="20"/>
          <w:color w:val="auto"/>
        </w:rPr>
      </w:pPr>
      <w:r>
        <w:rPr>
          <w:rFonts w:ascii="Arial" w:cs="Arial" w:eastAsia="Arial" w:hAnsi="Arial"/>
          <w:sz w:val="16"/>
          <w:szCs w:val="16"/>
          <w:b w:val="1"/>
          <w:bCs w:val="1"/>
          <w:color w:val="auto"/>
        </w:rPr>
        <w:t>Date of Report (Date of earliest event reported): December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160655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1"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DESTINATION XL GROUP,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140335</wp:posOffset>
            </wp:positionV>
            <wp:extent cx="56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68" w:lineRule="exact"/>
        <w:rPr>
          <w:sz w:val="24"/>
          <w:szCs w:val="24"/>
          <w:color w:val="auto"/>
        </w:rPr>
      </w:pPr>
    </w:p>
    <w:tbl>
      <w:tblPr>
        <w:tblLayout w:type="fixed"/>
        <w:tblInd w:w="924" w:type="dxa"/>
        <w:tblCellMar>
          <w:top w:w="0" w:type="dxa"/>
          <w:left w:w="0" w:type="dxa"/>
          <w:bottom w:w="0" w:type="dxa"/>
          <w:right w:w="0" w:type="dxa"/>
        </w:tblCellMar>
      </w:tblPr>
      <w:tr>
        <w:trPr>
          <w:trHeight w:val="228"/>
        </w:trPr>
        <w:tc>
          <w:tcPr>
            <w:tcW w:w="2240" w:type="dxa"/>
            <w:vAlign w:val="bottom"/>
          </w:tcPr>
          <w:p>
            <w:pPr>
              <w:jc w:val="center"/>
              <w:ind w:right="107"/>
              <w:spacing w:after="0"/>
              <w:rPr>
                <w:sz w:val="20"/>
                <w:szCs w:val="20"/>
                <w:color w:val="auto"/>
              </w:rPr>
            </w:pPr>
            <w:r>
              <w:rPr>
                <w:rFonts w:ascii="Arial" w:cs="Arial" w:eastAsia="Arial" w:hAnsi="Arial"/>
                <w:sz w:val="19"/>
                <w:szCs w:val="19"/>
                <w:b w:val="1"/>
                <w:bCs w:val="1"/>
                <w:color w:val="auto"/>
                <w:w w:val="93"/>
              </w:rPr>
              <w:t>Delaware</w:t>
            </w:r>
          </w:p>
        </w:tc>
        <w:tc>
          <w:tcPr>
            <w:tcW w:w="3000" w:type="dxa"/>
            <w:vAlign w:val="bottom"/>
            <w:gridSpan w:val="2"/>
          </w:tcPr>
          <w:p>
            <w:pPr>
              <w:jc w:val="center"/>
              <w:ind w:left="2021"/>
              <w:spacing w:after="0"/>
              <w:rPr>
                <w:sz w:val="20"/>
                <w:szCs w:val="20"/>
                <w:color w:val="auto"/>
              </w:rPr>
            </w:pPr>
            <w:r>
              <w:rPr>
                <w:rFonts w:ascii="Arial" w:cs="Arial" w:eastAsia="Arial" w:hAnsi="Arial"/>
                <w:sz w:val="19"/>
                <w:szCs w:val="19"/>
                <w:b w:val="1"/>
                <w:bCs w:val="1"/>
                <w:color w:val="auto"/>
                <w:w w:val="92"/>
              </w:rPr>
              <w:t>01-34219</w:t>
            </w:r>
          </w:p>
        </w:tc>
        <w:tc>
          <w:tcPr>
            <w:tcW w:w="2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2"/>
        </w:trPr>
        <w:tc>
          <w:tcPr>
            <w:tcW w:w="2240" w:type="dxa"/>
            <w:vAlign w:val="bottom"/>
          </w:tcPr>
          <w:p>
            <w:pPr>
              <w:jc w:val="center"/>
              <w:ind w:right="127"/>
              <w:spacing w:after="0" w:line="132" w:lineRule="exact"/>
              <w:rPr>
                <w:sz w:val="20"/>
                <w:szCs w:val="20"/>
                <w:color w:val="auto"/>
              </w:rPr>
            </w:pPr>
            <w:r>
              <w:rPr>
                <w:rFonts w:ascii="Arial" w:cs="Arial" w:eastAsia="Arial" w:hAnsi="Arial"/>
                <w:sz w:val="12"/>
                <w:szCs w:val="12"/>
                <w:b w:val="1"/>
                <w:bCs w:val="1"/>
                <w:color w:val="auto"/>
                <w:w w:val="92"/>
              </w:rPr>
              <w:t>(State or Other Jurisdiction</w:t>
            </w:r>
          </w:p>
        </w:tc>
        <w:tc>
          <w:tcPr>
            <w:tcW w:w="2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0" w:type="dxa"/>
            <w:vAlign w:val="bottom"/>
          </w:tcPr>
          <w:p>
            <w:pPr>
              <w:jc w:val="center"/>
              <w:ind w:left="38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of Incorporation)</w:t>
            </w:r>
          </w:p>
        </w:tc>
        <w:tc>
          <w:tcPr>
            <w:tcW w:w="540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1"/>
              </w:rPr>
              <w:t>(Commission File Number)</w:t>
            </w:r>
          </w:p>
        </w:tc>
        <w:tc>
          <w:tcPr>
            <w:tcW w:w="1400" w:type="dxa"/>
            <w:vAlign w:val="bottom"/>
          </w:tcPr>
          <w:p>
            <w:pPr>
              <w:jc w:val="center"/>
              <w:ind w:left="386"/>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5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555 Turnpike Street,</w:t>
            </w: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87"/>
              </w:rPr>
              <w:t>Canton, Massachusetts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jc w:val="center"/>
              <w:ind w:left="366"/>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54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Registrant’s Telephone Number, Including Area Code: (781) 828-9300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Instructions A.2. below):</w:t>
      </w:r>
    </w:p>
    <w:p>
      <w:pPr>
        <w:spacing w:after="0" w:line="140" w:lineRule="exact"/>
        <w:rPr>
          <w:sz w:val="24"/>
          <w:szCs w:val="24"/>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1373505</wp:posOffset>
            </wp:positionV>
            <wp:extent cx="730250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044"/>
          </w:cols>
          <w:pgMar w:left="236" w:top="679" w:right="61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7.01 −Regulation FD Disclosure</w:t>
      </w:r>
    </w:p>
    <w:p>
      <w:pPr>
        <w:spacing w:after="0" w:line="196" w:lineRule="exact"/>
        <w:rPr>
          <w:sz w:val="20"/>
          <w:szCs w:val="20"/>
          <w:color w:val="auto"/>
        </w:rPr>
      </w:pPr>
    </w:p>
    <w:p>
      <w:pPr>
        <w:ind w:right="560"/>
        <w:spacing w:after="0" w:line="266" w:lineRule="auto"/>
        <w:rPr>
          <w:sz w:val="20"/>
          <w:szCs w:val="20"/>
          <w:color w:val="auto"/>
        </w:rPr>
      </w:pPr>
      <w:r>
        <w:rPr>
          <w:rFonts w:ascii="Arial" w:cs="Arial" w:eastAsia="Arial" w:hAnsi="Arial"/>
          <w:sz w:val="19"/>
          <w:szCs w:val="19"/>
          <w:color w:val="auto"/>
        </w:rPr>
        <w:t>Destination XL Group, Inc. (the “Company”) will be presenting a slide presentation at upcoming investor conferences. A copy of the slides is attached to this report as Exhibit 99.1 and is incorporated by reference herein.</w:t>
      </w:r>
    </w:p>
    <w:p>
      <w:pPr>
        <w:spacing w:after="0" w:line="140"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The slides include financial information not prepared in accordance with generally accepted accounting principles (“Non−GAAP Financial Measures”). The Company believes that the non−GAAP measures are useful as an additional means for investors to evaluate the Company’s operating results, when reviewed in conjunction with the Company’s GAAP financial statements. A reconciliation of the Non−GAAP Financial Measures to financial information prepared in accordance with generally accepted accounting principles (“GAAP”), as required by Regulation G, is included as Appendix A to the investor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full slide presentation is available on the investor relations page of the Company’s website at www.destinationxl.com.</w:t>
      </w:r>
    </w:p>
    <w:p>
      <w:pPr>
        <w:spacing w:after="0" w:line="190" w:lineRule="exact"/>
        <w:rPr>
          <w:sz w:val="20"/>
          <w:szCs w:val="20"/>
          <w:color w:val="auto"/>
        </w:rPr>
      </w:pPr>
    </w:p>
    <w:p>
      <w:pPr>
        <w:ind w:right="480"/>
        <w:spacing w:after="0" w:line="295" w:lineRule="auto"/>
        <w:rPr>
          <w:sz w:val="20"/>
          <w:szCs w:val="20"/>
          <w:color w:val="auto"/>
        </w:rPr>
      </w:pPr>
      <w:r>
        <w:rPr>
          <w:rFonts w:ascii="Arial" w:cs="Arial" w:eastAsia="Arial" w:hAnsi="Arial"/>
          <w:sz w:val="18"/>
          <w:szCs w:val="18"/>
          <w:color w:val="auto"/>
        </w:rPr>
        <w:t>The slides contained in the exhibit include statements intended as “forward−looking statements,” which are subject to the cautionary statement about forward−looking statements set forth in the exhibit. The slides are being furnished, not filed, pursuant to Regulation FD.</w:t>
      </w:r>
    </w:p>
    <w:p>
      <w:pPr>
        <w:spacing w:after="0" w:line="116"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Accordingly, the slides will not be incorporated by reference into any registration statement filed by the Company under the Securities Act of 1933, as amended, unless specifically identified therein as being incorporated therein by reference. The furnishing of these slides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gridSpan w:val="2"/>
          </w:tcPr>
          <w:p>
            <w:pPr>
              <w:ind w:left="880"/>
              <w:spacing w:after="0"/>
              <w:rPr>
                <w:sz w:val="20"/>
                <w:szCs w:val="20"/>
                <w:color w:val="auto"/>
              </w:rPr>
            </w:pPr>
            <w:r>
              <w:rPr>
                <w:rFonts w:ascii="Arial" w:cs="Arial" w:eastAsia="Arial" w:hAnsi="Arial"/>
                <w:sz w:val="19"/>
                <w:szCs w:val="19"/>
                <w:color w:val="auto"/>
              </w:rPr>
              <w:t>(d) Exhibits</w:t>
            </w: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20" w:type="dxa"/>
            <w:vAlign w:val="bottom"/>
          </w:tcPr>
          <w:p>
            <w:pPr>
              <w:spacing w:after="0"/>
              <w:rPr>
                <w:sz w:val="21"/>
                <w:szCs w:val="21"/>
                <w:color w:val="auto"/>
              </w:rPr>
            </w:pPr>
          </w:p>
        </w:tc>
      </w:tr>
      <w:tr>
        <w:trPr>
          <w:trHeight w:val="386"/>
        </w:trPr>
        <w:tc>
          <w:tcPr>
            <w:tcW w:w="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5"/>
              </w:rPr>
              <w:t>Exhibit No.</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2"/>
              </w:rPr>
              <w:t>Description</w:t>
            </w:r>
          </w:p>
        </w:tc>
        <w:tc>
          <w:tcPr>
            <w:tcW w:w="8020" w:type="dxa"/>
            <w:vAlign w:val="bottom"/>
          </w:tcPr>
          <w:p>
            <w:pPr>
              <w:spacing w:after="0"/>
              <w:rPr>
                <w:sz w:val="24"/>
                <w:szCs w:val="24"/>
                <w:color w:val="auto"/>
              </w:rPr>
            </w:pPr>
          </w:p>
        </w:tc>
      </w:tr>
      <w:tr>
        <w:trPr>
          <w:trHeight w:val="458"/>
        </w:trPr>
        <w:tc>
          <w:tcPr>
            <w:tcW w:w="900" w:type="dxa"/>
            <w:vAlign w:val="bottom"/>
          </w:tcPr>
          <w:p>
            <w:pPr>
              <w:spacing w:after="0"/>
              <w:rPr>
                <w:sz w:val="20"/>
                <w:szCs w:val="20"/>
                <w:color w:val="auto"/>
              </w:rPr>
            </w:pPr>
            <w:r>
              <w:rPr>
                <w:rFonts w:ascii="Arial" w:cs="Arial" w:eastAsia="Arial" w:hAnsi="Arial"/>
                <w:sz w:val="19"/>
                <w:szCs w:val="19"/>
                <w:color w:val="auto"/>
              </w:rPr>
              <w:t>99.1</w:t>
            </w:r>
          </w:p>
        </w:tc>
        <w:tc>
          <w:tcPr>
            <w:tcW w:w="126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9"/>
                <w:szCs w:val="19"/>
                <w:color w:val="auto"/>
              </w:rPr>
              <w:t>DXLG –Investor Presentation December 2015</w:t>
            </w:r>
          </w:p>
        </w:tc>
      </w:tr>
      <w:tr>
        <w:trPr>
          <w:trHeight w:val="841"/>
        </w:trPr>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300" w:type="dxa"/>
            <w:vAlign w:val="bottom"/>
            <w:gridSpan w:val="3"/>
          </w:tcPr>
          <w:p>
            <w:pPr>
              <w:jc w:val="right"/>
              <w:ind w:right="5700"/>
              <w:spacing w:after="0"/>
              <w:rPr>
                <w:sz w:val="20"/>
                <w:szCs w:val="20"/>
                <w:color w:val="auto"/>
              </w:rPr>
            </w:pPr>
            <w:r>
              <w:rPr>
                <w:rFonts w:ascii="Arial" w:cs="Arial" w:eastAsia="Arial" w:hAnsi="Arial"/>
                <w:sz w:val="19"/>
                <w:szCs w:val="19"/>
                <w:color w:val="auto"/>
              </w:rPr>
              <w:t>2</w:t>
            </w:r>
          </w:p>
        </w:tc>
      </w:tr>
      <w:tr>
        <w:trPr>
          <w:trHeight w:val="306"/>
        </w:trPr>
        <w:tc>
          <w:tcPr>
            <w:tcW w:w="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859" w:right="199" w:bottom="1440" w:gutter="0" w:footer="0" w:header="0"/>
        </w:sectPr>
      </w:pPr>
    </w:p>
    <w:bookmarkStart w:id="2" w:name="page3"/>
    <w:bookmarkEnd w:id="2"/>
    <w:p>
      <w:pPr>
        <w:ind w:left="5380"/>
        <w:spacing w:after="0"/>
        <w:rPr>
          <w:sz w:val="20"/>
          <w:szCs w:val="20"/>
          <w:color w:val="auto"/>
        </w:rPr>
      </w:pPr>
      <w:r>
        <w:rPr>
          <w:rFonts w:ascii="Arial" w:cs="Arial" w:eastAsia="Arial" w:hAnsi="Arial"/>
          <w:sz w:val="19"/>
          <w:szCs w:val="19"/>
          <w:b w:val="1"/>
          <w:bCs w:val="1"/>
          <w:color w:val="auto"/>
        </w:rPr>
        <w:t>SIGNATURES</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700"/>
        <w:spacing w:after="0"/>
        <w:rPr>
          <w:sz w:val="20"/>
          <w:szCs w:val="20"/>
          <w:color w:val="auto"/>
        </w:rPr>
      </w:pPr>
      <w:r>
        <w:rPr>
          <w:rFonts w:ascii="Arial" w:cs="Arial" w:eastAsia="Arial" w:hAnsi="Arial"/>
          <w:sz w:val="19"/>
          <w:szCs w:val="19"/>
          <w:color w:val="auto"/>
        </w:rPr>
        <w:t>DESTINATION XL GROUP, INC.</w:t>
      </w:r>
    </w:p>
    <w:p>
      <w:pPr>
        <w:spacing w:after="0" w:line="166" w:lineRule="exact"/>
        <w:rPr>
          <w:sz w:val="20"/>
          <w:szCs w:val="20"/>
          <w:color w:val="auto"/>
        </w:rPr>
      </w:pPr>
    </w:p>
    <w:p>
      <w:pPr>
        <w:ind w:left="20"/>
        <w:spacing w:after="0"/>
        <w:tabs>
          <w:tab w:leader="none" w:pos="840" w:val="left"/>
          <w:tab w:leader="none" w:pos="5900" w:val="left"/>
          <w:tab w:leader="none" w:pos="826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December 8, 2015</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10795</wp:posOffset>
            </wp:positionV>
            <wp:extent cx="29902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0215" cy="762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3"/>
          <w:szCs w:val="13"/>
          <w:b w:val="1"/>
          <w:bCs w:val="1"/>
          <w:color w:val="auto"/>
        </w:rPr>
        <w:t>Robert S. Molloy</w:t>
      </w:r>
    </w:p>
    <w:p>
      <w:pPr>
        <w:jc w:val="center"/>
        <w:ind w:left="6700"/>
        <w:spacing w:after="0"/>
        <w:rPr>
          <w:sz w:val="20"/>
          <w:szCs w:val="20"/>
          <w:color w:val="auto"/>
        </w:rPr>
      </w:pPr>
      <w:r>
        <w:rPr>
          <w:rFonts w:ascii="Arial" w:cs="Arial" w:eastAsia="Arial" w:hAnsi="Arial"/>
          <w:sz w:val="13"/>
          <w:szCs w:val="13"/>
          <w:b w:val="1"/>
          <w:bCs w:val="1"/>
          <w:color w:val="auto"/>
        </w:rPr>
        <w:t>Senior Vice President, General Counsel and Secretary</w:t>
      </w:r>
    </w:p>
    <w:p>
      <w:pPr>
        <w:spacing w:after="0" w:line="354" w:lineRule="exact"/>
        <w:rPr>
          <w:sz w:val="20"/>
          <w:szCs w:val="20"/>
          <w:color w:val="auto"/>
        </w:rPr>
      </w:pPr>
    </w:p>
    <w:p>
      <w:pPr>
        <w:jc w:val="center"/>
        <w:ind w:right="-45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980"/>
          </w:cols>
          <w:pgMar w:left="240" w:top="307" w:right="67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2019-12-06T01:18:43Z</dcterms:created>
  <dcterms:modified xsi:type="dcterms:W3CDTF">2019-12-06T01:18:43Z</dcterms:modified>
</cp:coreProperties>
</file>