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8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vMerge w:val="restart"/>
          </w:tcPr>
          <w:p>
            <w:pPr>
              <w:ind w:left="220"/>
              <w:spacing w:after="0" w:line="195" w:lineRule="exact"/>
              <w:rPr>
                <w:sz w:val="20"/>
                <w:szCs w:val="20"/>
                <w:color w:val="auto"/>
              </w:rPr>
            </w:pPr>
            <w:r>
              <w:rPr>
                <w:rFonts w:ascii="Arial" w:cs="Arial" w:eastAsia="Arial" w:hAnsi="Arial"/>
                <w:sz w:val="18"/>
                <w:szCs w:val="18"/>
                <w:color w:val="0000FF"/>
                <w:w w:val="82"/>
              </w:rPr>
              <w:t>X</w:t>
            </w: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5"/>
                <w:szCs w:val="5"/>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660" w:type="dxa"/>
            <w:vAlign w:val="bottom"/>
            <w:gridSpan w:val="7"/>
          </w:tcPr>
          <w:p>
            <w:pPr>
              <w:ind w:left="240"/>
              <w:spacing w:after="0"/>
              <w:rPr>
                <w:sz w:val="20"/>
                <w:szCs w:val="20"/>
                <w:color w:val="auto"/>
              </w:rPr>
            </w:pPr>
            <w:r>
              <w:rPr>
                <w:rFonts w:ascii="Arial" w:cs="Arial" w:eastAsia="Arial" w:hAnsi="Arial"/>
                <w:sz w:val="18"/>
                <w:szCs w:val="18"/>
                <w:color w:val="0000FF"/>
              </w:rPr>
              <w:t>11/05/2018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8,059,877</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11/05/2018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920" w:type="dxa"/>
            <w:vAlign w:val="bottom"/>
            <w:vMerge w:val="restart"/>
          </w:tcPr>
          <w:p>
            <w:pPr>
              <w:ind w:left="180"/>
              <w:spacing w:after="0"/>
              <w:rPr>
                <w:sz w:val="20"/>
                <w:szCs w:val="20"/>
                <w:color w:val="auto"/>
              </w:rPr>
            </w:pPr>
            <w:r>
              <w:rPr>
                <w:rFonts w:ascii="Arial" w:cs="Arial" w:eastAsia="Arial" w:hAnsi="Arial"/>
                <w:sz w:val="14"/>
                <w:szCs w:val="14"/>
                <w:color w:val="0000FF"/>
              </w:rPr>
              <w:t>7,817</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0000FF"/>
                <w:w w:val="93"/>
              </w:rPr>
              <w:t>7,817</w:t>
            </w:r>
          </w:p>
        </w:tc>
        <w:tc>
          <w:tcPr>
            <w:tcW w:w="180" w:type="dxa"/>
            <w:vAlign w:val="bottom"/>
          </w:tcPr>
          <w:p>
            <w:pPr>
              <w:spacing w:after="0"/>
              <w:rPr>
                <w:sz w:val="16"/>
                <w:szCs w:val="16"/>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7,817</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ind w:left="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gridSpan w:val="3"/>
          </w:tcPr>
          <w:p>
            <w:pPr>
              <w:spacing w:after="0"/>
              <w:rPr>
                <w:sz w:val="15"/>
                <w:szCs w:val="15"/>
                <w:color w:val="auto"/>
              </w:rPr>
            </w:pPr>
          </w:p>
        </w:tc>
        <w:tc>
          <w:tcPr>
            <w:tcW w:w="1880" w:type="dxa"/>
            <w:vAlign w:val="bottom"/>
            <w:tcBorders>
              <w:bottom w:val="single" w:sz="8" w:color="2C2C2C"/>
            </w:tcBorders>
            <w:gridSpan w:val="2"/>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-5688965</wp:posOffset>
            </wp:positionV>
            <wp:extent cx="3365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520"/>
          </w:cols>
          <w:pgMar w:left="240" w:top="226" w:right="1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9"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537,523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6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quarterly annual retainer and chairperson fee.</w:t>
      </w:r>
    </w:p>
    <w:p>
      <w:pPr>
        <w:spacing w:after="0" w:line="41" w:lineRule="exact"/>
        <w:rPr>
          <w:rFonts w:ascii="Arial" w:cs="Arial" w:eastAsia="Arial" w:hAnsi="Arial"/>
          <w:sz w:val="14"/>
          <w:szCs w:val="14"/>
          <w:color w:val="008000"/>
        </w:rPr>
      </w:pPr>
    </w:p>
    <w:p>
      <w:pPr>
        <w:ind w:right="40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Third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11/06/2018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2019-12-23T15:09:48Z</dcterms:created>
  <dcterms:modified xsi:type="dcterms:W3CDTF">2019-12-23T15:09:48Z</dcterms:modified>
</cp:coreProperties>
</file>