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9"/>
        <w:spacing w:after="0"/>
        <w:rPr>
          <w:sz w:val="20"/>
          <w:szCs w:val="20"/>
          <w:color w:val="auto"/>
        </w:rPr>
      </w:pPr>
      <w:r>
        <w:rPr>
          <w:rFonts w:ascii="Times New Roman" w:cs="Times New Roman" w:eastAsia="Times New Roman" w:hAnsi="Times New Roman"/>
          <w:sz w:val="29"/>
          <w:szCs w:val="29"/>
          <w:b w:val="1"/>
          <w:bCs w:val="1"/>
          <w:color w:val="auto"/>
        </w:rPr>
        <w:drawing>
          <wp:anchor simplePos="0" relativeHeight="251657728" behindDoc="1" locked="0" layoutInCell="0" allowOverlap="1">
            <wp:simplePos x="0" y="0"/>
            <wp:positionH relativeFrom="page">
              <wp:posOffset>157480</wp:posOffset>
            </wp:positionH>
            <wp:positionV relativeFrom="page">
              <wp:posOffset>303530</wp:posOffset>
            </wp:positionV>
            <wp:extent cx="7246620" cy="88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46620" cy="8890"/>
                    </a:xfrm>
                    <a:prstGeom prst="rect">
                      <a:avLst/>
                    </a:prstGeom>
                    <a:noFill/>
                  </pic:spPr>
                </pic:pic>
              </a:graphicData>
            </a:graphic>
          </wp:anchor>
        </w:drawing>
        <w:t>UNITED STATES</w:t>
      </w:r>
    </w:p>
    <w:p>
      <w:pPr>
        <w:spacing w:after="0" w:line="42"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29"/>
          <w:szCs w:val="29"/>
          <w:b w:val="1"/>
          <w:bCs w:val="1"/>
          <w:color w:val="auto"/>
        </w:rPr>
        <w:t>SECURITIES AND EXCHANGE COMMISSION</w:t>
      </w:r>
    </w:p>
    <w:p>
      <w:pPr>
        <w:spacing w:after="0" w:line="1"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22"/>
          <w:szCs w:val="22"/>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3349625</wp:posOffset>
            </wp:positionH>
            <wp:positionV relativeFrom="paragraph">
              <wp:posOffset>158750</wp:posOffset>
            </wp:positionV>
            <wp:extent cx="55753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57530" cy="8890"/>
                    </a:xfrm>
                    <a:prstGeom prst="rect">
                      <a:avLst/>
                    </a:prstGeom>
                    <a:noFill/>
                  </pic:spPr>
                </pic:pic>
              </a:graphicData>
            </a:graphic>
          </wp:anchor>
        </w:drawing>
      </w:r>
    </w:p>
    <w:p>
      <w:pPr>
        <w:spacing w:after="0" w:line="368"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29"/>
          <w:szCs w:val="29"/>
          <w:b w:val="1"/>
          <w:bCs w:val="1"/>
          <w:color w:val="auto"/>
        </w:rPr>
        <w:t>FORM 8-K</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3349625</wp:posOffset>
            </wp:positionH>
            <wp:positionV relativeFrom="paragraph">
              <wp:posOffset>180975</wp:posOffset>
            </wp:positionV>
            <wp:extent cx="557530"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57530" cy="8890"/>
                    </a:xfrm>
                    <a:prstGeom prst="rect">
                      <a:avLst/>
                    </a:prstGeom>
                    <a:noFill/>
                  </pic:spPr>
                </pic:pic>
              </a:graphicData>
            </a:graphic>
          </wp:anchor>
        </w:drawing>
      </w:r>
    </w:p>
    <w:p>
      <w:pPr>
        <w:spacing w:after="0" w:line="355"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22"/>
          <w:szCs w:val="22"/>
          <w:b w:val="1"/>
          <w:bCs w:val="1"/>
          <w:color w:val="auto"/>
        </w:rPr>
        <w:t>CURRENT REPORT</w:t>
      </w:r>
    </w:p>
    <w:p>
      <w:pPr>
        <w:spacing w:after="0" w:line="98"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22"/>
          <w:szCs w:val="22"/>
          <w:b w:val="1"/>
          <w:bCs w:val="1"/>
          <w:color w:val="auto"/>
        </w:rPr>
        <w:t>Pursuant to Section 13 or 15(d) of the Securities Exchange Act of 1934</w:t>
      </w:r>
    </w:p>
    <w:p>
      <w:pPr>
        <w:spacing w:after="0" w:line="98"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22"/>
          <w:szCs w:val="22"/>
          <w:b w:val="1"/>
          <w:bCs w:val="1"/>
          <w:color w:val="auto"/>
        </w:rPr>
        <w:t>Date of Report (Date of earliest event reported): August 8, 2019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3349625</wp:posOffset>
            </wp:positionH>
            <wp:positionV relativeFrom="paragraph">
              <wp:posOffset>176530</wp:posOffset>
            </wp:positionV>
            <wp:extent cx="557530"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557530" cy="8890"/>
                    </a:xfrm>
                    <a:prstGeom prst="rect">
                      <a:avLst/>
                    </a:prstGeom>
                    <a:noFill/>
                  </pic:spPr>
                </pic:pic>
              </a:graphicData>
            </a:graphic>
          </wp:anchor>
        </w:drawing>
      </w:r>
    </w:p>
    <w:p>
      <w:pPr>
        <w:spacing w:after="0" w:line="396"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29"/>
          <w:szCs w:val="29"/>
          <w:b w:val="1"/>
          <w:bCs w:val="1"/>
          <w:color w:val="auto"/>
        </w:rPr>
        <w:t>DESTINATION XL GROUP, INC.</w:t>
      </w:r>
    </w:p>
    <w:p>
      <w:pPr>
        <w:spacing w:after="0" w:line="43"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4"/>
          <w:szCs w:val="14"/>
          <w:b w:val="1"/>
          <w:bCs w:val="1"/>
          <w:color w:val="auto"/>
        </w:rPr>
        <w:t>(Exact name of Registrant as Specified in Its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3349625</wp:posOffset>
            </wp:positionH>
            <wp:positionV relativeFrom="paragraph">
              <wp:posOffset>154940</wp:posOffset>
            </wp:positionV>
            <wp:extent cx="557530"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557530" cy="8890"/>
                    </a:xfrm>
                    <a:prstGeom prst="rect">
                      <a:avLst/>
                    </a:prstGeom>
                    <a:noFill/>
                  </pic:spPr>
                </pic:pic>
              </a:graphicData>
            </a:graphic>
          </wp:anchor>
        </w:drawing>
      </w:r>
    </w:p>
    <w:p>
      <w:pPr>
        <w:spacing w:after="0" w:line="200" w:lineRule="exact"/>
        <w:rPr>
          <w:sz w:val="24"/>
          <w:szCs w:val="24"/>
          <w:color w:val="auto"/>
        </w:rPr>
      </w:pPr>
    </w:p>
    <w:p>
      <w:pPr>
        <w:spacing w:after="0" w:line="208" w:lineRule="exact"/>
        <w:rPr>
          <w:sz w:val="24"/>
          <w:szCs w:val="24"/>
          <w:color w:val="auto"/>
        </w:rPr>
      </w:pPr>
    </w:p>
    <w:tbl>
      <w:tblPr>
        <w:tblLayout w:type="fixed"/>
        <w:tblInd w:w="760" w:type="dxa"/>
        <w:tblCellMar>
          <w:top w:w="0" w:type="dxa"/>
          <w:left w:w="0" w:type="dxa"/>
          <w:bottom w:w="0" w:type="dxa"/>
          <w:right w:w="0" w:type="dxa"/>
        </w:tblCellMar>
      </w:tblPr>
      <w:tr>
        <w:trPr>
          <w:trHeight w:val="258"/>
        </w:trPr>
        <w:tc>
          <w:tcPr>
            <w:tcW w:w="3240" w:type="dxa"/>
            <w:vAlign w:val="bottom"/>
          </w:tcPr>
          <w:p>
            <w:pPr>
              <w:jc w:val="center"/>
              <w:ind w:right="878"/>
              <w:spacing w:after="0"/>
              <w:rPr>
                <w:sz w:val="20"/>
                <w:szCs w:val="20"/>
                <w:color w:val="auto"/>
              </w:rPr>
            </w:pPr>
            <w:r>
              <w:rPr>
                <w:rFonts w:ascii="Times New Roman" w:cs="Times New Roman" w:eastAsia="Times New Roman" w:hAnsi="Times New Roman"/>
                <w:sz w:val="22"/>
                <w:szCs w:val="22"/>
                <w:b w:val="1"/>
                <w:bCs w:val="1"/>
                <w:color w:val="auto"/>
                <w:w w:val="98"/>
              </w:rPr>
              <w:t>Delaware</w:t>
            </w:r>
          </w:p>
        </w:tc>
        <w:tc>
          <w:tcPr>
            <w:tcW w:w="3740" w:type="dxa"/>
            <w:vAlign w:val="bottom"/>
          </w:tcPr>
          <w:p>
            <w:pPr>
              <w:jc w:val="right"/>
              <w:ind w:right="1532"/>
              <w:spacing w:after="0"/>
              <w:rPr>
                <w:sz w:val="20"/>
                <w:szCs w:val="20"/>
                <w:color w:val="auto"/>
              </w:rPr>
            </w:pPr>
            <w:r>
              <w:rPr>
                <w:rFonts w:ascii="Times New Roman" w:cs="Times New Roman" w:eastAsia="Times New Roman" w:hAnsi="Times New Roman"/>
                <w:sz w:val="22"/>
                <w:szCs w:val="22"/>
                <w:b w:val="1"/>
                <w:bCs w:val="1"/>
                <w:color w:val="auto"/>
              </w:rPr>
              <w:t>01-34219</w:t>
            </w:r>
          </w:p>
        </w:tc>
        <w:tc>
          <w:tcPr>
            <w:tcW w:w="2300" w:type="dxa"/>
            <w:vAlign w:val="bottom"/>
          </w:tcPr>
          <w:p>
            <w:pPr>
              <w:jc w:val="right"/>
              <w:spacing w:after="0"/>
              <w:rPr>
                <w:sz w:val="20"/>
                <w:szCs w:val="20"/>
                <w:color w:val="auto"/>
              </w:rPr>
            </w:pPr>
            <w:r>
              <w:rPr>
                <w:rFonts w:ascii="Times New Roman" w:cs="Times New Roman" w:eastAsia="Times New Roman" w:hAnsi="Times New Roman"/>
                <w:sz w:val="22"/>
                <w:szCs w:val="22"/>
                <w:b w:val="1"/>
                <w:bCs w:val="1"/>
                <w:color w:val="auto"/>
              </w:rPr>
              <w:t>04-2623104</w:t>
            </w:r>
          </w:p>
        </w:tc>
        <w:tc>
          <w:tcPr>
            <w:tcW w:w="0" w:type="dxa"/>
            <w:vAlign w:val="bottom"/>
          </w:tcPr>
          <w:p>
            <w:pPr>
              <w:spacing w:after="0"/>
              <w:rPr>
                <w:sz w:val="1"/>
                <w:szCs w:val="1"/>
                <w:color w:val="auto"/>
              </w:rPr>
            </w:pPr>
          </w:p>
        </w:tc>
      </w:tr>
      <w:tr>
        <w:trPr>
          <w:trHeight w:val="149"/>
        </w:trPr>
        <w:tc>
          <w:tcPr>
            <w:tcW w:w="3240" w:type="dxa"/>
            <w:vAlign w:val="bottom"/>
          </w:tcPr>
          <w:p>
            <w:pPr>
              <w:jc w:val="center"/>
              <w:ind w:right="878"/>
              <w:spacing w:after="0" w:line="149" w:lineRule="exact"/>
              <w:rPr>
                <w:sz w:val="20"/>
                <w:szCs w:val="20"/>
                <w:color w:val="auto"/>
              </w:rPr>
            </w:pPr>
            <w:r>
              <w:rPr>
                <w:rFonts w:ascii="Times New Roman" w:cs="Times New Roman" w:eastAsia="Times New Roman" w:hAnsi="Times New Roman"/>
                <w:sz w:val="14"/>
                <w:szCs w:val="14"/>
                <w:b w:val="1"/>
                <w:bCs w:val="1"/>
                <w:color w:val="auto"/>
                <w:w w:val="96"/>
              </w:rPr>
              <w:t>(State or Other Jurisdiction</w:t>
            </w:r>
          </w:p>
        </w:tc>
        <w:tc>
          <w:tcPr>
            <w:tcW w:w="3740" w:type="dxa"/>
            <w:vAlign w:val="bottom"/>
          </w:tcPr>
          <w:p>
            <w:pPr>
              <w:spacing w:after="0"/>
              <w:rPr>
                <w:sz w:val="12"/>
                <w:szCs w:val="12"/>
                <w:color w:val="auto"/>
              </w:rPr>
            </w:pPr>
          </w:p>
        </w:tc>
        <w:tc>
          <w:tcPr>
            <w:tcW w:w="2300" w:type="dxa"/>
            <w:vAlign w:val="bottom"/>
          </w:tcPr>
          <w:p>
            <w:pPr>
              <w:jc w:val="center"/>
              <w:ind w:left="1176"/>
              <w:spacing w:after="0" w:line="149" w:lineRule="exact"/>
              <w:rPr>
                <w:sz w:val="20"/>
                <w:szCs w:val="20"/>
                <w:color w:val="auto"/>
              </w:rPr>
            </w:pPr>
            <w:r>
              <w:rPr>
                <w:rFonts w:ascii="Times New Roman" w:cs="Times New Roman" w:eastAsia="Times New Roman" w:hAnsi="Times New Roman"/>
                <w:sz w:val="14"/>
                <w:szCs w:val="14"/>
                <w:b w:val="1"/>
                <w:bCs w:val="1"/>
                <w:color w:val="auto"/>
                <w:w w:val="97"/>
              </w:rPr>
              <w:t>(IRS Employer</w:t>
            </w:r>
          </w:p>
        </w:tc>
        <w:tc>
          <w:tcPr>
            <w:tcW w:w="0" w:type="dxa"/>
            <w:vAlign w:val="bottom"/>
          </w:tcPr>
          <w:p>
            <w:pPr>
              <w:spacing w:after="0"/>
              <w:rPr>
                <w:sz w:val="1"/>
                <w:szCs w:val="1"/>
                <w:color w:val="auto"/>
              </w:rPr>
            </w:pPr>
          </w:p>
        </w:tc>
      </w:tr>
      <w:tr>
        <w:trPr>
          <w:trHeight w:val="178"/>
        </w:trPr>
        <w:tc>
          <w:tcPr>
            <w:tcW w:w="3240" w:type="dxa"/>
            <w:vAlign w:val="bottom"/>
          </w:tcPr>
          <w:p>
            <w:pPr>
              <w:jc w:val="center"/>
              <w:ind w:right="878"/>
              <w:spacing w:after="0"/>
              <w:rPr>
                <w:sz w:val="20"/>
                <w:szCs w:val="20"/>
                <w:color w:val="auto"/>
              </w:rPr>
            </w:pPr>
            <w:r>
              <w:rPr>
                <w:rFonts w:ascii="Times New Roman" w:cs="Times New Roman" w:eastAsia="Times New Roman" w:hAnsi="Times New Roman"/>
                <w:sz w:val="14"/>
                <w:szCs w:val="14"/>
                <w:b w:val="1"/>
                <w:bCs w:val="1"/>
                <w:color w:val="auto"/>
                <w:w w:val="96"/>
              </w:rPr>
              <w:t>of Incorporation)</w:t>
            </w:r>
          </w:p>
        </w:tc>
        <w:tc>
          <w:tcPr>
            <w:tcW w:w="3740" w:type="dxa"/>
            <w:vAlign w:val="bottom"/>
          </w:tcPr>
          <w:p>
            <w:pPr>
              <w:jc w:val="center"/>
              <w:ind w:right="232"/>
              <w:spacing w:after="0"/>
              <w:rPr>
                <w:sz w:val="20"/>
                <w:szCs w:val="20"/>
                <w:color w:val="auto"/>
              </w:rPr>
            </w:pPr>
            <w:r>
              <w:rPr>
                <w:rFonts w:ascii="Times New Roman" w:cs="Times New Roman" w:eastAsia="Times New Roman" w:hAnsi="Times New Roman"/>
                <w:sz w:val="14"/>
                <w:szCs w:val="14"/>
                <w:b w:val="1"/>
                <w:bCs w:val="1"/>
                <w:color w:val="auto"/>
                <w:w w:val="97"/>
              </w:rPr>
              <w:t>(Commission File Number)</w:t>
            </w:r>
          </w:p>
        </w:tc>
        <w:tc>
          <w:tcPr>
            <w:tcW w:w="2300" w:type="dxa"/>
            <w:vAlign w:val="bottom"/>
          </w:tcPr>
          <w:p>
            <w:pPr>
              <w:jc w:val="center"/>
              <w:ind w:left="1156"/>
              <w:spacing w:after="0"/>
              <w:rPr>
                <w:sz w:val="20"/>
                <w:szCs w:val="20"/>
                <w:color w:val="auto"/>
              </w:rPr>
            </w:pPr>
            <w:r>
              <w:rPr>
                <w:rFonts w:ascii="Times New Roman" w:cs="Times New Roman" w:eastAsia="Times New Roman" w:hAnsi="Times New Roman"/>
                <w:sz w:val="14"/>
                <w:szCs w:val="14"/>
                <w:b w:val="1"/>
                <w:bCs w:val="1"/>
                <w:color w:val="auto"/>
                <w:w w:val="96"/>
              </w:rPr>
              <w:t>Identification No.)</w:t>
            </w:r>
          </w:p>
        </w:tc>
        <w:tc>
          <w:tcPr>
            <w:tcW w:w="0" w:type="dxa"/>
            <w:vAlign w:val="bottom"/>
          </w:tcPr>
          <w:p>
            <w:pPr>
              <w:spacing w:after="0"/>
              <w:rPr>
                <w:sz w:val="1"/>
                <w:szCs w:val="1"/>
                <w:color w:val="auto"/>
              </w:rPr>
            </w:pPr>
          </w:p>
        </w:tc>
      </w:tr>
      <w:tr>
        <w:trPr>
          <w:trHeight w:val="424"/>
        </w:trPr>
        <w:tc>
          <w:tcPr>
            <w:tcW w:w="3240" w:type="dxa"/>
            <w:vAlign w:val="bottom"/>
          </w:tcPr>
          <w:p>
            <w:pPr>
              <w:jc w:val="center"/>
              <w:ind w:right="858"/>
              <w:spacing w:after="0"/>
              <w:rPr>
                <w:sz w:val="20"/>
                <w:szCs w:val="20"/>
                <w:color w:val="auto"/>
              </w:rPr>
            </w:pPr>
            <w:r>
              <w:rPr>
                <w:rFonts w:ascii="Times New Roman" w:cs="Times New Roman" w:eastAsia="Times New Roman" w:hAnsi="Times New Roman"/>
                <w:sz w:val="18"/>
                <w:szCs w:val="18"/>
                <w:b w:val="1"/>
                <w:bCs w:val="1"/>
                <w:color w:val="auto"/>
                <w:w w:val="98"/>
              </w:rPr>
              <w:t>555 Turnpike Street</w:t>
            </w:r>
            <w:r>
              <w:rPr>
                <w:rFonts w:ascii="Times New Roman" w:cs="Times New Roman" w:eastAsia="Times New Roman" w:hAnsi="Times New Roman"/>
                <w:sz w:val="21"/>
                <w:szCs w:val="21"/>
                <w:b w:val="1"/>
                <w:bCs w:val="1"/>
                <w:color w:val="auto"/>
                <w:w w:val="98"/>
              </w:rPr>
              <w:t>,</w:t>
            </w:r>
          </w:p>
        </w:tc>
        <w:tc>
          <w:tcPr>
            <w:tcW w:w="3740" w:type="dxa"/>
            <w:vAlign w:val="bottom"/>
          </w:tcPr>
          <w:p>
            <w:pPr>
              <w:spacing w:after="0"/>
              <w:rPr>
                <w:sz w:val="24"/>
                <w:szCs w:val="24"/>
                <w:color w:val="auto"/>
              </w:rPr>
            </w:pPr>
          </w:p>
        </w:tc>
        <w:tc>
          <w:tcPr>
            <w:tcW w:w="2300" w:type="dxa"/>
            <w:vAlign w:val="bottom"/>
            <w:vMerge w:val="restart"/>
          </w:tcPr>
          <w:p>
            <w:pPr>
              <w:jc w:val="right"/>
              <w:ind w:right="176"/>
              <w:spacing w:after="0"/>
              <w:rPr>
                <w:sz w:val="20"/>
                <w:szCs w:val="20"/>
                <w:color w:val="auto"/>
              </w:rPr>
            </w:pPr>
            <w:r>
              <w:rPr>
                <w:rFonts w:ascii="Times New Roman" w:cs="Times New Roman" w:eastAsia="Times New Roman" w:hAnsi="Times New Roman"/>
                <w:sz w:val="22"/>
                <w:szCs w:val="22"/>
                <w:b w:val="1"/>
                <w:bCs w:val="1"/>
                <w:color w:val="auto"/>
              </w:rPr>
              <w:t>02021</w:t>
            </w:r>
          </w:p>
        </w:tc>
        <w:tc>
          <w:tcPr>
            <w:tcW w:w="0" w:type="dxa"/>
            <w:vAlign w:val="bottom"/>
          </w:tcPr>
          <w:p>
            <w:pPr>
              <w:spacing w:after="0"/>
              <w:rPr>
                <w:sz w:val="1"/>
                <w:szCs w:val="1"/>
                <w:color w:val="auto"/>
              </w:rPr>
            </w:pPr>
          </w:p>
        </w:tc>
      </w:tr>
      <w:tr>
        <w:trPr>
          <w:trHeight w:val="222"/>
        </w:trPr>
        <w:tc>
          <w:tcPr>
            <w:tcW w:w="3240" w:type="dxa"/>
            <w:vAlign w:val="bottom"/>
          </w:tcPr>
          <w:p>
            <w:pPr>
              <w:jc w:val="center"/>
              <w:ind w:right="858"/>
              <w:spacing w:after="0"/>
              <w:rPr>
                <w:sz w:val="20"/>
                <w:szCs w:val="20"/>
                <w:color w:val="auto"/>
              </w:rPr>
            </w:pPr>
            <w:r>
              <w:rPr>
                <w:rFonts w:ascii="Times New Roman" w:cs="Times New Roman" w:eastAsia="Times New Roman" w:hAnsi="Times New Roman"/>
                <w:sz w:val="18"/>
                <w:szCs w:val="18"/>
                <w:b w:val="1"/>
                <w:bCs w:val="1"/>
                <w:color w:val="auto"/>
              </w:rPr>
              <w:t>Canton, Massachusetts</w:t>
            </w:r>
          </w:p>
        </w:tc>
        <w:tc>
          <w:tcPr>
            <w:tcW w:w="3740" w:type="dxa"/>
            <w:vAlign w:val="bottom"/>
          </w:tcPr>
          <w:p>
            <w:pPr>
              <w:spacing w:after="0"/>
              <w:rPr>
                <w:sz w:val="19"/>
                <w:szCs w:val="19"/>
                <w:color w:val="auto"/>
              </w:rPr>
            </w:pPr>
          </w:p>
        </w:tc>
        <w:tc>
          <w:tcPr>
            <w:tcW w:w="2300" w:type="dxa"/>
            <w:vAlign w:val="bottom"/>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178"/>
        </w:trPr>
        <w:tc>
          <w:tcPr>
            <w:tcW w:w="3240" w:type="dxa"/>
            <w:vAlign w:val="bottom"/>
          </w:tcPr>
          <w:p>
            <w:pPr>
              <w:jc w:val="center"/>
              <w:ind w:right="858"/>
              <w:spacing w:after="0"/>
              <w:rPr>
                <w:sz w:val="20"/>
                <w:szCs w:val="20"/>
                <w:color w:val="auto"/>
              </w:rPr>
            </w:pPr>
            <w:r>
              <w:rPr>
                <w:rFonts w:ascii="Times New Roman" w:cs="Times New Roman" w:eastAsia="Times New Roman" w:hAnsi="Times New Roman"/>
                <w:sz w:val="14"/>
                <w:szCs w:val="14"/>
                <w:b w:val="1"/>
                <w:bCs w:val="1"/>
                <w:color w:val="auto"/>
                <w:w w:val="96"/>
              </w:rPr>
              <w:t>(Address of Principal Executive Offices)</w:t>
            </w:r>
          </w:p>
        </w:tc>
        <w:tc>
          <w:tcPr>
            <w:tcW w:w="3740" w:type="dxa"/>
            <w:vAlign w:val="bottom"/>
          </w:tcPr>
          <w:p>
            <w:pPr>
              <w:spacing w:after="0"/>
              <w:rPr>
                <w:sz w:val="15"/>
                <w:szCs w:val="15"/>
                <w:color w:val="auto"/>
              </w:rPr>
            </w:pPr>
          </w:p>
        </w:tc>
        <w:tc>
          <w:tcPr>
            <w:tcW w:w="2300" w:type="dxa"/>
            <w:vAlign w:val="bottom"/>
          </w:tcPr>
          <w:p>
            <w:pPr>
              <w:jc w:val="center"/>
              <w:ind w:left="1156"/>
              <w:spacing w:after="0"/>
              <w:rPr>
                <w:sz w:val="20"/>
                <w:szCs w:val="20"/>
                <w:color w:val="auto"/>
              </w:rPr>
            </w:pPr>
            <w:r>
              <w:rPr>
                <w:rFonts w:ascii="Times New Roman" w:cs="Times New Roman" w:eastAsia="Times New Roman" w:hAnsi="Times New Roman"/>
                <w:sz w:val="14"/>
                <w:szCs w:val="14"/>
                <w:b w:val="1"/>
                <w:bCs w:val="1"/>
                <w:color w:val="auto"/>
                <w:w w:val="95"/>
              </w:rPr>
              <w:t>(Zip Code)</w:t>
            </w:r>
          </w:p>
        </w:tc>
        <w:tc>
          <w:tcPr>
            <w:tcW w:w="0" w:type="dxa"/>
            <w:vAlign w:val="bottom"/>
          </w:tcPr>
          <w:p>
            <w:pPr>
              <w:spacing w:after="0"/>
              <w:rPr>
                <w:sz w:val="1"/>
                <w:szCs w:val="1"/>
                <w:color w:val="auto"/>
              </w:rPr>
            </w:pPr>
          </w:p>
        </w:tc>
      </w:tr>
    </w:tbl>
    <w:p>
      <w:pPr>
        <w:spacing w:after="0" w:line="64"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22"/>
          <w:szCs w:val="22"/>
          <w:b w:val="1"/>
          <w:bCs w:val="1"/>
          <w:color w:val="auto"/>
        </w:rPr>
        <w:t xml:space="preserve">Registrant’s Telephone Number, Including Area Code: </w:t>
      </w:r>
      <w:r>
        <w:rPr>
          <w:rFonts w:ascii="Times New Roman" w:cs="Times New Roman" w:eastAsia="Times New Roman" w:hAnsi="Times New Roman"/>
          <w:sz w:val="18"/>
          <w:szCs w:val="18"/>
          <w:b w:val="1"/>
          <w:bCs w:val="1"/>
          <w:color w:val="auto"/>
        </w:rPr>
        <w:t>(781) 828-9300</w:t>
      </w:r>
    </w:p>
    <w:p>
      <w:pPr>
        <w:spacing w:after="0" w:line="114"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6"/>
          <w:szCs w:val="16"/>
          <w:b w:val="1"/>
          <w:bCs w:val="1"/>
          <w:color w:val="auto"/>
        </w:rPr>
        <w:t>Not Applicable</w:t>
      </w:r>
    </w:p>
    <w:p>
      <w:pPr>
        <w:spacing w:after="0" w:line="28"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4"/>
          <w:szCs w:val="14"/>
          <w:b w:val="1"/>
          <w:bCs w:val="1"/>
          <w:color w:val="auto"/>
        </w:rPr>
        <w:t>(Former Name or Former Address, if Changed Since Last Report)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3349625</wp:posOffset>
            </wp:positionH>
            <wp:positionV relativeFrom="paragraph">
              <wp:posOffset>150495</wp:posOffset>
            </wp:positionV>
            <wp:extent cx="557530"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557530" cy="8890"/>
                    </a:xfrm>
                    <a:prstGeom prst="rect">
                      <a:avLst/>
                    </a:prstGeom>
                    <a:noFill/>
                  </pic:spPr>
                </pic:pic>
              </a:graphicData>
            </a:graphic>
          </wp:anchor>
        </w:drawing>
      </w:r>
    </w:p>
    <w:p>
      <w:pPr>
        <w:spacing w:after="0" w:line="374" w:lineRule="exact"/>
        <w:rPr>
          <w:sz w:val="24"/>
          <w:szCs w:val="24"/>
          <w:color w:val="auto"/>
        </w:rPr>
      </w:pPr>
    </w:p>
    <w:p>
      <w:pPr>
        <w:ind w:right="100"/>
        <w:spacing w:after="0" w:line="282" w:lineRule="auto"/>
        <w:rPr>
          <w:sz w:val="20"/>
          <w:szCs w:val="20"/>
          <w:color w:val="auto"/>
        </w:rPr>
      </w:pPr>
      <w:r>
        <w:rPr>
          <w:rFonts w:ascii="Times New Roman" w:cs="Times New Roman" w:eastAsia="Times New Roman" w:hAnsi="Times New Roman"/>
          <w:sz w:val="18"/>
          <w:szCs w:val="18"/>
          <w:color w:val="auto"/>
        </w:rPr>
        <w:t>Check the appropriate box below if the Form 8-K filing is intended to simultaneously satisfy the filing obligation of the registrant under any of the following provisions (see General Instructions A.2. below):</w:t>
      </w:r>
    </w:p>
    <w:p>
      <w:pPr>
        <w:spacing w:after="0" w:line="54" w:lineRule="exact"/>
        <w:rPr>
          <w:sz w:val="24"/>
          <w:szCs w:val="24"/>
          <w:color w:val="auto"/>
        </w:rPr>
      </w:pPr>
    </w:p>
    <w:p>
      <w:pPr>
        <w:ind w:left="600" w:hanging="592"/>
        <w:spacing w:after="0"/>
        <w:tabs>
          <w:tab w:leader="none" w:pos="60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Written communications pursuant to Rule 425 under the Securities Act (17 CFR 230.425)</w:t>
      </w:r>
    </w:p>
    <w:p>
      <w:pPr>
        <w:spacing w:after="0" w:line="117" w:lineRule="exact"/>
        <w:rPr>
          <w:rFonts w:ascii="MS PGothic" w:cs="MS PGothic" w:eastAsia="MS PGothic" w:hAnsi="MS PGothic"/>
          <w:sz w:val="18"/>
          <w:szCs w:val="18"/>
          <w:color w:val="auto"/>
        </w:rPr>
      </w:pPr>
    </w:p>
    <w:p>
      <w:pPr>
        <w:ind w:left="600" w:hanging="592"/>
        <w:spacing w:after="0"/>
        <w:tabs>
          <w:tab w:leader="none" w:pos="60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Soliciting material pursuant to Rule 14a-12 under the Exchange Act (17 CFR 240.14a-12)</w:t>
      </w:r>
    </w:p>
    <w:p>
      <w:pPr>
        <w:spacing w:after="0" w:line="117" w:lineRule="exact"/>
        <w:rPr>
          <w:rFonts w:ascii="MS PGothic" w:cs="MS PGothic" w:eastAsia="MS PGothic" w:hAnsi="MS PGothic"/>
          <w:sz w:val="18"/>
          <w:szCs w:val="18"/>
          <w:color w:val="auto"/>
        </w:rPr>
      </w:pPr>
    </w:p>
    <w:p>
      <w:pPr>
        <w:ind w:left="600" w:hanging="592"/>
        <w:spacing w:after="0"/>
        <w:tabs>
          <w:tab w:leader="none" w:pos="60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Pre-commencement communications pursuant to Rule 14d-2(b) under the Exchange Act (17 CFR 240.14d-2(b))</w:t>
      </w:r>
    </w:p>
    <w:p>
      <w:pPr>
        <w:spacing w:after="0" w:line="117" w:lineRule="exact"/>
        <w:rPr>
          <w:rFonts w:ascii="MS PGothic" w:cs="MS PGothic" w:eastAsia="MS PGothic" w:hAnsi="MS PGothic"/>
          <w:sz w:val="18"/>
          <w:szCs w:val="18"/>
          <w:color w:val="auto"/>
        </w:rPr>
      </w:pPr>
    </w:p>
    <w:p>
      <w:pPr>
        <w:ind w:left="600" w:hanging="592"/>
        <w:spacing w:after="0"/>
        <w:tabs>
          <w:tab w:leader="none" w:pos="60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Pre-commencement communications pursuant to Rule 13e-4(c) under the Exchange Act (17 CFR 240.13e-4(c))</w:t>
      </w:r>
    </w:p>
    <w:p>
      <w:pPr>
        <w:spacing w:after="0" w:line="216" w:lineRule="exact"/>
        <w:rPr>
          <w:sz w:val="24"/>
          <w:szCs w:val="24"/>
          <w:color w:val="auto"/>
        </w:rPr>
      </w:pPr>
    </w:p>
    <w:p>
      <w:pPr>
        <w:spacing w:after="0"/>
        <w:rPr>
          <w:sz w:val="20"/>
          <w:szCs w:val="20"/>
          <w:color w:val="auto"/>
        </w:rPr>
      </w:pPr>
      <w:r>
        <w:rPr>
          <w:rFonts w:ascii="Times New Roman" w:cs="Times New Roman" w:eastAsia="Times New Roman" w:hAnsi="Times New Roman"/>
          <w:sz w:val="16"/>
          <w:szCs w:val="16"/>
          <w:color w:val="auto"/>
        </w:rPr>
        <w:t>Securities registered pursuant to Section 12(b) of the Act.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2680970</wp:posOffset>
            </wp:positionH>
            <wp:positionV relativeFrom="paragraph">
              <wp:posOffset>20320</wp:posOffset>
            </wp:positionV>
            <wp:extent cx="8890" cy="41148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8890" cy="411480"/>
                    </a:xfrm>
                    <a:prstGeom prst="rect">
                      <a:avLst/>
                    </a:prstGeom>
                    <a:noFill/>
                  </pic:spPr>
                </pic:pic>
              </a:graphicData>
            </a:graphic>
          </wp:anchor>
        </w:drawing>
      </w:r>
    </w:p>
    <w:p>
      <w:pPr>
        <w:spacing w:after="0" w:line="6" w:lineRule="exact"/>
        <w:rPr>
          <w:sz w:val="24"/>
          <w:szCs w:val="24"/>
          <w:color w:val="auto"/>
        </w:rPr>
      </w:pPr>
    </w:p>
    <w:tbl>
      <w:tblPr>
        <w:tblLayout w:type="fixed"/>
        <w:tblInd w:w="10" w:type="dxa"/>
        <w:tblCellMar>
          <w:top w:w="0" w:type="dxa"/>
          <w:left w:w="0" w:type="dxa"/>
          <w:bottom w:w="0" w:type="dxa"/>
          <w:right w:w="0" w:type="dxa"/>
        </w:tblCellMar>
      </w:tblPr>
      <w:tr>
        <w:trPr>
          <w:trHeight w:val="304"/>
        </w:trPr>
        <w:tc>
          <w:tcPr>
            <w:tcW w:w="3020" w:type="dxa"/>
            <w:vAlign w:val="bottom"/>
            <w:tcBorders>
              <w:top w:val="single" w:sz="8" w:color="auto"/>
              <w:left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6"/>
                <w:szCs w:val="16"/>
                <w:color w:val="auto"/>
              </w:rPr>
              <w:t>Title of each class</w:t>
            </w:r>
          </w:p>
        </w:tc>
        <w:tc>
          <w:tcPr>
            <w:tcW w:w="4120" w:type="dxa"/>
            <w:vAlign w:val="bottom"/>
            <w:tcBorders>
              <w:top w:val="single" w:sz="8" w:color="auto"/>
              <w:right w:val="single" w:sz="8" w:color="auto"/>
            </w:tcBorders>
            <w:gridSpan w:val="2"/>
          </w:tcPr>
          <w:p>
            <w:pPr>
              <w:spacing w:after="0"/>
              <w:rPr>
                <w:sz w:val="20"/>
                <w:szCs w:val="20"/>
                <w:color w:val="auto"/>
              </w:rPr>
            </w:pPr>
            <w:r>
              <w:rPr>
                <w:rFonts w:ascii="Times New Roman" w:cs="Times New Roman" w:eastAsia="Times New Roman" w:hAnsi="Times New Roman"/>
                <w:sz w:val="16"/>
                <w:szCs w:val="16"/>
                <w:color w:val="auto"/>
              </w:rPr>
              <w:t>Trading symbol(s)Name of each exchange on which registered</w:t>
            </w:r>
          </w:p>
        </w:tc>
      </w:tr>
      <w:tr>
        <w:trPr>
          <w:trHeight w:val="33"/>
        </w:trPr>
        <w:tc>
          <w:tcPr>
            <w:tcW w:w="3020" w:type="dxa"/>
            <w:vAlign w:val="bottom"/>
            <w:tcBorders>
              <w:left w:val="single" w:sz="8" w:color="auto"/>
              <w:bottom w:val="single" w:sz="8" w:color="auto"/>
              <w:right w:val="single" w:sz="8" w:color="auto"/>
            </w:tcBorders>
          </w:tcPr>
          <w:p>
            <w:pPr>
              <w:spacing w:after="0"/>
              <w:rPr>
                <w:sz w:val="2"/>
                <w:szCs w:val="2"/>
                <w:color w:val="auto"/>
              </w:rPr>
            </w:pPr>
          </w:p>
        </w:tc>
        <w:tc>
          <w:tcPr>
            <w:tcW w:w="1210" w:type="dxa"/>
            <w:vAlign w:val="bottom"/>
            <w:tcBorders>
              <w:bottom w:val="single" w:sz="8" w:color="auto"/>
            </w:tcBorders>
          </w:tcPr>
          <w:p>
            <w:pPr>
              <w:spacing w:after="0"/>
              <w:rPr>
                <w:sz w:val="2"/>
                <w:szCs w:val="2"/>
                <w:color w:val="auto"/>
              </w:rPr>
            </w:pPr>
          </w:p>
        </w:tc>
        <w:tc>
          <w:tcPr>
            <w:tcW w:w="2910" w:type="dxa"/>
            <w:vAlign w:val="bottom"/>
            <w:tcBorders>
              <w:bottom w:val="single" w:sz="8" w:color="auto"/>
              <w:right w:val="single" w:sz="8" w:color="auto"/>
            </w:tcBorders>
          </w:tcPr>
          <w:p>
            <w:pPr>
              <w:spacing w:after="0"/>
              <w:rPr>
                <w:sz w:val="2"/>
                <w:szCs w:val="2"/>
                <w:color w:val="auto"/>
              </w:rPr>
            </w:pPr>
          </w:p>
        </w:tc>
      </w:tr>
      <w:tr>
        <w:trPr>
          <w:trHeight w:val="204"/>
        </w:trPr>
        <w:tc>
          <w:tcPr>
            <w:tcW w:w="3020" w:type="dxa"/>
            <w:vAlign w:val="bottom"/>
            <w:tcBorders>
              <w:left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6"/>
                <w:szCs w:val="16"/>
                <w:color w:val="auto"/>
              </w:rPr>
              <w:t>Common Stock, $0.01 par value</w:t>
            </w:r>
          </w:p>
        </w:tc>
        <w:tc>
          <w:tcPr>
            <w:tcW w:w="1210" w:type="dxa"/>
            <w:vAlign w:val="bottom"/>
          </w:tcPr>
          <w:p>
            <w:pPr>
              <w:ind w:left="380"/>
              <w:spacing w:after="0"/>
              <w:rPr>
                <w:sz w:val="20"/>
                <w:szCs w:val="20"/>
                <w:color w:val="auto"/>
              </w:rPr>
            </w:pPr>
            <w:r>
              <w:rPr>
                <w:rFonts w:ascii="Times New Roman" w:cs="Times New Roman" w:eastAsia="Times New Roman" w:hAnsi="Times New Roman"/>
                <w:sz w:val="16"/>
                <w:szCs w:val="16"/>
                <w:color w:val="auto"/>
              </w:rPr>
              <w:t>DXLG</w:t>
            </w:r>
          </w:p>
        </w:tc>
        <w:tc>
          <w:tcPr>
            <w:tcW w:w="2910" w:type="dxa"/>
            <w:vAlign w:val="bottom"/>
            <w:tcBorders>
              <w:right w:val="single" w:sz="8" w:color="auto"/>
            </w:tcBorders>
          </w:tcPr>
          <w:p>
            <w:pPr>
              <w:ind w:left="470"/>
              <w:spacing w:after="0"/>
              <w:rPr>
                <w:sz w:val="20"/>
                <w:szCs w:val="20"/>
                <w:color w:val="auto"/>
              </w:rPr>
            </w:pPr>
            <w:r>
              <w:rPr>
                <w:rFonts w:ascii="Times New Roman" w:cs="Times New Roman" w:eastAsia="Times New Roman" w:hAnsi="Times New Roman"/>
                <w:sz w:val="16"/>
                <w:szCs w:val="16"/>
                <w:color w:val="auto"/>
              </w:rPr>
              <w:t>NASDAQ Stock Market LLC</w:t>
            </w:r>
          </w:p>
        </w:tc>
      </w:tr>
      <w:tr>
        <w:trPr>
          <w:trHeight w:val="60"/>
        </w:trPr>
        <w:tc>
          <w:tcPr>
            <w:tcW w:w="3020" w:type="dxa"/>
            <w:vAlign w:val="bottom"/>
            <w:tcBorders>
              <w:left w:val="single" w:sz="8" w:color="auto"/>
              <w:bottom w:val="single" w:sz="8" w:color="auto"/>
              <w:right w:val="single" w:sz="8" w:color="auto"/>
            </w:tcBorders>
          </w:tcPr>
          <w:p>
            <w:pPr>
              <w:spacing w:after="0"/>
              <w:rPr>
                <w:sz w:val="5"/>
                <w:szCs w:val="5"/>
                <w:color w:val="auto"/>
              </w:rPr>
            </w:pPr>
          </w:p>
        </w:tc>
        <w:tc>
          <w:tcPr>
            <w:tcW w:w="1210" w:type="dxa"/>
            <w:vAlign w:val="bottom"/>
            <w:tcBorders>
              <w:bottom w:val="single" w:sz="8" w:color="auto"/>
            </w:tcBorders>
          </w:tcPr>
          <w:p>
            <w:pPr>
              <w:spacing w:after="0"/>
              <w:rPr>
                <w:sz w:val="5"/>
                <w:szCs w:val="5"/>
                <w:color w:val="auto"/>
              </w:rPr>
            </w:pPr>
          </w:p>
        </w:tc>
        <w:tc>
          <w:tcPr>
            <w:tcW w:w="2910" w:type="dxa"/>
            <w:vAlign w:val="bottom"/>
            <w:tcBorders>
              <w:bottom w:val="single" w:sz="8" w:color="auto"/>
              <w:right w:val="single" w:sz="8" w:color="auto"/>
            </w:tcBorders>
          </w:tcPr>
          <w:p>
            <w:pPr>
              <w:spacing w:after="0"/>
              <w:rPr>
                <w:sz w:val="5"/>
                <w:szCs w:val="5"/>
                <w:color w:val="auto"/>
              </w:rPr>
            </w:pPr>
          </w:p>
        </w:tc>
      </w:tr>
    </w:tbl>
    <w:p>
      <w:pPr>
        <w:spacing w:after="0" w:line="90" w:lineRule="exact"/>
        <w:rPr>
          <w:sz w:val="24"/>
          <w:szCs w:val="24"/>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Indicate by check mark whether the registrant is an emerging growth company as defined in Rule 405 of the Securities Act of 1933 (§ 230.405 of this chapter) or Rule 12b-2 of the Securities Exchange Act of 1934 (§ 240.12b-2 of this chapter).</w:t>
      </w:r>
    </w:p>
    <w:p>
      <w:pPr>
        <w:spacing w:after="0" w:line="25" w:lineRule="exact"/>
        <w:rPr>
          <w:sz w:val="24"/>
          <w:szCs w:val="24"/>
          <w:color w:val="auto"/>
        </w:rPr>
      </w:pPr>
    </w:p>
    <w:p>
      <w:pPr>
        <w:spacing w:after="0" w:line="207" w:lineRule="exact"/>
        <w:rPr>
          <w:sz w:val="20"/>
          <w:szCs w:val="20"/>
          <w:color w:val="auto"/>
        </w:rPr>
      </w:pPr>
      <w:r>
        <w:rPr>
          <w:rFonts w:ascii="Times New Roman" w:cs="Times New Roman" w:eastAsia="Times New Roman" w:hAnsi="Times New Roman"/>
          <w:sz w:val="18"/>
          <w:szCs w:val="18"/>
          <w:color w:val="auto"/>
        </w:rPr>
        <w:t xml:space="preserve">Emerging growth company </w:t>
      </w:r>
      <w:r>
        <w:rPr>
          <w:rFonts w:ascii="MS PGothic" w:cs="MS PGothic" w:eastAsia="MS PGothic" w:hAnsi="MS PGothic"/>
          <w:sz w:val="18"/>
          <w:szCs w:val="18"/>
          <w:color w:val="auto"/>
        </w:rPr>
        <w:t>☐</w:t>
      </w:r>
    </w:p>
    <w:p>
      <w:pPr>
        <w:spacing w:after="0" w:line="146" w:lineRule="exact"/>
        <w:rPr>
          <w:sz w:val="24"/>
          <w:szCs w:val="24"/>
          <w:color w:val="auto"/>
        </w:rPr>
      </w:pPr>
    </w:p>
    <w:p>
      <w:pPr>
        <w:ind w:right="120"/>
        <w:spacing w:after="0" w:line="235" w:lineRule="exact"/>
        <w:rPr>
          <w:sz w:val="20"/>
          <w:szCs w:val="20"/>
          <w:color w:val="auto"/>
        </w:rPr>
      </w:pPr>
      <w:r>
        <w:rPr>
          <w:rFonts w:ascii="Times New Roman" w:cs="Times New Roman" w:eastAsia="Times New Roman" w:hAnsi="Times New Roman"/>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8"/>
          <w:szCs w:val="18"/>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43815</wp:posOffset>
            </wp:positionV>
            <wp:extent cx="7289165" cy="4254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00"/>
          </w:cols>
          <w:pgMar w:left="240" w:top="601" w:right="259" w:bottom="1440" w:gutter="0" w:footer="0" w:header="0"/>
        </w:sectPr>
      </w:pPr>
    </w:p>
    <w:bookmarkStart w:id="1" w:name="page2"/>
    <w:bookmarkEnd w:id="1"/>
    <w:p>
      <w:pPr>
        <w:spacing w:after="0" w:line="262" w:lineRule="auto"/>
        <w:rPr>
          <w:sz w:val="20"/>
          <w:szCs w:val="20"/>
          <w:color w:val="auto"/>
        </w:rPr>
      </w:pPr>
      <w:r>
        <w:rPr>
          <w:rFonts w:ascii="Times New Roman" w:cs="Times New Roman" w:eastAsia="Times New Roman" w:hAnsi="Times New Roman"/>
          <w:sz w:val="22"/>
          <w:szCs w:val="22"/>
          <w:b w:val="1"/>
          <w:bCs w:val="1"/>
          <w:color w:val="auto"/>
        </w:rPr>
        <w:t>ITEM 5.02- DEPARTURE OF DIRECTORS OR CERTAIN OFFICERS; ELECTION OF DIRECTORS; APPOINTMENT OF CERTAIN OFFICERS; COMPENSATORY ARRANGEMENTS OF CERTAIN OFFICERS.</w:t>
      </w:r>
    </w:p>
    <w:p>
      <w:pPr>
        <w:spacing w:after="0" w:line="154" w:lineRule="exact"/>
        <w:rPr>
          <w:sz w:val="20"/>
          <w:szCs w:val="20"/>
          <w:color w:val="auto"/>
        </w:rPr>
      </w:pPr>
    </w:p>
    <w:p>
      <w:pPr>
        <w:ind w:right="20"/>
        <w:spacing w:after="0" w:line="262" w:lineRule="auto"/>
        <w:rPr>
          <w:sz w:val="20"/>
          <w:szCs w:val="20"/>
          <w:color w:val="auto"/>
        </w:rPr>
      </w:pPr>
      <w:r>
        <w:rPr>
          <w:rFonts w:ascii="Times New Roman" w:cs="Times New Roman" w:eastAsia="Times New Roman" w:hAnsi="Times New Roman"/>
          <w:sz w:val="21"/>
          <w:szCs w:val="21"/>
          <w:color w:val="auto"/>
        </w:rPr>
        <w:t>On August 8, 2019, Destination XL Group, Inc. (the “Company”) held its Annual Meeting of Stockholders (the “Annual Meeting”) at which the Company’s stockholders approved amendments to the Company’s 2016 Incentive Compensation Plan (the “2016 Plan”) to increase the total number of shares of common stock authorized for issuance under the 2016 Plan by 2,800,000 shares.</w:t>
      </w:r>
    </w:p>
    <w:p>
      <w:pPr>
        <w:spacing w:after="0" w:line="151" w:lineRule="exact"/>
        <w:rPr>
          <w:sz w:val="20"/>
          <w:szCs w:val="20"/>
          <w:color w:val="auto"/>
        </w:rPr>
      </w:pPr>
    </w:p>
    <w:p>
      <w:pPr>
        <w:spacing w:after="0" w:line="237" w:lineRule="auto"/>
        <w:rPr>
          <w:sz w:val="20"/>
          <w:szCs w:val="20"/>
          <w:color w:val="auto"/>
        </w:rPr>
      </w:pPr>
      <w:r>
        <w:rPr>
          <w:rFonts w:ascii="Times New Roman" w:cs="Times New Roman" w:eastAsia="Times New Roman" w:hAnsi="Times New Roman"/>
          <w:sz w:val="22"/>
          <w:szCs w:val="22"/>
          <w:color w:val="auto"/>
        </w:rPr>
        <w:t>For a description of the material features of the 2016 Plan see “</w:t>
      </w:r>
      <w:r>
        <w:rPr>
          <w:rFonts w:ascii="Times New Roman" w:cs="Times New Roman" w:eastAsia="Times New Roman" w:hAnsi="Times New Roman"/>
          <w:sz w:val="22"/>
          <w:szCs w:val="22"/>
          <w:i w:val="1"/>
          <w:iCs w:val="1"/>
          <w:color w:val="auto"/>
        </w:rPr>
        <w:t>Proposal 3 –Amendments to the Company’s 2016 Incentive</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i w:val="1"/>
          <w:iCs w:val="1"/>
          <w:color w:val="auto"/>
        </w:rPr>
        <w:t>Compensation Plan to Increase the Total Number of Shares of Common Stock Authorized for Issuance Under the Plan by 2,800,000 Shares –Summary of the 2016 Incentive Compensation Plan</w:t>
      </w:r>
      <w:r>
        <w:rPr>
          <w:rFonts w:ascii="Times New Roman" w:cs="Times New Roman" w:eastAsia="Times New Roman" w:hAnsi="Times New Roman"/>
          <w:sz w:val="22"/>
          <w:szCs w:val="22"/>
          <w:color w:val="auto"/>
        </w:rPr>
        <w:t>” on pages 40 through 47 of the Company’s Definitive Proxy Statement</w:t>
      </w:r>
      <w:r>
        <w:rPr>
          <w:rFonts w:ascii="Times New Roman" w:cs="Times New Roman" w:eastAsia="Times New Roman" w:hAnsi="Times New Roman"/>
          <w:sz w:val="22"/>
          <w:szCs w:val="22"/>
          <w:i w:val="1"/>
          <w:iCs w:val="1"/>
          <w:color w:val="auto"/>
        </w:rPr>
        <w:t xml:space="preserve"> </w:t>
      </w:r>
      <w:r>
        <w:rPr>
          <w:rFonts w:ascii="Times New Roman" w:cs="Times New Roman" w:eastAsia="Times New Roman" w:hAnsi="Times New Roman"/>
          <w:sz w:val="22"/>
          <w:szCs w:val="22"/>
          <w:color w:val="auto"/>
        </w:rPr>
        <w:t xml:space="preserve">on Schedule 14A filed on July 2, 2019 in connection with the Annual Meeting. </w:t>
      </w:r>
      <w:r>
        <w:rPr>
          <w:rFonts w:ascii="Times New Roman" w:cs="Times New Roman" w:eastAsia="Times New Roman" w:hAnsi="Times New Roman"/>
          <w:sz w:val="22"/>
          <w:szCs w:val="22"/>
          <w:color w:val="212121"/>
        </w:rPr>
        <w:t>Such description is qualified in its entirety by</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color w:val="212121"/>
        </w:rPr>
        <w:t xml:space="preserve">reference to the </w:t>
      </w:r>
      <w:r>
        <w:rPr>
          <w:rFonts w:ascii="Times New Roman" w:cs="Times New Roman" w:eastAsia="Times New Roman" w:hAnsi="Times New Roman"/>
          <w:sz w:val="22"/>
          <w:szCs w:val="22"/>
          <w:color w:val="000000"/>
        </w:rPr>
        <w:t>2016 Plan, as approved and amended by the Company’s Board of Directors and stockholders, which is filed as</w:t>
      </w:r>
      <w:r>
        <w:rPr>
          <w:rFonts w:ascii="Times New Roman" w:cs="Times New Roman" w:eastAsia="Times New Roman" w:hAnsi="Times New Roman"/>
          <w:sz w:val="22"/>
          <w:szCs w:val="22"/>
          <w:color w:val="212121"/>
        </w:rPr>
        <w:t xml:space="preserve"> </w:t>
      </w:r>
      <w:r>
        <w:rPr>
          <w:rFonts w:ascii="Times New Roman" w:cs="Times New Roman" w:eastAsia="Times New Roman" w:hAnsi="Times New Roman"/>
          <w:sz w:val="22"/>
          <w:szCs w:val="22"/>
          <w:color w:val="000000"/>
        </w:rPr>
        <w:t>Exhibit 10.1 hereto and incorporated herein by reference.</w:t>
      </w:r>
    </w:p>
    <w:p>
      <w:pPr>
        <w:spacing w:after="0" w:line="392"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ITEM 5.07- SUBMISSION OF MATTERS TO A VOTE OF SECURITY HOLDERS.</w:t>
      </w:r>
    </w:p>
    <w:p>
      <w:pPr>
        <w:spacing w:after="0" w:line="210" w:lineRule="exact"/>
        <w:rPr>
          <w:sz w:val="20"/>
          <w:szCs w:val="20"/>
          <w:color w:val="auto"/>
        </w:rPr>
      </w:pPr>
    </w:p>
    <w:p>
      <w:pPr>
        <w:ind w:right="80"/>
        <w:spacing w:after="0" w:line="258" w:lineRule="auto"/>
        <w:rPr>
          <w:sz w:val="20"/>
          <w:szCs w:val="20"/>
          <w:color w:val="auto"/>
        </w:rPr>
      </w:pPr>
      <w:r>
        <w:rPr>
          <w:rFonts w:ascii="Times New Roman" w:cs="Times New Roman" w:eastAsia="Times New Roman" w:hAnsi="Times New Roman"/>
          <w:sz w:val="22"/>
          <w:szCs w:val="22"/>
          <w:color w:val="auto"/>
        </w:rPr>
        <w:t>On August 8, 2019, the Company held its Annual Meeting. Set forth below are the matters submitted at the Annual Meeting by the Board of Directors of the Company to a vote of stockholders and the final results of the voting for each proposal.</w:t>
      </w:r>
    </w:p>
    <w:p>
      <w:pPr>
        <w:spacing w:after="0" w:line="15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u w:val="single" w:color="auto"/>
          <w:color w:val="auto"/>
        </w:rPr>
        <w:t>Proposal 1: Election of Directors.</w:t>
      </w:r>
    </w:p>
    <w:p>
      <w:pPr>
        <w:spacing w:after="0" w:line="210" w:lineRule="exact"/>
        <w:rPr>
          <w:sz w:val="20"/>
          <w:szCs w:val="20"/>
          <w:color w:val="auto"/>
        </w:rPr>
      </w:pPr>
    </w:p>
    <w:p>
      <w:pPr>
        <w:ind w:right="360"/>
        <w:spacing w:after="0" w:line="258" w:lineRule="auto"/>
        <w:rPr>
          <w:sz w:val="20"/>
          <w:szCs w:val="20"/>
          <w:color w:val="auto"/>
        </w:rPr>
      </w:pPr>
      <w:r>
        <w:rPr>
          <w:rFonts w:ascii="Times New Roman" w:cs="Times New Roman" w:eastAsia="Times New Roman" w:hAnsi="Times New Roman"/>
          <w:sz w:val="22"/>
          <w:szCs w:val="22"/>
          <w:color w:val="auto"/>
        </w:rPr>
        <w:t>The Company’s stockholders elected nine directors to hold office until the 2020 Annual Meeting of Stockholders and until their respective successors are duly elected and qualified. The results of the voting were as follows</w:t>
      </w:r>
      <w:r>
        <w:rPr>
          <w:rFonts w:ascii="Times New Roman" w:cs="Times New Roman" w:eastAsia="Times New Roman" w:hAnsi="Times New Roman"/>
          <w:sz w:val="18"/>
          <w:szCs w:val="18"/>
          <w:color w:val="auto"/>
        </w:rPr>
        <w:t>:</w:t>
      </w:r>
    </w:p>
    <w:p>
      <w:pPr>
        <w:spacing w:after="0" w:line="176" w:lineRule="exact"/>
        <w:rPr>
          <w:sz w:val="20"/>
          <w:szCs w:val="20"/>
          <w:color w:val="auto"/>
        </w:rPr>
      </w:pPr>
    </w:p>
    <w:tbl>
      <w:tblPr>
        <w:tblLayout w:type="fixed"/>
        <w:tblInd w:w="0" w:type="dxa"/>
        <w:tblCellMar>
          <w:top w:w="0" w:type="dxa"/>
          <w:left w:w="0" w:type="dxa"/>
          <w:bottom w:w="0" w:type="dxa"/>
          <w:right w:w="0" w:type="dxa"/>
        </w:tblCellMar>
      </w:tblPr>
      <w:tr>
        <w:trPr>
          <w:trHeight w:val="252"/>
        </w:trPr>
        <w:tc>
          <w:tcPr>
            <w:tcW w:w="3460" w:type="dxa"/>
            <w:vAlign w:val="bottom"/>
            <w:vMerge w:val="restart"/>
          </w:tcPr>
          <w:p>
            <w:pPr>
              <w:spacing w:after="0"/>
              <w:rPr>
                <w:sz w:val="20"/>
                <w:szCs w:val="20"/>
                <w:color w:val="auto"/>
              </w:rPr>
            </w:pPr>
            <w:r>
              <w:rPr>
                <w:rFonts w:ascii="Times New Roman" w:cs="Times New Roman" w:eastAsia="Times New Roman" w:hAnsi="Times New Roman"/>
                <w:sz w:val="20"/>
                <w:szCs w:val="20"/>
                <w:color w:val="auto"/>
              </w:rPr>
              <w:t>John E. Kyees</w:t>
            </w:r>
          </w:p>
        </w:tc>
        <w:tc>
          <w:tcPr>
            <w:tcW w:w="1980" w:type="dxa"/>
            <w:vAlign w:val="bottom"/>
            <w:gridSpan w:val="2"/>
          </w:tcPr>
          <w:p>
            <w:pPr>
              <w:ind w:left="740"/>
              <w:spacing w:after="0"/>
              <w:rPr>
                <w:sz w:val="20"/>
                <w:szCs w:val="20"/>
                <w:color w:val="auto"/>
              </w:rPr>
            </w:pPr>
            <w:r>
              <w:rPr>
                <w:rFonts w:ascii="Times New Roman" w:cs="Times New Roman" w:eastAsia="Times New Roman" w:hAnsi="Times New Roman"/>
                <w:sz w:val="20"/>
                <w:szCs w:val="20"/>
                <w:color w:val="auto"/>
              </w:rPr>
              <w:t>FOR</w:t>
            </w:r>
          </w:p>
        </w:tc>
        <w:tc>
          <w:tcPr>
            <w:tcW w:w="1980" w:type="dxa"/>
            <w:vAlign w:val="bottom"/>
            <w:gridSpan w:val="2"/>
          </w:tcPr>
          <w:p>
            <w:pPr>
              <w:ind w:left="500"/>
              <w:spacing w:after="0"/>
              <w:rPr>
                <w:sz w:val="20"/>
                <w:szCs w:val="20"/>
                <w:color w:val="auto"/>
              </w:rPr>
            </w:pPr>
            <w:r>
              <w:rPr>
                <w:rFonts w:ascii="Times New Roman" w:cs="Times New Roman" w:eastAsia="Times New Roman" w:hAnsi="Times New Roman"/>
                <w:sz w:val="20"/>
                <w:szCs w:val="20"/>
                <w:color w:val="auto"/>
              </w:rPr>
              <w:t>AGAINST</w:t>
            </w:r>
          </w:p>
        </w:tc>
        <w:tc>
          <w:tcPr>
            <w:tcW w:w="1980" w:type="dxa"/>
            <w:vAlign w:val="bottom"/>
            <w:gridSpan w:val="2"/>
          </w:tcPr>
          <w:p>
            <w:pPr>
              <w:ind w:left="520"/>
              <w:spacing w:after="0"/>
              <w:rPr>
                <w:sz w:val="20"/>
                <w:szCs w:val="20"/>
                <w:color w:val="auto"/>
              </w:rPr>
            </w:pPr>
            <w:r>
              <w:rPr>
                <w:rFonts w:ascii="Times New Roman" w:cs="Times New Roman" w:eastAsia="Times New Roman" w:hAnsi="Times New Roman"/>
                <w:sz w:val="20"/>
                <w:szCs w:val="20"/>
                <w:color w:val="auto"/>
              </w:rPr>
              <w:t>ABSTAIN</w:t>
            </w:r>
          </w:p>
        </w:tc>
        <w:tc>
          <w:tcPr>
            <w:tcW w:w="1900" w:type="dxa"/>
            <w:vAlign w:val="bottom"/>
          </w:tcPr>
          <w:p>
            <w:pPr>
              <w:jc w:val="right"/>
              <w:ind w:right="141"/>
              <w:spacing w:after="0"/>
              <w:rPr>
                <w:sz w:val="20"/>
                <w:szCs w:val="20"/>
                <w:color w:val="auto"/>
              </w:rPr>
            </w:pPr>
            <w:r>
              <w:rPr>
                <w:rFonts w:ascii="Times New Roman" w:cs="Times New Roman" w:eastAsia="Times New Roman" w:hAnsi="Times New Roman"/>
                <w:sz w:val="20"/>
                <w:szCs w:val="20"/>
                <w:color w:val="auto"/>
              </w:rPr>
              <w:t>Broker Non-Votes</w:t>
            </w:r>
          </w:p>
        </w:tc>
        <w:tc>
          <w:tcPr>
            <w:tcW w:w="0" w:type="dxa"/>
            <w:vAlign w:val="bottom"/>
          </w:tcPr>
          <w:p>
            <w:pPr>
              <w:spacing w:after="0"/>
              <w:rPr>
                <w:sz w:val="1"/>
                <w:szCs w:val="1"/>
                <w:color w:val="auto"/>
              </w:rPr>
            </w:pPr>
          </w:p>
        </w:tc>
      </w:tr>
      <w:tr>
        <w:trPr>
          <w:trHeight w:val="227"/>
        </w:trPr>
        <w:tc>
          <w:tcPr>
            <w:tcW w:w="3460" w:type="dxa"/>
            <w:vAlign w:val="bottom"/>
            <w:vMerge w:val="continue"/>
          </w:tcPr>
          <w:p>
            <w:pPr>
              <w:spacing w:after="0"/>
              <w:rPr>
                <w:sz w:val="19"/>
                <w:szCs w:val="19"/>
                <w:color w:val="auto"/>
              </w:rPr>
            </w:pPr>
          </w:p>
        </w:tc>
        <w:tc>
          <w:tcPr>
            <w:tcW w:w="1860" w:type="dxa"/>
            <w:vAlign w:val="bottom"/>
            <w:tcBorders>
              <w:top w:val="single" w:sz="8" w:color="auto"/>
            </w:tcBorders>
          </w:tcPr>
          <w:p>
            <w:pPr>
              <w:jc w:val="right"/>
              <w:spacing w:after="0" w:line="228" w:lineRule="exact"/>
              <w:rPr>
                <w:sz w:val="20"/>
                <w:szCs w:val="20"/>
                <w:color w:val="auto"/>
              </w:rPr>
            </w:pPr>
            <w:r>
              <w:rPr>
                <w:rFonts w:ascii="Times New Roman" w:cs="Times New Roman" w:eastAsia="Times New Roman" w:hAnsi="Times New Roman"/>
                <w:sz w:val="20"/>
                <w:szCs w:val="20"/>
                <w:color w:val="auto"/>
              </w:rPr>
              <w:t>36,354,414</w:t>
            </w:r>
          </w:p>
        </w:tc>
        <w:tc>
          <w:tcPr>
            <w:tcW w:w="120" w:type="dxa"/>
            <w:vAlign w:val="bottom"/>
          </w:tcPr>
          <w:p>
            <w:pPr>
              <w:spacing w:after="0"/>
              <w:rPr>
                <w:sz w:val="19"/>
                <w:szCs w:val="19"/>
                <w:color w:val="auto"/>
              </w:rPr>
            </w:pPr>
          </w:p>
        </w:tc>
        <w:tc>
          <w:tcPr>
            <w:tcW w:w="1880" w:type="dxa"/>
            <w:vAlign w:val="bottom"/>
            <w:tcBorders>
              <w:top w:val="single" w:sz="8" w:color="auto"/>
            </w:tcBorders>
          </w:tcPr>
          <w:p>
            <w:pPr>
              <w:jc w:val="right"/>
              <w:spacing w:after="0" w:line="228" w:lineRule="exact"/>
              <w:rPr>
                <w:sz w:val="20"/>
                <w:szCs w:val="20"/>
                <w:color w:val="auto"/>
              </w:rPr>
            </w:pPr>
            <w:r>
              <w:rPr>
                <w:rFonts w:ascii="Times New Roman" w:cs="Times New Roman" w:eastAsia="Times New Roman" w:hAnsi="Times New Roman"/>
                <w:sz w:val="20"/>
                <w:szCs w:val="20"/>
                <w:color w:val="auto"/>
              </w:rPr>
              <w:t>1,298,787</w:t>
            </w:r>
          </w:p>
        </w:tc>
        <w:tc>
          <w:tcPr>
            <w:tcW w:w="100" w:type="dxa"/>
            <w:vAlign w:val="bottom"/>
          </w:tcPr>
          <w:p>
            <w:pPr>
              <w:spacing w:after="0"/>
              <w:rPr>
                <w:sz w:val="19"/>
                <w:szCs w:val="19"/>
                <w:color w:val="auto"/>
              </w:rPr>
            </w:pPr>
          </w:p>
        </w:tc>
        <w:tc>
          <w:tcPr>
            <w:tcW w:w="1880" w:type="dxa"/>
            <w:vAlign w:val="bottom"/>
            <w:tcBorders>
              <w:top w:val="single" w:sz="8" w:color="auto"/>
            </w:tcBorders>
          </w:tcPr>
          <w:p>
            <w:pPr>
              <w:jc w:val="right"/>
              <w:spacing w:after="0" w:line="228" w:lineRule="exact"/>
              <w:rPr>
                <w:sz w:val="20"/>
                <w:szCs w:val="20"/>
                <w:color w:val="auto"/>
              </w:rPr>
            </w:pPr>
            <w:r>
              <w:rPr>
                <w:rFonts w:ascii="Times New Roman" w:cs="Times New Roman" w:eastAsia="Times New Roman" w:hAnsi="Times New Roman"/>
                <w:sz w:val="20"/>
                <w:szCs w:val="20"/>
                <w:color w:val="auto"/>
              </w:rPr>
              <w:t>110</w:t>
            </w:r>
          </w:p>
        </w:tc>
        <w:tc>
          <w:tcPr>
            <w:tcW w:w="100" w:type="dxa"/>
            <w:vAlign w:val="bottom"/>
          </w:tcPr>
          <w:p>
            <w:pPr>
              <w:spacing w:after="0"/>
              <w:rPr>
                <w:sz w:val="19"/>
                <w:szCs w:val="19"/>
                <w:color w:val="auto"/>
              </w:rPr>
            </w:pPr>
          </w:p>
        </w:tc>
        <w:tc>
          <w:tcPr>
            <w:tcW w:w="1900" w:type="dxa"/>
            <w:vAlign w:val="bottom"/>
            <w:tcBorders>
              <w:top w:val="single" w:sz="8" w:color="auto"/>
            </w:tcBorders>
          </w:tcPr>
          <w:p>
            <w:pPr>
              <w:jc w:val="right"/>
              <w:spacing w:after="0" w:line="228" w:lineRule="exact"/>
              <w:rPr>
                <w:sz w:val="20"/>
                <w:szCs w:val="20"/>
                <w:color w:val="auto"/>
              </w:rPr>
            </w:pPr>
            <w:r>
              <w:rPr>
                <w:rFonts w:ascii="Times New Roman" w:cs="Times New Roman" w:eastAsia="Times New Roman" w:hAnsi="Times New Roman"/>
                <w:sz w:val="20"/>
                <w:szCs w:val="20"/>
                <w:color w:val="auto"/>
              </w:rPr>
              <w:t>9,433,257</w:t>
            </w:r>
          </w:p>
        </w:tc>
        <w:tc>
          <w:tcPr>
            <w:tcW w:w="0" w:type="dxa"/>
            <w:vAlign w:val="bottom"/>
          </w:tcPr>
          <w:p>
            <w:pPr>
              <w:spacing w:after="0"/>
              <w:rPr>
                <w:sz w:val="1"/>
                <w:szCs w:val="1"/>
                <w:color w:val="auto"/>
              </w:rPr>
            </w:pPr>
          </w:p>
        </w:tc>
      </w:tr>
      <w:tr>
        <w:trPr>
          <w:trHeight w:val="243"/>
        </w:trPr>
        <w:tc>
          <w:tcPr>
            <w:tcW w:w="3460" w:type="dxa"/>
            <w:vAlign w:val="bottom"/>
          </w:tcPr>
          <w:p>
            <w:pPr>
              <w:spacing w:after="0"/>
              <w:rPr>
                <w:sz w:val="20"/>
                <w:szCs w:val="20"/>
                <w:color w:val="auto"/>
              </w:rPr>
            </w:pPr>
            <w:r>
              <w:rPr>
                <w:rFonts w:ascii="Times New Roman" w:cs="Times New Roman" w:eastAsia="Times New Roman" w:hAnsi="Times New Roman"/>
                <w:sz w:val="20"/>
                <w:szCs w:val="20"/>
                <w:color w:val="auto"/>
              </w:rPr>
              <w:t>Harvey S. Kanter</w:t>
            </w:r>
          </w:p>
        </w:tc>
        <w:tc>
          <w:tcPr>
            <w:tcW w:w="186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36,846,655</w:t>
            </w:r>
          </w:p>
        </w:tc>
        <w:tc>
          <w:tcPr>
            <w:tcW w:w="120" w:type="dxa"/>
            <w:vAlign w:val="bottom"/>
          </w:tcPr>
          <w:p>
            <w:pPr>
              <w:spacing w:after="0"/>
              <w:rPr>
                <w:sz w:val="21"/>
                <w:szCs w:val="21"/>
                <w:color w:val="auto"/>
              </w:rPr>
            </w:pPr>
          </w:p>
        </w:tc>
        <w:tc>
          <w:tcPr>
            <w:tcW w:w="188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806,546</w:t>
            </w:r>
          </w:p>
        </w:tc>
        <w:tc>
          <w:tcPr>
            <w:tcW w:w="100" w:type="dxa"/>
            <w:vAlign w:val="bottom"/>
          </w:tcPr>
          <w:p>
            <w:pPr>
              <w:spacing w:after="0"/>
              <w:rPr>
                <w:sz w:val="21"/>
                <w:szCs w:val="21"/>
                <w:color w:val="auto"/>
              </w:rPr>
            </w:pPr>
          </w:p>
        </w:tc>
        <w:tc>
          <w:tcPr>
            <w:tcW w:w="188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110</w:t>
            </w:r>
          </w:p>
        </w:tc>
        <w:tc>
          <w:tcPr>
            <w:tcW w:w="100" w:type="dxa"/>
            <w:vAlign w:val="bottom"/>
          </w:tcPr>
          <w:p>
            <w:pPr>
              <w:spacing w:after="0"/>
              <w:rPr>
                <w:sz w:val="21"/>
                <w:szCs w:val="21"/>
                <w:color w:val="auto"/>
              </w:rPr>
            </w:pPr>
          </w:p>
        </w:tc>
        <w:tc>
          <w:tcPr>
            <w:tcW w:w="190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9,433,257</w:t>
            </w:r>
          </w:p>
        </w:tc>
        <w:tc>
          <w:tcPr>
            <w:tcW w:w="0" w:type="dxa"/>
            <w:vAlign w:val="bottom"/>
          </w:tcPr>
          <w:p>
            <w:pPr>
              <w:spacing w:after="0"/>
              <w:rPr>
                <w:sz w:val="1"/>
                <w:szCs w:val="1"/>
                <w:color w:val="auto"/>
              </w:rPr>
            </w:pPr>
          </w:p>
        </w:tc>
      </w:tr>
      <w:tr>
        <w:trPr>
          <w:trHeight w:val="243"/>
        </w:trPr>
        <w:tc>
          <w:tcPr>
            <w:tcW w:w="3460" w:type="dxa"/>
            <w:vAlign w:val="bottom"/>
          </w:tcPr>
          <w:p>
            <w:pPr>
              <w:spacing w:after="0"/>
              <w:rPr>
                <w:sz w:val="20"/>
                <w:szCs w:val="20"/>
                <w:color w:val="auto"/>
              </w:rPr>
            </w:pPr>
            <w:r>
              <w:rPr>
                <w:rFonts w:ascii="Times New Roman" w:cs="Times New Roman" w:eastAsia="Times New Roman" w:hAnsi="Times New Roman"/>
                <w:sz w:val="20"/>
                <w:szCs w:val="20"/>
                <w:color w:val="auto"/>
              </w:rPr>
              <w:t>Jack Boyle</w:t>
            </w:r>
          </w:p>
        </w:tc>
        <w:tc>
          <w:tcPr>
            <w:tcW w:w="186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29,833,932</w:t>
            </w:r>
          </w:p>
        </w:tc>
        <w:tc>
          <w:tcPr>
            <w:tcW w:w="120" w:type="dxa"/>
            <w:vAlign w:val="bottom"/>
          </w:tcPr>
          <w:p>
            <w:pPr>
              <w:spacing w:after="0"/>
              <w:rPr>
                <w:sz w:val="21"/>
                <w:szCs w:val="21"/>
                <w:color w:val="auto"/>
              </w:rPr>
            </w:pPr>
          </w:p>
        </w:tc>
        <w:tc>
          <w:tcPr>
            <w:tcW w:w="188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7,771,870</w:t>
            </w:r>
          </w:p>
        </w:tc>
        <w:tc>
          <w:tcPr>
            <w:tcW w:w="100" w:type="dxa"/>
            <w:vAlign w:val="bottom"/>
          </w:tcPr>
          <w:p>
            <w:pPr>
              <w:spacing w:after="0"/>
              <w:rPr>
                <w:sz w:val="21"/>
                <w:szCs w:val="21"/>
                <w:color w:val="auto"/>
              </w:rPr>
            </w:pPr>
          </w:p>
        </w:tc>
        <w:tc>
          <w:tcPr>
            <w:tcW w:w="188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47,509</w:t>
            </w:r>
          </w:p>
        </w:tc>
        <w:tc>
          <w:tcPr>
            <w:tcW w:w="100" w:type="dxa"/>
            <w:vAlign w:val="bottom"/>
          </w:tcPr>
          <w:p>
            <w:pPr>
              <w:spacing w:after="0"/>
              <w:rPr>
                <w:sz w:val="21"/>
                <w:szCs w:val="21"/>
                <w:color w:val="auto"/>
              </w:rPr>
            </w:pPr>
          </w:p>
        </w:tc>
        <w:tc>
          <w:tcPr>
            <w:tcW w:w="190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9,433,257</w:t>
            </w:r>
          </w:p>
        </w:tc>
        <w:tc>
          <w:tcPr>
            <w:tcW w:w="0" w:type="dxa"/>
            <w:vAlign w:val="bottom"/>
          </w:tcPr>
          <w:p>
            <w:pPr>
              <w:spacing w:after="0"/>
              <w:rPr>
                <w:sz w:val="1"/>
                <w:szCs w:val="1"/>
                <w:color w:val="auto"/>
              </w:rPr>
            </w:pPr>
          </w:p>
        </w:tc>
      </w:tr>
      <w:tr>
        <w:trPr>
          <w:trHeight w:val="243"/>
        </w:trPr>
        <w:tc>
          <w:tcPr>
            <w:tcW w:w="3460" w:type="dxa"/>
            <w:vAlign w:val="bottom"/>
          </w:tcPr>
          <w:p>
            <w:pPr>
              <w:spacing w:after="0"/>
              <w:rPr>
                <w:sz w:val="20"/>
                <w:szCs w:val="20"/>
                <w:color w:val="auto"/>
              </w:rPr>
            </w:pPr>
            <w:r>
              <w:rPr>
                <w:rFonts w:ascii="Times New Roman" w:cs="Times New Roman" w:eastAsia="Times New Roman" w:hAnsi="Times New Roman"/>
                <w:sz w:val="20"/>
                <w:szCs w:val="20"/>
                <w:color w:val="auto"/>
              </w:rPr>
              <w:t>Lionel F. Conacher</w:t>
            </w:r>
          </w:p>
        </w:tc>
        <w:tc>
          <w:tcPr>
            <w:tcW w:w="186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35,955,734</w:t>
            </w:r>
          </w:p>
        </w:tc>
        <w:tc>
          <w:tcPr>
            <w:tcW w:w="120" w:type="dxa"/>
            <w:vAlign w:val="bottom"/>
          </w:tcPr>
          <w:p>
            <w:pPr>
              <w:spacing w:after="0"/>
              <w:rPr>
                <w:sz w:val="21"/>
                <w:szCs w:val="21"/>
                <w:color w:val="auto"/>
              </w:rPr>
            </w:pPr>
          </w:p>
        </w:tc>
        <w:tc>
          <w:tcPr>
            <w:tcW w:w="188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1,516,271</w:t>
            </w:r>
          </w:p>
        </w:tc>
        <w:tc>
          <w:tcPr>
            <w:tcW w:w="100" w:type="dxa"/>
            <w:vAlign w:val="bottom"/>
          </w:tcPr>
          <w:p>
            <w:pPr>
              <w:spacing w:after="0"/>
              <w:rPr>
                <w:sz w:val="21"/>
                <w:szCs w:val="21"/>
                <w:color w:val="auto"/>
              </w:rPr>
            </w:pPr>
          </w:p>
        </w:tc>
        <w:tc>
          <w:tcPr>
            <w:tcW w:w="188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181,306</w:t>
            </w:r>
          </w:p>
        </w:tc>
        <w:tc>
          <w:tcPr>
            <w:tcW w:w="100" w:type="dxa"/>
            <w:vAlign w:val="bottom"/>
          </w:tcPr>
          <w:p>
            <w:pPr>
              <w:spacing w:after="0"/>
              <w:rPr>
                <w:sz w:val="21"/>
                <w:szCs w:val="21"/>
                <w:color w:val="auto"/>
              </w:rPr>
            </w:pPr>
          </w:p>
        </w:tc>
        <w:tc>
          <w:tcPr>
            <w:tcW w:w="190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9,433,257</w:t>
            </w:r>
          </w:p>
        </w:tc>
        <w:tc>
          <w:tcPr>
            <w:tcW w:w="0" w:type="dxa"/>
            <w:vAlign w:val="bottom"/>
          </w:tcPr>
          <w:p>
            <w:pPr>
              <w:spacing w:after="0"/>
              <w:rPr>
                <w:sz w:val="1"/>
                <w:szCs w:val="1"/>
                <w:color w:val="auto"/>
              </w:rPr>
            </w:pPr>
          </w:p>
        </w:tc>
      </w:tr>
      <w:tr>
        <w:trPr>
          <w:trHeight w:val="243"/>
        </w:trPr>
        <w:tc>
          <w:tcPr>
            <w:tcW w:w="3460" w:type="dxa"/>
            <w:vAlign w:val="bottom"/>
          </w:tcPr>
          <w:p>
            <w:pPr>
              <w:spacing w:after="0"/>
              <w:rPr>
                <w:sz w:val="20"/>
                <w:szCs w:val="20"/>
                <w:color w:val="auto"/>
              </w:rPr>
            </w:pPr>
            <w:r>
              <w:rPr>
                <w:rFonts w:ascii="Times New Roman" w:cs="Times New Roman" w:eastAsia="Times New Roman" w:hAnsi="Times New Roman"/>
                <w:sz w:val="20"/>
                <w:szCs w:val="20"/>
                <w:color w:val="auto"/>
              </w:rPr>
              <w:t>Seymour Holtzman</w:t>
            </w:r>
          </w:p>
        </w:tc>
        <w:tc>
          <w:tcPr>
            <w:tcW w:w="186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31,640,638</w:t>
            </w:r>
          </w:p>
        </w:tc>
        <w:tc>
          <w:tcPr>
            <w:tcW w:w="120" w:type="dxa"/>
            <w:vAlign w:val="bottom"/>
          </w:tcPr>
          <w:p>
            <w:pPr>
              <w:spacing w:after="0"/>
              <w:rPr>
                <w:sz w:val="21"/>
                <w:szCs w:val="21"/>
                <w:color w:val="auto"/>
              </w:rPr>
            </w:pPr>
          </w:p>
        </w:tc>
        <w:tc>
          <w:tcPr>
            <w:tcW w:w="188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6,012,273</w:t>
            </w:r>
          </w:p>
        </w:tc>
        <w:tc>
          <w:tcPr>
            <w:tcW w:w="100" w:type="dxa"/>
            <w:vAlign w:val="bottom"/>
          </w:tcPr>
          <w:p>
            <w:pPr>
              <w:spacing w:after="0"/>
              <w:rPr>
                <w:sz w:val="21"/>
                <w:szCs w:val="21"/>
                <w:color w:val="auto"/>
              </w:rPr>
            </w:pPr>
          </w:p>
        </w:tc>
        <w:tc>
          <w:tcPr>
            <w:tcW w:w="188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400</w:t>
            </w:r>
          </w:p>
        </w:tc>
        <w:tc>
          <w:tcPr>
            <w:tcW w:w="100" w:type="dxa"/>
            <w:vAlign w:val="bottom"/>
          </w:tcPr>
          <w:p>
            <w:pPr>
              <w:spacing w:after="0"/>
              <w:rPr>
                <w:sz w:val="21"/>
                <w:szCs w:val="21"/>
                <w:color w:val="auto"/>
              </w:rPr>
            </w:pPr>
          </w:p>
        </w:tc>
        <w:tc>
          <w:tcPr>
            <w:tcW w:w="190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9,433,257</w:t>
            </w:r>
          </w:p>
        </w:tc>
        <w:tc>
          <w:tcPr>
            <w:tcW w:w="0" w:type="dxa"/>
            <w:vAlign w:val="bottom"/>
          </w:tcPr>
          <w:p>
            <w:pPr>
              <w:spacing w:after="0"/>
              <w:rPr>
                <w:sz w:val="1"/>
                <w:szCs w:val="1"/>
                <w:color w:val="auto"/>
              </w:rPr>
            </w:pPr>
          </w:p>
        </w:tc>
      </w:tr>
      <w:tr>
        <w:trPr>
          <w:trHeight w:val="243"/>
        </w:trPr>
        <w:tc>
          <w:tcPr>
            <w:tcW w:w="3460" w:type="dxa"/>
            <w:vAlign w:val="bottom"/>
          </w:tcPr>
          <w:p>
            <w:pPr>
              <w:spacing w:after="0"/>
              <w:rPr>
                <w:sz w:val="20"/>
                <w:szCs w:val="20"/>
                <w:color w:val="auto"/>
              </w:rPr>
            </w:pPr>
            <w:r>
              <w:rPr>
                <w:rFonts w:ascii="Times New Roman" w:cs="Times New Roman" w:eastAsia="Times New Roman" w:hAnsi="Times New Roman"/>
                <w:sz w:val="20"/>
                <w:szCs w:val="20"/>
                <w:color w:val="auto"/>
              </w:rPr>
              <w:t>Willem Mesdag</w:t>
            </w:r>
          </w:p>
        </w:tc>
        <w:tc>
          <w:tcPr>
            <w:tcW w:w="186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35,802,870</w:t>
            </w:r>
          </w:p>
        </w:tc>
        <w:tc>
          <w:tcPr>
            <w:tcW w:w="120" w:type="dxa"/>
            <w:vAlign w:val="bottom"/>
          </w:tcPr>
          <w:p>
            <w:pPr>
              <w:spacing w:after="0"/>
              <w:rPr>
                <w:sz w:val="21"/>
                <w:szCs w:val="21"/>
                <w:color w:val="auto"/>
              </w:rPr>
            </w:pPr>
          </w:p>
        </w:tc>
        <w:tc>
          <w:tcPr>
            <w:tcW w:w="188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1,850,281</w:t>
            </w:r>
          </w:p>
        </w:tc>
        <w:tc>
          <w:tcPr>
            <w:tcW w:w="100" w:type="dxa"/>
            <w:vAlign w:val="bottom"/>
          </w:tcPr>
          <w:p>
            <w:pPr>
              <w:spacing w:after="0"/>
              <w:rPr>
                <w:sz w:val="21"/>
                <w:szCs w:val="21"/>
                <w:color w:val="auto"/>
              </w:rPr>
            </w:pPr>
          </w:p>
        </w:tc>
        <w:tc>
          <w:tcPr>
            <w:tcW w:w="188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160</w:t>
            </w:r>
          </w:p>
        </w:tc>
        <w:tc>
          <w:tcPr>
            <w:tcW w:w="100" w:type="dxa"/>
            <w:vAlign w:val="bottom"/>
          </w:tcPr>
          <w:p>
            <w:pPr>
              <w:spacing w:after="0"/>
              <w:rPr>
                <w:sz w:val="21"/>
                <w:szCs w:val="21"/>
                <w:color w:val="auto"/>
              </w:rPr>
            </w:pPr>
          </w:p>
        </w:tc>
        <w:tc>
          <w:tcPr>
            <w:tcW w:w="190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9,433,257</w:t>
            </w:r>
          </w:p>
        </w:tc>
        <w:tc>
          <w:tcPr>
            <w:tcW w:w="0" w:type="dxa"/>
            <w:vAlign w:val="bottom"/>
          </w:tcPr>
          <w:p>
            <w:pPr>
              <w:spacing w:after="0"/>
              <w:rPr>
                <w:sz w:val="1"/>
                <w:szCs w:val="1"/>
                <w:color w:val="auto"/>
              </w:rPr>
            </w:pPr>
          </w:p>
        </w:tc>
      </w:tr>
      <w:tr>
        <w:trPr>
          <w:trHeight w:val="243"/>
        </w:trPr>
        <w:tc>
          <w:tcPr>
            <w:tcW w:w="3460" w:type="dxa"/>
            <w:vAlign w:val="bottom"/>
          </w:tcPr>
          <w:p>
            <w:pPr>
              <w:spacing w:after="0"/>
              <w:rPr>
                <w:sz w:val="20"/>
                <w:szCs w:val="20"/>
                <w:color w:val="auto"/>
              </w:rPr>
            </w:pPr>
            <w:r>
              <w:rPr>
                <w:rFonts w:ascii="Times New Roman" w:cs="Times New Roman" w:eastAsia="Times New Roman" w:hAnsi="Times New Roman"/>
                <w:sz w:val="20"/>
                <w:szCs w:val="20"/>
                <w:color w:val="auto"/>
              </w:rPr>
              <w:t>Ward K. Mooney</w:t>
            </w:r>
          </w:p>
        </w:tc>
        <w:tc>
          <w:tcPr>
            <w:tcW w:w="186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31,830,312</w:t>
            </w:r>
          </w:p>
        </w:tc>
        <w:tc>
          <w:tcPr>
            <w:tcW w:w="120" w:type="dxa"/>
            <w:vAlign w:val="bottom"/>
          </w:tcPr>
          <w:p>
            <w:pPr>
              <w:spacing w:after="0"/>
              <w:rPr>
                <w:sz w:val="21"/>
                <w:szCs w:val="21"/>
                <w:color w:val="auto"/>
              </w:rPr>
            </w:pPr>
          </w:p>
        </w:tc>
        <w:tc>
          <w:tcPr>
            <w:tcW w:w="188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5,822,599</w:t>
            </w:r>
          </w:p>
        </w:tc>
        <w:tc>
          <w:tcPr>
            <w:tcW w:w="100" w:type="dxa"/>
            <w:vAlign w:val="bottom"/>
          </w:tcPr>
          <w:p>
            <w:pPr>
              <w:spacing w:after="0"/>
              <w:rPr>
                <w:sz w:val="21"/>
                <w:szCs w:val="21"/>
                <w:color w:val="auto"/>
              </w:rPr>
            </w:pPr>
          </w:p>
        </w:tc>
        <w:tc>
          <w:tcPr>
            <w:tcW w:w="188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400</w:t>
            </w:r>
          </w:p>
        </w:tc>
        <w:tc>
          <w:tcPr>
            <w:tcW w:w="100" w:type="dxa"/>
            <w:vAlign w:val="bottom"/>
          </w:tcPr>
          <w:p>
            <w:pPr>
              <w:spacing w:after="0"/>
              <w:rPr>
                <w:sz w:val="21"/>
                <w:szCs w:val="21"/>
                <w:color w:val="auto"/>
              </w:rPr>
            </w:pPr>
          </w:p>
        </w:tc>
        <w:tc>
          <w:tcPr>
            <w:tcW w:w="190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9,433,257</w:t>
            </w:r>
          </w:p>
        </w:tc>
        <w:tc>
          <w:tcPr>
            <w:tcW w:w="0" w:type="dxa"/>
            <w:vAlign w:val="bottom"/>
          </w:tcPr>
          <w:p>
            <w:pPr>
              <w:spacing w:after="0"/>
              <w:rPr>
                <w:sz w:val="1"/>
                <w:szCs w:val="1"/>
                <w:color w:val="auto"/>
              </w:rPr>
            </w:pPr>
          </w:p>
        </w:tc>
      </w:tr>
      <w:tr>
        <w:trPr>
          <w:trHeight w:val="243"/>
        </w:trPr>
        <w:tc>
          <w:tcPr>
            <w:tcW w:w="3460" w:type="dxa"/>
            <w:vAlign w:val="bottom"/>
          </w:tcPr>
          <w:p>
            <w:pPr>
              <w:spacing w:after="0"/>
              <w:rPr>
                <w:sz w:val="20"/>
                <w:szCs w:val="20"/>
                <w:color w:val="auto"/>
              </w:rPr>
            </w:pPr>
            <w:r>
              <w:rPr>
                <w:rFonts w:ascii="Times New Roman" w:cs="Times New Roman" w:eastAsia="Times New Roman" w:hAnsi="Times New Roman"/>
                <w:sz w:val="20"/>
                <w:szCs w:val="20"/>
                <w:color w:val="auto"/>
              </w:rPr>
              <w:t>Mitchell S. Presser</w:t>
            </w:r>
          </w:p>
        </w:tc>
        <w:tc>
          <w:tcPr>
            <w:tcW w:w="186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29,557,352</w:t>
            </w:r>
          </w:p>
        </w:tc>
        <w:tc>
          <w:tcPr>
            <w:tcW w:w="120" w:type="dxa"/>
            <w:vAlign w:val="bottom"/>
          </w:tcPr>
          <w:p>
            <w:pPr>
              <w:spacing w:after="0"/>
              <w:rPr>
                <w:sz w:val="21"/>
                <w:szCs w:val="21"/>
                <w:color w:val="auto"/>
              </w:rPr>
            </w:pPr>
          </w:p>
        </w:tc>
        <w:tc>
          <w:tcPr>
            <w:tcW w:w="188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8,095,549</w:t>
            </w:r>
          </w:p>
        </w:tc>
        <w:tc>
          <w:tcPr>
            <w:tcW w:w="100" w:type="dxa"/>
            <w:vAlign w:val="bottom"/>
          </w:tcPr>
          <w:p>
            <w:pPr>
              <w:spacing w:after="0"/>
              <w:rPr>
                <w:sz w:val="21"/>
                <w:szCs w:val="21"/>
                <w:color w:val="auto"/>
              </w:rPr>
            </w:pPr>
          </w:p>
        </w:tc>
        <w:tc>
          <w:tcPr>
            <w:tcW w:w="188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410</w:t>
            </w:r>
          </w:p>
        </w:tc>
        <w:tc>
          <w:tcPr>
            <w:tcW w:w="100" w:type="dxa"/>
            <w:vAlign w:val="bottom"/>
          </w:tcPr>
          <w:p>
            <w:pPr>
              <w:spacing w:after="0"/>
              <w:rPr>
                <w:sz w:val="21"/>
                <w:szCs w:val="21"/>
                <w:color w:val="auto"/>
              </w:rPr>
            </w:pPr>
          </w:p>
        </w:tc>
        <w:tc>
          <w:tcPr>
            <w:tcW w:w="190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9,433,257</w:t>
            </w:r>
          </w:p>
        </w:tc>
        <w:tc>
          <w:tcPr>
            <w:tcW w:w="0" w:type="dxa"/>
            <w:vAlign w:val="bottom"/>
          </w:tcPr>
          <w:p>
            <w:pPr>
              <w:spacing w:after="0"/>
              <w:rPr>
                <w:sz w:val="1"/>
                <w:szCs w:val="1"/>
                <w:color w:val="auto"/>
              </w:rPr>
            </w:pPr>
          </w:p>
        </w:tc>
      </w:tr>
      <w:tr>
        <w:trPr>
          <w:trHeight w:val="258"/>
        </w:trPr>
        <w:tc>
          <w:tcPr>
            <w:tcW w:w="3460" w:type="dxa"/>
            <w:vAlign w:val="bottom"/>
          </w:tcPr>
          <w:p>
            <w:pPr>
              <w:spacing w:after="0"/>
              <w:rPr>
                <w:sz w:val="20"/>
                <w:szCs w:val="20"/>
                <w:color w:val="auto"/>
              </w:rPr>
            </w:pPr>
            <w:r>
              <w:rPr>
                <w:rFonts w:ascii="Times New Roman" w:cs="Times New Roman" w:eastAsia="Times New Roman" w:hAnsi="Times New Roman"/>
                <w:sz w:val="20"/>
                <w:szCs w:val="20"/>
                <w:color w:val="auto"/>
              </w:rPr>
              <w:t>Ivy Ross</w:t>
            </w:r>
          </w:p>
        </w:tc>
        <w:tc>
          <w:tcPr>
            <w:tcW w:w="186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36,053,858</w:t>
            </w:r>
          </w:p>
        </w:tc>
        <w:tc>
          <w:tcPr>
            <w:tcW w:w="120" w:type="dxa"/>
            <w:vAlign w:val="bottom"/>
          </w:tcPr>
          <w:p>
            <w:pPr>
              <w:spacing w:after="0"/>
              <w:rPr>
                <w:sz w:val="22"/>
                <w:szCs w:val="22"/>
                <w:color w:val="auto"/>
              </w:rPr>
            </w:pPr>
          </w:p>
        </w:tc>
        <w:tc>
          <w:tcPr>
            <w:tcW w:w="188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1,599,343</w:t>
            </w:r>
          </w:p>
        </w:tc>
        <w:tc>
          <w:tcPr>
            <w:tcW w:w="100" w:type="dxa"/>
            <w:vAlign w:val="bottom"/>
          </w:tcPr>
          <w:p>
            <w:pPr>
              <w:spacing w:after="0"/>
              <w:rPr>
                <w:sz w:val="22"/>
                <w:szCs w:val="22"/>
                <w:color w:val="auto"/>
              </w:rPr>
            </w:pPr>
          </w:p>
        </w:tc>
        <w:tc>
          <w:tcPr>
            <w:tcW w:w="188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110</w:t>
            </w:r>
          </w:p>
        </w:tc>
        <w:tc>
          <w:tcPr>
            <w:tcW w:w="100" w:type="dxa"/>
            <w:vAlign w:val="bottom"/>
          </w:tcPr>
          <w:p>
            <w:pPr>
              <w:spacing w:after="0"/>
              <w:rPr>
                <w:sz w:val="22"/>
                <w:szCs w:val="22"/>
                <w:color w:val="auto"/>
              </w:rPr>
            </w:pPr>
          </w:p>
        </w:tc>
        <w:tc>
          <w:tcPr>
            <w:tcW w:w="190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9,433,257</w:t>
            </w:r>
          </w:p>
        </w:tc>
        <w:tc>
          <w:tcPr>
            <w:tcW w:w="0" w:type="dxa"/>
            <w:vAlign w:val="bottom"/>
          </w:tcPr>
          <w:p>
            <w:pPr>
              <w:spacing w:after="0"/>
              <w:rPr>
                <w:sz w:val="1"/>
                <w:szCs w:val="1"/>
                <w:color w:val="auto"/>
              </w:rPr>
            </w:pPr>
          </w:p>
        </w:tc>
      </w:tr>
    </w:tbl>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u w:val="single" w:color="auto"/>
          <w:color w:val="auto"/>
        </w:rPr>
        <w:t>Proposal 2: Advisory Vote on Compensation of Named Executive Officers.</w:t>
      </w:r>
    </w:p>
    <w:p>
      <w:pPr>
        <w:spacing w:after="0" w:line="210" w:lineRule="exact"/>
        <w:rPr>
          <w:sz w:val="20"/>
          <w:szCs w:val="20"/>
          <w:color w:val="auto"/>
        </w:rPr>
      </w:pPr>
    </w:p>
    <w:p>
      <w:pPr>
        <w:ind w:right="660"/>
        <w:spacing w:after="0" w:line="258" w:lineRule="auto"/>
        <w:rPr>
          <w:sz w:val="20"/>
          <w:szCs w:val="20"/>
          <w:color w:val="auto"/>
        </w:rPr>
      </w:pPr>
      <w:r>
        <w:rPr>
          <w:rFonts w:ascii="Times New Roman" w:cs="Times New Roman" w:eastAsia="Times New Roman" w:hAnsi="Times New Roman"/>
          <w:sz w:val="22"/>
          <w:szCs w:val="22"/>
          <w:color w:val="auto"/>
        </w:rPr>
        <w:t>The compensation of the Company's named executive officers was approved by a non-binding advisory vote based upon the following votes:</w:t>
      </w:r>
    </w:p>
    <w:p>
      <w:pPr>
        <w:spacing w:after="0" w:line="181"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2320" w:type="dxa"/>
            <w:vAlign w:val="bottom"/>
            <w:gridSpan w:val="2"/>
          </w:tcPr>
          <w:p>
            <w:pPr>
              <w:ind w:left="920"/>
              <w:spacing w:after="0"/>
              <w:rPr>
                <w:sz w:val="20"/>
                <w:szCs w:val="20"/>
                <w:color w:val="auto"/>
              </w:rPr>
            </w:pPr>
            <w:r>
              <w:rPr>
                <w:rFonts w:ascii="Times New Roman" w:cs="Times New Roman" w:eastAsia="Times New Roman" w:hAnsi="Times New Roman"/>
                <w:sz w:val="18"/>
                <w:szCs w:val="18"/>
                <w:color w:val="auto"/>
              </w:rPr>
              <w:t>FOR</w:t>
            </w:r>
          </w:p>
        </w:tc>
        <w:tc>
          <w:tcPr>
            <w:tcW w:w="2280" w:type="dxa"/>
            <w:vAlign w:val="bottom"/>
            <w:gridSpan w:val="2"/>
          </w:tcPr>
          <w:p>
            <w:pPr>
              <w:ind w:left="680"/>
              <w:spacing w:after="0"/>
              <w:rPr>
                <w:sz w:val="20"/>
                <w:szCs w:val="20"/>
                <w:color w:val="auto"/>
              </w:rPr>
            </w:pPr>
            <w:r>
              <w:rPr>
                <w:rFonts w:ascii="Times New Roman" w:cs="Times New Roman" w:eastAsia="Times New Roman" w:hAnsi="Times New Roman"/>
                <w:sz w:val="18"/>
                <w:szCs w:val="18"/>
                <w:color w:val="auto"/>
              </w:rPr>
              <w:t>AGAINST</w:t>
            </w:r>
          </w:p>
        </w:tc>
        <w:tc>
          <w:tcPr>
            <w:tcW w:w="2260" w:type="dxa"/>
            <w:vAlign w:val="bottom"/>
            <w:gridSpan w:val="2"/>
          </w:tcPr>
          <w:p>
            <w:pPr>
              <w:ind w:left="700"/>
              <w:spacing w:after="0"/>
              <w:rPr>
                <w:sz w:val="20"/>
                <w:szCs w:val="20"/>
                <w:color w:val="auto"/>
              </w:rPr>
            </w:pPr>
            <w:r>
              <w:rPr>
                <w:rFonts w:ascii="Times New Roman" w:cs="Times New Roman" w:eastAsia="Times New Roman" w:hAnsi="Times New Roman"/>
                <w:sz w:val="18"/>
                <w:szCs w:val="18"/>
                <w:color w:val="auto"/>
              </w:rPr>
              <w:t>ABSTAIN</w:t>
            </w:r>
          </w:p>
        </w:tc>
        <w:tc>
          <w:tcPr>
            <w:tcW w:w="2160" w:type="dxa"/>
            <w:vAlign w:val="bottom"/>
          </w:tcPr>
          <w:p>
            <w:pPr>
              <w:jc w:val="right"/>
              <w:ind w:right="325"/>
              <w:spacing w:after="0"/>
              <w:rPr>
                <w:sz w:val="20"/>
                <w:szCs w:val="20"/>
                <w:color w:val="auto"/>
              </w:rPr>
            </w:pPr>
            <w:r>
              <w:rPr>
                <w:rFonts w:ascii="Times New Roman" w:cs="Times New Roman" w:eastAsia="Times New Roman" w:hAnsi="Times New Roman"/>
                <w:sz w:val="18"/>
                <w:szCs w:val="18"/>
                <w:color w:val="auto"/>
              </w:rPr>
              <w:t>Broker Non-Votes</w:t>
            </w:r>
          </w:p>
        </w:tc>
      </w:tr>
      <w:tr>
        <w:trPr>
          <w:trHeight w:val="252"/>
        </w:trPr>
        <w:tc>
          <w:tcPr>
            <w:tcW w:w="22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30,502,707</w:t>
            </w:r>
          </w:p>
        </w:tc>
        <w:tc>
          <w:tcPr>
            <w:tcW w:w="120" w:type="dxa"/>
            <w:vAlign w:val="bottom"/>
          </w:tcPr>
          <w:p>
            <w:pPr>
              <w:spacing w:after="0"/>
              <w:rPr>
                <w:sz w:val="21"/>
                <w:szCs w:val="21"/>
                <w:color w:val="auto"/>
              </w:rPr>
            </w:pPr>
          </w:p>
        </w:tc>
        <w:tc>
          <w:tcPr>
            <w:tcW w:w="21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2,760,748</w:t>
            </w:r>
          </w:p>
        </w:tc>
        <w:tc>
          <w:tcPr>
            <w:tcW w:w="100" w:type="dxa"/>
            <w:vAlign w:val="bottom"/>
          </w:tcPr>
          <w:p>
            <w:pPr>
              <w:spacing w:after="0"/>
              <w:rPr>
                <w:sz w:val="21"/>
                <w:szCs w:val="21"/>
                <w:color w:val="auto"/>
              </w:rPr>
            </w:pPr>
          </w:p>
        </w:tc>
        <w:tc>
          <w:tcPr>
            <w:tcW w:w="21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4,389,856</w:t>
            </w:r>
          </w:p>
        </w:tc>
        <w:tc>
          <w:tcPr>
            <w:tcW w:w="100" w:type="dxa"/>
            <w:vAlign w:val="bottom"/>
          </w:tcPr>
          <w:p>
            <w:pPr>
              <w:spacing w:after="0"/>
              <w:rPr>
                <w:sz w:val="21"/>
                <w:szCs w:val="21"/>
                <w:color w:val="auto"/>
              </w:rPr>
            </w:pPr>
          </w:p>
        </w:tc>
        <w:tc>
          <w:tcPr>
            <w:tcW w:w="21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9,433,257</w:t>
            </w:r>
          </w:p>
        </w:tc>
      </w:tr>
    </w:tbl>
    <w:p>
      <w:pPr>
        <w:spacing w:after="0" w:line="17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2"/>
          <w:szCs w:val="22"/>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67310</wp:posOffset>
            </wp:positionV>
            <wp:extent cx="7289165" cy="425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00"/>
          </w:cols>
          <w:pgMar w:left="240" w:top="108" w:right="259" w:bottom="1440" w:gutter="0" w:footer="0" w:header="0"/>
        </w:sectPr>
      </w:pPr>
    </w:p>
    <w:bookmarkStart w:id="2" w:name="page3"/>
    <w:bookmarkEnd w:id="2"/>
    <w:p>
      <w:pPr>
        <w:ind w:right="20"/>
        <w:spacing w:after="0" w:line="262" w:lineRule="auto"/>
        <w:rPr>
          <w:sz w:val="20"/>
          <w:szCs w:val="20"/>
          <w:color w:val="auto"/>
        </w:rPr>
      </w:pPr>
      <w:r>
        <w:rPr>
          <w:rFonts w:ascii="Times New Roman" w:cs="Times New Roman" w:eastAsia="Times New Roman" w:hAnsi="Times New Roman"/>
          <w:sz w:val="22"/>
          <w:szCs w:val="22"/>
          <w:b w:val="1"/>
          <w:bCs w:val="1"/>
          <w:u w:val="single" w:color="auto"/>
          <w:color w:val="auto"/>
        </w:rPr>
        <w:t>Proposal 3: Approval of Amendments to the Company’s 2016 Incentive Compensation Plan to increase the total number of shares of common stock authorized for issuance under the plan by 2,800,000 shares.</w:t>
      </w:r>
    </w:p>
    <w:p>
      <w:pPr>
        <w:spacing w:after="0" w:line="154" w:lineRule="exact"/>
        <w:rPr>
          <w:sz w:val="20"/>
          <w:szCs w:val="20"/>
          <w:color w:val="auto"/>
        </w:rPr>
      </w:pPr>
    </w:p>
    <w:p>
      <w:pPr>
        <w:ind w:right="440"/>
        <w:spacing w:after="0" w:line="258" w:lineRule="auto"/>
        <w:rPr>
          <w:sz w:val="20"/>
          <w:szCs w:val="20"/>
          <w:color w:val="auto"/>
        </w:rPr>
      </w:pPr>
      <w:r>
        <w:rPr>
          <w:rFonts w:ascii="Times New Roman" w:cs="Times New Roman" w:eastAsia="Times New Roman" w:hAnsi="Times New Roman"/>
          <w:sz w:val="22"/>
          <w:szCs w:val="22"/>
          <w:color w:val="auto"/>
        </w:rPr>
        <w:t>The Amendments to the Company’s 2016 Incentive Compensation Plan were approved by a majority of the votes properly cast based upon the following votes:</w:t>
      </w:r>
    </w:p>
    <w:p>
      <w:pPr>
        <w:spacing w:after="0" w:line="181"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2960" w:type="dxa"/>
            <w:vAlign w:val="bottom"/>
            <w:gridSpan w:val="2"/>
          </w:tcPr>
          <w:p>
            <w:pPr>
              <w:ind w:left="860"/>
              <w:spacing w:after="0"/>
              <w:rPr>
                <w:sz w:val="20"/>
                <w:szCs w:val="20"/>
                <w:color w:val="auto"/>
              </w:rPr>
            </w:pPr>
            <w:r>
              <w:rPr>
                <w:rFonts w:ascii="Times New Roman" w:cs="Times New Roman" w:eastAsia="Times New Roman" w:hAnsi="Times New Roman"/>
                <w:sz w:val="18"/>
                <w:szCs w:val="18"/>
                <w:color w:val="auto"/>
              </w:rPr>
              <w:t>FOR</w:t>
            </w:r>
          </w:p>
        </w:tc>
        <w:tc>
          <w:tcPr>
            <w:tcW w:w="2800" w:type="dxa"/>
            <w:vAlign w:val="bottom"/>
            <w:gridSpan w:val="2"/>
          </w:tcPr>
          <w:p>
            <w:pPr>
              <w:ind w:left="560"/>
              <w:spacing w:after="0"/>
              <w:rPr>
                <w:sz w:val="20"/>
                <w:szCs w:val="20"/>
                <w:color w:val="auto"/>
              </w:rPr>
            </w:pPr>
            <w:r>
              <w:rPr>
                <w:rFonts w:ascii="Times New Roman" w:cs="Times New Roman" w:eastAsia="Times New Roman" w:hAnsi="Times New Roman"/>
                <w:sz w:val="18"/>
                <w:szCs w:val="18"/>
                <w:color w:val="auto"/>
              </w:rPr>
              <w:t>AGAINST</w:t>
            </w:r>
          </w:p>
        </w:tc>
        <w:tc>
          <w:tcPr>
            <w:tcW w:w="2820" w:type="dxa"/>
            <w:vAlign w:val="bottom"/>
            <w:gridSpan w:val="2"/>
          </w:tcPr>
          <w:p>
            <w:pPr>
              <w:ind w:left="580"/>
              <w:spacing w:after="0"/>
              <w:rPr>
                <w:sz w:val="20"/>
                <w:szCs w:val="20"/>
                <w:color w:val="auto"/>
              </w:rPr>
            </w:pPr>
            <w:r>
              <w:rPr>
                <w:rFonts w:ascii="Times New Roman" w:cs="Times New Roman" w:eastAsia="Times New Roman" w:hAnsi="Times New Roman"/>
                <w:sz w:val="18"/>
                <w:szCs w:val="18"/>
                <w:color w:val="auto"/>
              </w:rPr>
              <w:t>ABSTAIN</w:t>
            </w:r>
          </w:p>
        </w:tc>
        <w:tc>
          <w:tcPr>
            <w:tcW w:w="1960" w:type="dxa"/>
            <w:vAlign w:val="bottom"/>
          </w:tcPr>
          <w:p>
            <w:pPr>
              <w:jc w:val="right"/>
              <w:ind w:right="245"/>
              <w:spacing w:after="0"/>
              <w:rPr>
                <w:sz w:val="20"/>
                <w:szCs w:val="20"/>
                <w:color w:val="auto"/>
              </w:rPr>
            </w:pPr>
            <w:r>
              <w:rPr>
                <w:rFonts w:ascii="Times New Roman" w:cs="Times New Roman" w:eastAsia="Times New Roman" w:hAnsi="Times New Roman"/>
                <w:sz w:val="18"/>
                <w:szCs w:val="18"/>
                <w:color w:val="auto"/>
              </w:rPr>
              <w:t>Broker Non-Votes</w:t>
            </w:r>
          </w:p>
        </w:tc>
      </w:tr>
      <w:tr>
        <w:trPr>
          <w:trHeight w:val="252"/>
        </w:trPr>
        <w:tc>
          <w:tcPr>
            <w:tcW w:w="20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29,556,261</w:t>
            </w:r>
          </w:p>
        </w:tc>
        <w:tc>
          <w:tcPr>
            <w:tcW w:w="880" w:type="dxa"/>
            <w:vAlign w:val="bottom"/>
          </w:tcPr>
          <w:p>
            <w:pPr>
              <w:spacing w:after="0"/>
              <w:rPr>
                <w:sz w:val="21"/>
                <w:szCs w:val="21"/>
                <w:color w:val="auto"/>
              </w:rPr>
            </w:pPr>
          </w:p>
        </w:tc>
        <w:tc>
          <w:tcPr>
            <w:tcW w:w="19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3,753,660</w:t>
            </w:r>
          </w:p>
        </w:tc>
        <w:tc>
          <w:tcPr>
            <w:tcW w:w="860" w:type="dxa"/>
            <w:vAlign w:val="bottom"/>
          </w:tcPr>
          <w:p>
            <w:pPr>
              <w:spacing w:after="0"/>
              <w:rPr>
                <w:sz w:val="21"/>
                <w:szCs w:val="21"/>
                <w:color w:val="auto"/>
              </w:rPr>
            </w:pPr>
          </w:p>
        </w:tc>
        <w:tc>
          <w:tcPr>
            <w:tcW w:w="19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4,343,390</w:t>
            </w:r>
          </w:p>
        </w:tc>
        <w:tc>
          <w:tcPr>
            <w:tcW w:w="880" w:type="dxa"/>
            <w:vAlign w:val="bottom"/>
          </w:tcPr>
          <w:p>
            <w:pPr>
              <w:spacing w:after="0"/>
              <w:rPr>
                <w:sz w:val="21"/>
                <w:szCs w:val="21"/>
                <w:color w:val="auto"/>
              </w:rPr>
            </w:pPr>
          </w:p>
        </w:tc>
        <w:tc>
          <w:tcPr>
            <w:tcW w:w="19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9,433,257</w:t>
            </w:r>
          </w:p>
        </w:tc>
      </w:tr>
    </w:tbl>
    <w:p>
      <w:pPr>
        <w:spacing w:after="0" w:line="169"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u w:val="single" w:color="auto"/>
          <w:color w:val="auto"/>
        </w:rPr>
        <w:t>Proposal 4: Ratification of Appointment of Independent Registered Public Accountants.</w:t>
      </w:r>
    </w:p>
    <w:p>
      <w:pPr>
        <w:spacing w:after="0" w:line="210"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The appointment of KPMG LLP as the Company’s independent registered public accounting firm for fiscal year ending February 1,</w:t>
      </w:r>
    </w:p>
    <w:p>
      <w:pPr>
        <w:spacing w:after="0" w:line="26"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2020 was ratified based upon the following votes:</w:t>
      </w:r>
    </w:p>
    <w:p>
      <w:pPr>
        <w:spacing w:after="0" w:line="205"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2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2680" w:type="dxa"/>
            <w:vAlign w:val="bottom"/>
          </w:tcPr>
          <w:p>
            <w:pPr>
              <w:jc w:val="right"/>
              <w:ind w:right="1521"/>
              <w:spacing w:after="0"/>
              <w:rPr>
                <w:sz w:val="20"/>
                <w:szCs w:val="20"/>
                <w:color w:val="auto"/>
              </w:rPr>
            </w:pPr>
            <w:r>
              <w:rPr>
                <w:rFonts w:ascii="Times New Roman" w:cs="Times New Roman" w:eastAsia="Times New Roman" w:hAnsi="Times New Roman"/>
                <w:sz w:val="18"/>
                <w:szCs w:val="18"/>
                <w:color w:val="auto"/>
              </w:rPr>
              <w:t>FOR</w:t>
            </w:r>
          </w:p>
        </w:tc>
        <w:tc>
          <w:tcPr>
            <w:tcW w:w="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2960" w:type="dxa"/>
            <w:vAlign w:val="bottom"/>
            <w:gridSpan w:val="2"/>
          </w:tcPr>
          <w:p>
            <w:pPr>
              <w:ind w:left="600"/>
              <w:spacing w:after="0"/>
              <w:rPr>
                <w:sz w:val="20"/>
                <w:szCs w:val="20"/>
                <w:color w:val="auto"/>
              </w:rPr>
            </w:pPr>
            <w:r>
              <w:rPr>
                <w:rFonts w:ascii="Times New Roman" w:cs="Times New Roman" w:eastAsia="Times New Roman" w:hAnsi="Times New Roman"/>
                <w:sz w:val="18"/>
                <w:szCs w:val="18"/>
                <w:color w:val="auto"/>
              </w:rPr>
              <w:t>AGAINST</w:t>
            </w:r>
          </w:p>
        </w:tc>
        <w:tc>
          <w:tcPr>
            <w:tcW w:w="3700" w:type="dxa"/>
            <w:vAlign w:val="bottom"/>
            <w:gridSpan w:val="2"/>
          </w:tcPr>
          <w:p>
            <w:pPr>
              <w:ind w:left="1460"/>
              <w:spacing w:after="0"/>
              <w:rPr>
                <w:sz w:val="20"/>
                <w:szCs w:val="20"/>
                <w:color w:val="auto"/>
              </w:rPr>
            </w:pPr>
            <w:r>
              <w:rPr>
                <w:rFonts w:ascii="Times New Roman" w:cs="Times New Roman" w:eastAsia="Times New Roman" w:hAnsi="Times New Roman"/>
                <w:sz w:val="18"/>
                <w:szCs w:val="18"/>
                <w:color w:val="auto"/>
              </w:rPr>
              <w:t>ABSTAIN</w:t>
            </w:r>
          </w:p>
        </w:tc>
        <w:tc>
          <w:tcPr>
            <w:tcW w:w="140" w:type="dxa"/>
            <w:vAlign w:val="bottom"/>
          </w:tcPr>
          <w:p>
            <w:pPr>
              <w:spacing w:after="0"/>
              <w:rPr>
                <w:sz w:val="20"/>
                <w:szCs w:val="20"/>
                <w:color w:val="auto"/>
              </w:rPr>
            </w:pPr>
          </w:p>
        </w:tc>
      </w:tr>
      <w:tr>
        <w:trPr>
          <w:trHeight w:val="252"/>
        </w:trPr>
        <w:tc>
          <w:tcPr>
            <w:tcW w:w="20" w:type="dxa"/>
            <w:vAlign w:val="bottom"/>
          </w:tcPr>
          <w:p>
            <w:pPr>
              <w:spacing w:after="0"/>
              <w:rPr>
                <w:sz w:val="21"/>
                <w:szCs w:val="21"/>
                <w:color w:val="auto"/>
              </w:rPr>
            </w:pPr>
          </w:p>
        </w:tc>
        <w:tc>
          <w:tcPr>
            <w:tcW w:w="3620" w:type="dxa"/>
            <w:vAlign w:val="bottom"/>
            <w:tcBorders>
              <w:top w:val="single" w:sz="8" w:color="auto"/>
            </w:tcBorders>
            <w:gridSpan w:val="2"/>
          </w:tcPr>
          <w:p>
            <w:pPr>
              <w:jc w:val="right"/>
              <w:ind w:right="1201"/>
              <w:spacing w:after="0"/>
              <w:rPr>
                <w:sz w:val="20"/>
                <w:szCs w:val="20"/>
                <w:color w:val="auto"/>
              </w:rPr>
            </w:pPr>
            <w:r>
              <w:rPr>
                <w:rFonts w:ascii="Times New Roman" w:cs="Times New Roman" w:eastAsia="Times New Roman" w:hAnsi="Times New Roman"/>
                <w:sz w:val="20"/>
                <w:szCs w:val="20"/>
                <w:color w:val="auto"/>
              </w:rPr>
              <w:t>46,808,948</w:t>
            </w:r>
          </w:p>
        </w:tc>
        <w:tc>
          <w:tcPr>
            <w:tcW w:w="60" w:type="dxa"/>
            <w:vAlign w:val="bottom"/>
            <w:tcBorders>
              <w:top w:val="single" w:sz="8" w:color="auto"/>
            </w:tcBorders>
          </w:tcPr>
          <w:p>
            <w:pPr>
              <w:spacing w:after="0"/>
              <w:rPr>
                <w:sz w:val="21"/>
                <w:szCs w:val="21"/>
                <w:color w:val="auto"/>
              </w:rPr>
            </w:pPr>
          </w:p>
        </w:tc>
        <w:tc>
          <w:tcPr>
            <w:tcW w:w="100" w:type="dxa"/>
            <w:vAlign w:val="bottom"/>
          </w:tcPr>
          <w:p>
            <w:pPr>
              <w:spacing w:after="0"/>
              <w:rPr>
                <w:sz w:val="21"/>
                <w:szCs w:val="21"/>
                <w:color w:val="auto"/>
              </w:rPr>
            </w:pPr>
          </w:p>
        </w:tc>
        <w:tc>
          <w:tcPr>
            <w:tcW w:w="3680" w:type="dxa"/>
            <w:vAlign w:val="bottom"/>
            <w:tcBorders>
              <w:top w:val="single" w:sz="8" w:color="auto"/>
            </w:tcBorders>
            <w:gridSpan w:val="2"/>
          </w:tcPr>
          <w:p>
            <w:pPr>
              <w:jc w:val="right"/>
              <w:ind w:right="1370"/>
              <w:spacing w:after="0"/>
              <w:rPr>
                <w:sz w:val="20"/>
                <w:szCs w:val="20"/>
                <w:color w:val="auto"/>
              </w:rPr>
            </w:pPr>
            <w:r>
              <w:rPr>
                <w:rFonts w:ascii="Times New Roman" w:cs="Times New Roman" w:eastAsia="Times New Roman" w:hAnsi="Times New Roman"/>
                <w:sz w:val="20"/>
                <w:szCs w:val="20"/>
                <w:color w:val="auto"/>
              </w:rPr>
              <w:t>277,405</w:t>
            </w:r>
          </w:p>
        </w:tc>
        <w:tc>
          <w:tcPr>
            <w:tcW w:w="120" w:type="dxa"/>
            <w:vAlign w:val="bottom"/>
          </w:tcPr>
          <w:p>
            <w:pPr>
              <w:spacing w:after="0"/>
              <w:rPr>
                <w:sz w:val="21"/>
                <w:szCs w:val="21"/>
                <w:color w:val="auto"/>
              </w:rPr>
            </w:pPr>
          </w:p>
        </w:tc>
        <w:tc>
          <w:tcPr>
            <w:tcW w:w="2780" w:type="dxa"/>
            <w:vAlign w:val="bottom"/>
            <w:tcBorders>
              <w:top w:val="single" w:sz="8" w:color="auto"/>
            </w:tcBorders>
          </w:tcPr>
          <w:p>
            <w:pPr>
              <w:jc w:val="right"/>
              <w:ind w:right="645"/>
              <w:spacing w:after="0"/>
              <w:rPr>
                <w:sz w:val="20"/>
                <w:szCs w:val="20"/>
                <w:color w:val="auto"/>
              </w:rPr>
            </w:pPr>
            <w:r>
              <w:rPr>
                <w:rFonts w:ascii="Times New Roman" w:cs="Times New Roman" w:eastAsia="Times New Roman" w:hAnsi="Times New Roman"/>
                <w:sz w:val="20"/>
                <w:szCs w:val="20"/>
                <w:color w:val="auto"/>
              </w:rPr>
              <w:t>215</w:t>
            </w:r>
          </w:p>
        </w:tc>
        <w:tc>
          <w:tcPr>
            <w:tcW w:w="920" w:type="dxa"/>
            <w:vAlign w:val="bottom"/>
            <w:tcBorders>
              <w:top w:val="single" w:sz="8" w:color="auto"/>
            </w:tcBorders>
          </w:tcPr>
          <w:p>
            <w:pPr>
              <w:spacing w:after="0"/>
              <w:rPr>
                <w:sz w:val="21"/>
                <w:szCs w:val="21"/>
                <w:color w:val="auto"/>
              </w:rPr>
            </w:pPr>
          </w:p>
        </w:tc>
        <w:tc>
          <w:tcPr>
            <w:tcW w:w="140" w:type="dxa"/>
            <w:vAlign w:val="bottom"/>
          </w:tcPr>
          <w:p>
            <w:pPr>
              <w:spacing w:after="0"/>
              <w:rPr>
                <w:sz w:val="21"/>
                <w:szCs w:val="21"/>
                <w:color w:val="auto"/>
              </w:rPr>
            </w:pPr>
          </w:p>
        </w:tc>
      </w:tr>
      <w:tr>
        <w:trPr>
          <w:trHeight w:val="672"/>
        </w:trPr>
        <w:tc>
          <w:tcPr>
            <w:tcW w:w="7600" w:type="dxa"/>
            <w:vAlign w:val="bottom"/>
            <w:gridSpan w:val="8"/>
          </w:tcPr>
          <w:p>
            <w:pPr>
              <w:spacing w:after="0"/>
              <w:rPr>
                <w:sz w:val="20"/>
                <w:szCs w:val="20"/>
                <w:color w:val="auto"/>
              </w:rPr>
            </w:pPr>
            <w:r>
              <w:rPr>
                <w:rFonts w:ascii="Times New Roman" w:cs="Times New Roman" w:eastAsia="Times New Roman" w:hAnsi="Times New Roman"/>
                <w:sz w:val="22"/>
                <w:szCs w:val="22"/>
                <w:b w:val="1"/>
                <w:bCs w:val="1"/>
                <w:color w:val="auto"/>
              </w:rPr>
              <w:t>ITEM 9.01 FINANCIAL STATEMENTS AND EXHIBITS.</w:t>
            </w:r>
          </w:p>
        </w:tc>
        <w:tc>
          <w:tcPr>
            <w:tcW w:w="278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140" w:type="dxa"/>
            <w:vAlign w:val="bottom"/>
          </w:tcPr>
          <w:p>
            <w:pPr>
              <w:spacing w:after="0"/>
              <w:rPr>
                <w:sz w:val="24"/>
                <w:szCs w:val="24"/>
                <w:color w:val="auto"/>
              </w:rPr>
            </w:pPr>
          </w:p>
        </w:tc>
      </w:tr>
      <w:tr>
        <w:trPr>
          <w:trHeight w:val="486"/>
        </w:trPr>
        <w:tc>
          <w:tcPr>
            <w:tcW w:w="2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2680" w:type="dxa"/>
            <w:vAlign w:val="bottom"/>
          </w:tcPr>
          <w:p>
            <w:pPr>
              <w:jc w:val="right"/>
              <w:ind w:right="1361"/>
              <w:spacing w:after="0"/>
              <w:rPr>
                <w:sz w:val="20"/>
                <w:szCs w:val="20"/>
                <w:color w:val="auto"/>
              </w:rPr>
            </w:pPr>
            <w:r>
              <w:rPr>
                <w:rFonts w:ascii="Times New Roman" w:cs="Times New Roman" w:eastAsia="Times New Roman" w:hAnsi="Times New Roman"/>
                <w:sz w:val="22"/>
                <w:szCs w:val="22"/>
                <w:color w:val="auto"/>
              </w:rPr>
              <w:t>(d) Exhibits</w:t>
            </w:r>
          </w:p>
        </w:tc>
        <w:tc>
          <w:tcPr>
            <w:tcW w:w="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28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78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140" w:type="dxa"/>
            <w:vAlign w:val="bottom"/>
          </w:tcPr>
          <w:p>
            <w:pPr>
              <w:spacing w:after="0"/>
              <w:rPr>
                <w:sz w:val="24"/>
                <w:szCs w:val="24"/>
                <w:color w:val="auto"/>
              </w:rPr>
            </w:pPr>
          </w:p>
        </w:tc>
      </w:tr>
      <w:tr>
        <w:trPr>
          <w:trHeight w:val="407"/>
        </w:trPr>
        <w:tc>
          <w:tcPr>
            <w:tcW w:w="3640" w:type="dxa"/>
            <w:vAlign w:val="bottom"/>
            <w:gridSpan w:val="3"/>
          </w:tcPr>
          <w:p>
            <w:pPr>
              <w:spacing w:after="0"/>
              <w:rPr>
                <w:sz w:val="20"/>
                <w:szCs w:val="20"/>
                <w:color w:val="auto"/>
              </w:rPr>
            </w:pPr>
            <w:r>
              <w:rPr>
                <w:rFonts w:ascii="Times New Roman" w:cs="Times New Roman" w:eastAsia="Times New Roman" w:hAnsi="Times New Roman"/>
                <w:sz w:val="22"/>
                <w:szCs w:val="22"/>
                <w:color w:val="auto"/>
              </w:rPr>
              <w:t>Exhibit No.</w:t>
            </w:r>
          </w:p>
        </w:tc>
        <w:tc>
          <w:tcPr>
            <w:tcW w:w="3960" w:type="dxa"/>
            <w:vAlign w:val="bottom"/>
            <w:gridSpan w:val="5"/>
          </w:tcPr>
          <w:p>
            <w:pPr>
              <w:spacing w:after="0"/>
              <w:rPr>
                <w:sz w:val="20"/>
                <w:szCs w:val="20"/>
                <w:color w:val="auto"/>
              </w:rPr>
            </w:pPr>
            <w:r>
              <w:rPr>
                <w:rFonts w:ascii="Times New Roman" w:cs="Times New Roman" w:eastAsia="Times New Roman" w:hAnsi="Times New Roman"/>
                <w:sz w:val="22"/>
                <w:szCs w:val="22"/>
                <w:color w:val="auto"/>
              </w:rPr>
              <w:t>Description</w:t>
            </w:r>
          </w:p>
        </w:tc>
        <w:tc>
          <w:tcPr>
            <w:tcW w:w="278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140" w:type="dxa"/>
            <w:vAlign w:val="bottom"/>
          </w:tcPr>
          <w:p>
            <w:pPr>
              <w:spacing w:after="0"/>
              <w:rPr>
                <w:sz w:val="24"/>
                <w:szCs w:val="24"/>
                <w:color w:val="auto"/>
              </w:rPr>
            </w:pPr>
          </w:p>
        </w:tc>
      </w:tr>
      <w:tr>
        <w:trPr>
          <w:trHeight w:val="20"/>
        </w:trPr>
        <w:tc>
          <w:tcPr>
            <w:tcW w:w="960" w:type="dxa"/>
            <w:vAlign w:val="bottom"/>
            <w:gridSpan w:val="2"/>
            <w:shd w:val="clear" w:color="auto" w:fill="000000"/>
          </w:tcPr>
          <w:p>
            <w:pPr>
              <w:spacing w:after="0" w:line="20" w:lineRule="exact"/>
              <w:rPr>
                <w:sz w:val="1"/>
                <w:szCs w:val="1"/>
                <w:color w:val="auto"/>
              </w:rPr>
            </w:pPr>
          </w:p>
        </w:tc>
        <w:tc>
          <w:tcPr>
            <w:tcW w:w="2680" w:type="dxa"/>
            <w:vAlign w:val="bottom"/>
          </w:tcPr>
          <w:p>
            <w:pPr>
              <w:spacing w:after="0" w:line="20" w:lineRule="exact"/>
              <w:rPr>
                <w:sz w:val="1"/>
                <w:szCs w:val="1"/>
                <w:color w:val="auto"/>
              </w:rPr>
            </w:pPr>
          </w:p>
        </w:tc>
        <w:tc>
          <w:tcPr>
            <w:tcW w:w="1000" w:type="dxa"/>
            <w:vAlign w:val="bottom"/>
            <w:gridSpan w:val="3"/>
            <w:shd w:val="clear" w:color="auto" w:fill="000000"/>
          </w:tcPr>
          <w:p>
            <w:pPr>
              <w:spacing w:after="0" w:line="20" w:lineRule="exact"/>
              <w:rPr>
                <w:sz w:val="1"/>
                <w:szCs w:val="1"/>
                <w:color w:val="auto"/>
              </w:rPr>
            </w:pPr>
          </w:p>
        </w:tc>
        <w:tc>
          <w:tcPr>
            <w:tcW w:w="5740" w:type="dxa"/>
            <w:vAlign w:val="bottom"/>
            <w:gridSpan w:val="3"/>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r>
      <w:tr>
        <w:trPr>
          <w:trHeight w:val="439"/>
        </w:trPr>
        <w:tc>
          <w:tcPr>
            <w:tcW w:w="960" w:type="dxa"/>
            <w:vAlign w:val="bottom"/>
            <w:gridSpan w:val="2"/>
          </w:tcPr>
          <w:p>
            <w:pPr>
              <w:spacing w:after="0"/>
              <w:rPr>
                <w:sz w:val="20"/>
                <w:szCs w:val="20"/>
                <w:color w:val="auto"/>
              </w:rPr>
            </w:pPr>
            <w:r>
              <w:rPr>
                <w:rFonts w:ascii="Times New Roman" w:cs="Times New Roman" w:eastAsia="Times New Roman" w:hAnsi="Times New Roman"/>
                <w:sz w:val="22"/>
                <w:szCs w:val="22"/>
                <w:color w:val="auto"/>
              </w:rPr>
              <w:t>10.1</w:t>
            </w:r>
          </w:p>
        </w:tc>
        <w:tc>
          <w:tcPr>
            <w:tcW w:w="2680" w:type="dxa"/>
            <w:vAlign w:val="bottom"/>
          </w:tcPr>
          <w:p>
            <w:pPr>
              <w:spacing w:after="0"/>
              <w:rPr>
                <w:sz w:val="24"/>
                <w:szCs w:val="24"/>
                <w:color w:val="auto"/>
              </w:rPr>
            </w:pPr>
          </w:p>
        </w:tc>
        <w:tc>
          <w:tcPr>
            <w:tcW w:w="7660" w:type="dxa"/>
            <w:vAlign w:val="bottom"/>
            <w:gridSpan w:val="7"/>
          </w:tcPr>
          <w:p>
            <w:pPr>
              <w:spacing w:after="0"/>
              <w:rPr>
                <w:rFonts w:ascii="Times New Roman" w:cs="Times New Roman" w:eastAsia="Times New Roman" w:hAnsi="Times New Roman"/>
                <w:sz w:val="22"/>
                <w:szCs w:val="22"/>
                <w:color w:val="0000EE"/>
              </w:rPr>
            </w:pPr>
            <w:hyperlink w:anchor="page5">
              <w:r>
                <w:rPr>
                  <w:rFonts w:ascii="Times New Roman" w:cs="Times New Roman" w:eastAsia="Times New Roman" w:hAnsi="Times New Roman"/>
                  <w:sz w:val="22"/>
                  <w:szCs w:val="22"/>
                  <w:color w:val="0000EE"/>
                </w:rPr>
                <w:t>Destination XL Group, Inc.’s 2016 Incentive Compensation Plan, as amended</w:t>
              </w:r>
            </w:hyperlink>
            <w:r>
              <w:rPr>
                <w:rFonts w:ascii="Times New Roman" w:cs="Times New Roman" w:eastAsia="Times New Roman" w:hAnsi="Times New Roman"/>
                <w:sz w:val="22"/>
                <w:szCs w:val="22"/>
                <w:color w:val="000000"/>
              </w:rPr>
              <w:t>.</w:t>
            </w:r>
          </w:p>
        </w:tc>
        <w:tc>
          <w:tcPr>
            <w:tcW w:w="140" w:type="dxa"/>
            <w:vAlign w:val="bottom"/>
          </w:tcPr>
          <w:p>
            <w:pPr>
              <w:spacing w:after="0"/>
              <w:rPr>
                <w:sz w:val="24"/>
                <w:szCs w:val="24"/>
                <w:color w:val="auto"/>
              </w:rPr>
            </w:pPr>
          </w:p>
        </w:tc>
      </w:tr>
      <w:tr>
        <w:trPr>
          <w:trHeight w:val="951"/>
        </w:trPr>
        <w:tc>
          <w:tcPr>
            <w:tcW w:w="2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2680" w:type="dxa"/>
            <w:vAlign w:val="bottom"/>
          </w:tcPr>
          <w:p>
            <w:pPr>
              <w:spacing w:after="0"/>
              <w:rPr>
                <w:sz w:val="24"/>
                <w:szCs w:val="24"/>
                <w:color w:val="auto"/>
              </w:rPr>
            </w:pPr>
          </w:p>
        </w:tc>
        <w:tc>
          <w:tcPr>
            <w:tcW w:w="3840" w:type="dxa"/>
            <w:vAlign w:val="bottom"/>
            <w:tcBorders>
              <w:top w:val="single" w:sz="8" w:color="0000EE"/>
            </w:tcBorders>
            <w:gridSpan w:val="4"/>
          </w:tcPr>
          <w:p>
            <w:pPr>
              <w:jc w:val="right"/>
              <w:ind w:right="1630"/>
              <w:spacing w:after="0"/>
              <w:rPr>
                <w:sz w:val="20"/>
                <w:szCs w:val="20"/>
                <w:color w:val="auto"/>
              </w:rPr>
            </w:pPr>
            <w:r>
              <w:rPr>
                <w:rFonts w:ascii="Times New Roman" w:cs="Times New Roman" w:eastAsia="Times New Roman" w:hAnsi="Times New Roman"/>
                <w:sz w:val="22"/>
                <w:szCs w:val="22"/>
                <w:color w:val="auto"/>
              </w:rPr>
              <w:t>3</w:t>
            </w:r>
          </w:p>
        </w:tc>
        <w:tc>
          <w:tcPr>
            <w:tcW w:w="120" w:type="dxa"/>
            <w:vAlign w:val="bottom"/>
            <w:tcBorders>
              <w:top w:val="single" w:sz="8" w:color="0000EE"/>
            </w:tcBorders>
          </w:tcPr>
          <w:p>
            <w:pPr>
              <w:spacing w:after="0"/>
              <w:rPr>
                <w:sz w:val="24"/>
                <w:szCs w:val="24"/>
                <w:color w:val="auto"/>
              </w:rPr>
            </w:pPr>
          </w:p>
        </w:tc>
        <w:tc>
          <w:tcPr>
            <w:tcW w:w="2780" w:type="dxa"/>
            <w:vAlign w:val="bottom"/>
            <w:tcBorders>
              <w:top w:val="single" w:sz="8" w:color="0000EE"/>
            </w:tcBorders>
          </w:tcPr>
          <w:p>
            <w:pPr>
              <w:spacing w:after="0"/>
              <w:rPr>
                <w:sz w:val="24"/>
                <w:szCs w:val="24"/>
                <w:color w:val="auto"/>
              </w:rPr>
            </w:pPr>
          </w:p>
        </w:tc>
        <w:tc>
          <w:tcPr>
            <w:tcW w:w="920" w:type="dxa"/>
            <w:vAlign w:val="bottom"/>
          </w:tcPr>
          <w:p>
            <w:pPr>
              <w:spacing w:after="0"/>
              <w:rPr>
                <w:sz w:val="24"/>
                <w:szCs w:val="24"/>
                <w:color w:val="auto"/>
              </w:rPr>
            </w:pPr>
          </w:p>
        </w:tc>
        <w:tc>
          <w:tcPr>
            <w:tcW w:w="140" w:type="dxa"/>
            <w:vAlign w:val="bottom"/>
          </w:tcPr>
          <w:p>
            <w:pPr>
              <w:spacing w:after="0"/>
              <w:rPr>
                <w:sz w:val="24"/>
                <w:szCs w:val="24"/>
                <w:color w:val="auto"/>
              </w:rPr>
            </w:pPr>
          </w:p>
        </w:tc>
      </w:tr>
      <w:tr>
        <w:trPr>
          <w:trHeight w:val="103"/>
        </w:trPr>
        <w:tc>
          <w:tcPr>
            <w:tcW w:w="20" w:type="dxa"/>
            <w:vAlign w:val="bottom"/>
          </w:tcPr>
          <w:p>
            <w:pPr>
              <w:spacing w:after="0"/>
              <w:rPr>
                <w:sz w:val="8"/>
                <w:szCs w:val="8"/>
                <w:color w:val="auto"/>
              </w:rPr>
            </w:pPr>
          </w:p>
        </w:tc>
        <w:tc>
          <w:tcPr>
            <w:tcW w:w="940" w:type="dxa"/>
            <w:vAlign w:val="bottom"/>
            <w:tcBorders>
              <w:bottom w:val="single" w:sz="8" w:color="9A9A9A"/>
            </w:tcBorders>
          </w:tcPr>
          <w:p>
            <w:pPr>
              <w:spacing w:after="0"/>
              <w:rPr>
                <w:sz w:val="8"/>
                <w:szCs w:val="8"/>
                <w:color w:val="auto"/>
              </w:rPr>
            </w:pPr>
          </w:p>
        </w:tc>
        <w:tc>
          <w:tcPr>
            <w:tcW w:w="2680" w:type="dxa"/>
            <w:vAlign w:val="bottom"/>
            <w:tcBorders>
              <w:bottom w:val="single" w:sz="8" w:color="9A9A9A"/>
            </w:tcBorders>
          </w:tcPr>
          <w:p>
            <w:pPr>
              <w:spacing w:after="0"/>
              <w:rPr>
                <w:sz w:val="8"/>
                <w:szCs w:val="8"/>
                <w:color w:val="auto"/>
              </w:rPr>
            </w:pPr>
          </w:p>
        </w:tc>
        <w:tc>
          <w:tcPr>
            <w:tcW w:w="60" w:type="dxa"/>
            <w:vAlign w:val="bottom"/>
            <w:tcBorders>
              <w:bottom w:val="single" w:sz="8" w:color="9A9A9A"/>
            </w:tcBorders>
          </w:tcPr>
          <w:p>
            <w:pPr>
              <w:spacing w:after="0"/>
              <w:rPr>
                <w:sz w:val="8"/>
                <w:szCs w:val="8"/>
                <w:color w:val="auto"/>
              </w:rPr>
            </w:pPr>
          </w:p>
        </w:tc>
        <w:tc>
          <w:tcPr>
            <w:tcW w:w="100" w:type="dxa"/>
            <w:vAlign w:val="bottom"/>
            <w:tcBorders>
              <w:bottom w:val="single" w:sz="8" w:color="9A9A9A"/>
            </w:tcBorders>
          </w:tcPr>
          <w:p>
            <w:pPr>
              <w:spacing w:after="0"/>
              <w:rPr>
                <w:sz w:val="8"/>
                <w:szCs w:val="8"/>
                <w:color w:val="auto"/>
              </w:rPr>
            </w:pPr>
          </w:p>
        </w:tc>
        <w:tc>
          <w:tcPr>
            <w:tcW w:w="840" w:type="dxa"/>
            <w:vAlign w:val="bottom"/>
            <w:tcBorders>
              <w:bottom w:val="single" w:sz="8" w:color="9A9A9A"/>
            </w:tcBorders>
          </w:tcPr>
          <w:p>
            <w:pPr>
              <w:spacing w:after="0"/>
              <w:rPr>
                <w:sz w:val="8"/>
                <w:szCs w:val="8"/>
                <w:color w:val="auto"/>
              </w:rPr>
            </w:pPr>
          </w:p>
        </w:tc>
        <w:tc>
          <w:tcPr>
            <w:tcW w:w="2840" w:type="dxa"/>
            <w:vAlign w:val="bottom"/>
            <w:tcBorders>
              <w:bottom w:val="single" w:sz="8" w:color="9A9A9A"/>
            </w:tcBorders>
          </w:tcPr>
          <w:p>
            <w:pPr>
              <w:spacing w:after="0"/>
              <w:rPr>
                <w:sz w:val="8"/>
                <w:szCs w:val="8"/>
                <w:color w:val="auto"/>
              </w:rPr>
            </w:pPr>
          </w:p>
        </w:tc>
        <w:tc>
          <w:tcPr>
            <w:tcW w:w="120" w:type="dxa"/>
            <w:vAlign w:val="bottom"/>
            <w:tcBorders>
              <w:bottom w:val="single" w:sz="8" w:color="9A9A9A"/>
            </w:tcBorders>
          </w:tcPr>
          <w:p>
            <w:pPr>
              <w:spacing w:after="0"/>
              <w:rPr>
                <w:sz w:val="8"/>
                <w:szCs w:val="8"/>
                <w:color w:val="auto"/>
              </w:rPr>
            </w:pPr>
          </w:p>
        </w:tc>
        <w:tc>
          <w:tcPr>
            <w:tcW w:w="2780" w:type="dxa"/>
            <w:vAlign w:val="bottom"/>
            <w:tcBorders>
              <w:bottom w:val="single" w:sz="8" w:color="9A9A9A"/>
            </w:tcBorders>
          </w:tcPr>
          <w:p>
            <w:pPr>
              <w:spacing w:after="0"/>
              <w:rPr>
                <w:sz w:val="8"/>
                <w:szCs w:val="8"/>
                <w:color w:val="auto"/>
              </w:rPr>
            </w:pPr>
          </w:p>
        </w:tc>
        <w:tc>
          <w:tcPr>
            <w:tcW w:w="920" w:type="dxa"/>
            <w:vAlign w:val="bottom"/>
            <w:tcBorders>
              <w:bottom w:val="single" w:sz="8" w:color="9A9A9A"/>
            </w:tcBorders>
          </w:tcPr>
          <w:p>
            <w:pPr>
              <w:spacing w:after="0"/>
              <w:rPr>
                <w:sz w:val="8"/>
                <w:szCs w:val="8"/>
                <w:color w:val="auto"/>
              </w:rPr>
            </w:pPr>
          </w:p>
        </w:tc>
        <w:tc>
          <w:tcPr>
            <w:tcW w:w="140" w:type="dxa"/>
            <w:vAlign w:val="bottom"/>
            <w:tcBorders>
              <w:bottom w:val="single" w:sz="8" w:color="9A9A9A"/>
            </w:tcBorders>
          </w:tcPr>
          <w:p>
            <w:pPr>
              <w:spacing w:after="0"/>
              <w:rPr>
                <w:sz w:val="8"/>
                <w:szCs w:val="8"/>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7247255</wp:posOffset>
            </wp:positionH>
            <wp:positionV relativeFrom="paragraph">
              <wp:posOffset>-29210</wp:posOffset>
            </wp:positionV>
            <wp:extent cx="34290" cy="425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34290"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440"/>
          </w:cols>
          <w:pgMar w:left="240" w:top="540" w:right="219" w:bottom="1440" w:gutter="0" w:footer="0" w:header="0"/>
        </w:sectPr>
      </w:pPr>
    </w:p>
    <w:bookmarkStart w:id="3" w:name="page4"/>
    <w:bookmarkEnd w:id="3"/>
    <w:p>
      <w:pPr>
        <w:jc w:val="center"/>
        <w:ind w:right="-119"/>
        <w:spacing w:after="0"/>
        <w:rPr>
          <w:sz w:val="20"/>
          <w:szCs w:val="20"/>
          <w:color w:val="auto"/>
        </w:rPr>
      </w:pPr>
      <w:r>
        <w:rPr>
          <w:rFonts w:ascii="Times New Roman" w:cs="Times New Roman" w:eastAsia="Times New Roman" w:hAnsi="Times New Roman"/>
          <w:sz w:val="22"/>
          <w:szCs w:val="22"/>
          <w:b w:val="1"/>
          <w:bCs w:val="1"/>
          <w:color w:val="auto"/>
        </w:rPr>
        <w:t>SIGNATURES</w:t>
      </w:r>
    </w:p>
    <w:p>
      <w:pPr>
        <w:spacing w:after="0" w:line="238" w:lineRule="exact"/>
        <w:rPr>
          <w:sz w:val="20"/>
          <w:szCs w:val="20"/>
          <w:color w:val="auto"/>
        </w:rPr>
      </w:pPr>
    </w:p>
    <w:p>
      <w:pPr>
        <w:ind w:right="140"/>
        <w:spacing w:after="0" w:line="258" w:lineRule="auto"/>
        <w:rPr>
          <w:sz w:val="20"/>
          <w:szCs w:val="20"/>
          <w:color w:val="auto"/>
        </w:rPr>
      </w:pPr>
      <w:r>
        <w:rPr>
          <w:rFonts w:ascii="Times New Roman" w:cs="Times New Roman" w:eastAsia="Times New Roman" w:hAnsi="Times New Roman"/>
          <w:sz w:val="22"/>
          <w:szCs w:val="22"/>
          <w:color w:val="auto"/>
        </w:rPr>
        <w:t>Pursuant to the requirements of the Securities Exchange Act of 1934, the registrant has duly caused this report to be signed on its behalf by the undersigned hereunto duly authorized.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5" w:lineRule="exact"/>
        <w:rPr>
          <w:sz w:val="20"/>
          <w:szCs w:val="20"/>
          <w:color w:val="auto"/>
        </w:rPr>
      </w:pPr>
    </w:p>
    <w:p>
      <w:pPr>
        <w:ind w:left="6680"/>
        <w:spacing w:after="0"/>
        <w:rPr>
          <w:sz w:val="20"/>
          <w:szCs w:val="20"/>
          <w:color w:val="auto"/>
        </w:rPr>
      </w:pPr>
      <w:r>
        <w:rPr>
          <w:rFonts w:ascii="Times New Roman" w:cs="Times New Roman" w:eastAsia="Times New Roman" w:hAnsi="Times New Roman"/>
          <w:sz w:val="22"/>
          <w:szCs w:val="22"/>
          <w:color w:val="auto"/>
        </w:rPr>
        <w:t>DESTINATION XL GROUP, INC.</w:t>
      </w:r>
    </w:p>
    <w:p>
      <w:pPr>
        <w:spacing w:after="0" w:line="179" w:lineRule="exact"/>
        <w:rPr>
          <w:sz w:val="20"/>
          <w:szCs w:val="20"/>
          <w:color w:val="auto"/>
        </w:rPr>
      </w:pPr>
    </w:p>
    <w:p>
      <w:pPr>
        <w:ind w:left="20"/>
        <w:spacing w:after="0"/>
        <w:tabs>
          <w:tab w:leader="none" w:pos="880" w:val="left"/>
          <w:tab w:leader="none" w:pos="5900" w:val="left"/>
          <w:tab w:leader="none" w:pos="8140" w:val="left"/>
        </w:tabs>
        <w:rPr>
          <w:sz w:val="20"/>
          <w:szCs w:val="20"/>
          <w:color w:val="auto"/>
        </w:rPr>
      </w:pPr>
      <w:r>
        <w:rPr>
          <w:rFonts w:ascii="Times New Roman" w:cs="Times New Roman" w:eastAsia="Times New Roman" w:hAnsi="Times New Roman"/>
          <w:sz w:val="22"/>
          <w:szCs w:val="22"/>
          <w:color w:val="auto"/>
        </w:rPr>
        <w:t>Date:</w:t>
      </w:r>
      <w:r>
        <w:rPr>
          <w:sz w:val="20"/>
          <w:szCs w:val="20"/>
          <w:color w:val="auto"/>
        </w:rPr>
        <w:tab/>
      </w:r>
      <w:r>
        <w:rPr>
          <w:rFonts w:ascii="Times New Roman" w:cs="Times New Roman" w:eastAsia="Times New Roman" w:hAnsi="Times New Roman"/>
          <w:sz w:val="22"/>
          <w:szCs w:val="22"/>
          <w:color w:val="auto"/>
        </w:rPr>
        <w:t>August 9, 2019</w:t>
      </w:r>
      <w:r>
        <w:rPr>
          <w:sz w:val="20"/>
          <w:szCs w:val="20"/>
          <w:color w:val="auto"/>
        </w:rPr>
        <w:tab/>
      </w:r>
      <w:r>
        <w:rPr>
          <w:rFonts w:ascii="Times New Roman" w:cs="Times New Roman" w:eastAsia="Times New Roman" w:hAnsi="Times New Roman"/>
          <w:sz w:val="22"/>
          <w:szCs w:val="22"/>
          <w:color w:val="auto"/>
        </w:rPr>
        <w:t>By:</w:t>
      </w:r>
      <w:r>
        <w:rPr>
          <w:sz w:val="20"/>
          <w:szCs w:val="20"/>
          <w:color w:val="auto"/>
        </w:rPr>
        <w:tab/>
      </w:r>
      <w:r>
        <w:rPr>
          <w:rFonts w:ascii="Times New Roman" w:cs="Times New Roman" w:eastAsia="Times New Roman" w:hAnsi="Times New Roman"/>
          <w:sz w:val="21"/>
          <w:szCs w:val="21"/>
          <w:color w:val="auto"/>
        </w:rPr>
        <w:t>/s/ Robert S. Molloy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4250055</wp:posOffset>
            </wp:positionH>
            <wp:positionV relativeFrom="paragraph">
              <wp:posOffset>11430</wp:posOffset>
            </wp:positionV>
            <wp:extent cx="2992755" cy="889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2992755" cy="8890"/>
                    </a:xfrm>
                    <a:prstGeom prst="rect">
                      <a:avLst/>
                    </a:prstGeom>
                    <a:noFill/>
                  </pic:spPr>
                </pic:pic>
              </a:graphicData>
            </a:graphic>
          </wp:anchor>
        </w:drawing>
      </w:r>
    </w:p>
    <w:p>
      <w:pPr>
        <w:jc w:val="center"/>
        <w:ind w:left="6660"/>
        <w:spacing w:after="0"/>
        <w:rPr>
          <w:sz w:val="20"/>
          <w:szCs w:val="20"/>
          <w:color w:val="auto"/>
        </w:rPr>
      </w:pPr>
      <w:r>
        <w:rPr>
          <w:rFonts w:ascii="Times New Roman" w:cs="Times New Roman" w:eastAsia="Times New Roman" w:hAnsi="Times New Roman"/>
          <w:sz w:val="14"/>
          <w:szCs w:val="14"/>
          <w:b w:val="1"/>
          <w:bCs w:val="1"/>
          <w:color w:val="auto"/>
        </w:rPr>
        <w:t>Robert S. Molloy</w:t>
      </w:r>
    </w:p>
    <w:p>
      <w:pPr>
        <w:jc w:val="center"/>
        <w:ind w:left="6660"/>
        <w:spacing w:after="0" w:line="221" w:lineRule="auto"/>
        <w:rPr>
          <w:sz w:val="20"/>
          <w:szCs w:val="20"/>
          <w:color w:val="auto"/>
        </w:rPr>
      </w:pPr>
      <w:r>
        <w:rPr>
          <w:rFonts w:ascii="Times New Roman" w:cs="Times New Roman" w:eastAsia="Times New Roman" w:hAnsi="Times New Roman"/>
          <w:sz w:val="14"/>
          <w:szCs w:val="14"/>
          <w:b w:val="1"/>
          <w:bCs w:val="1"/>
          <w:color w:val="auto"/>
        </w:rPr>
        <w:t>Senior Vice President, Chief Administrative Officer, General Counsel and</w:t>
      </w:r>
    </w:p>
    <w:p>
      <w:pPr>
        <w:jc w:val="center"/>
        <w:ind w:left="6660"/>
        <w:spacing w:after="0"/>
        <w:rPr>
          <w:sz w:val="20"/>
          <w:szCs w:val="20"/>
          <w:color w:val="auto"/>
        </w:rPr>
      </w:pPr>
      <w:r>
        <w:rPr>
          <w:rFonts w:ascii="Times New Roman" w:cs="Times New Roman" w:eastAsia="Times New Roman" w:hAnsi="Times New Roman"/>
          <w:sz w:val="14"/>
          <w:szCs w:val="14"/>
          <w:b w:val="1"/>
          <w:bCs w:val="1"/>
          <w:color w:val="auto"/>
        </w:rPr>
        <w:t>Secretary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0"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22"/>
          <w:szCs w:val="22"/>
          <w:color w:val="auto"/>
        </w:rPr>
        <w:t>4</w:t>
      </w:r>
    </w:p>
    <w:p>
      <w:pPr>
        <w:sectPr>
          <w:pgSz w:w="11900" w:h="16838" w:orient="portrait"/>
          <w:cols w:equalWidth="0" w:num="1">
            <w:col w:w="11300"/>
          </w:cols>
          <w:pgMar w:left="240" w:top="108" w:right="359" w:bottom="1440" w:gutter="0" w:footer="0" w:header="0"/>
        </w:sectPr>
      </w:pPr>
    </w:p>
    <w:bookmarkStart w:id="4" w:name="page5"/>
    <w:bookmarkEnd w:id="4"/>
    <w:p>
      <w:pPr>
        <w:jc w:val="right"/>
        <w:spacing w:after="0"/>
        <w:rPr>
          <w:sz w:val="20"/>
          <w:szCs w:val="20"/>
          <w:color w:val="auto"/>
        </w:rPr>
      </w:pPr>
      <w:r>
        <w:rPr>
          <w:rFonts w:ascii="Times New Roman" w:cs="Times New Roman" w:eastAsia="Times New Roman" w:hAnsi="Times New Roman"/>
          <w:sz w:val="18"/>
          <w:szCs w:val="18"/>
          <w:color w:val="auto"/>
        </w:rPr>
        <w:t>Exhibit 10.1</w:t>
      </w:r>
    </w:p>
    <w:p>
      <w:pPr>
        <w:spacing w:after="0" w:line="200" w:lineRule="exact"/>
        <w:rPr>
          <w:sz w:val="20"/>
          <w:szCs w:val="20"/>
          <w:color w:val="auto"/>
        </w:rPr>
      </w:pPr>
    </w:p>
    <w:p>
      <w:pPr>
        <w:spacing w:after="0" w:line="231" w:lineRule="exact"/>
        <w:rPr>
          <w:sz w:val="20"/>
          <w:szCs w:val="20"/>
          <w:color w:val="auto"/>
        </w:rPr>
      </w:pPr>
    </w:p>
    <w:p>
      <w:pPr>
        <w:jc w:val="center"/>
        <w:ind w:left="880" w:right="2060"/>
        <w:spacing w:after="0" w:line="267" w:lineRule="auto"/>
        <w:rPr>
          <w:sz w:val="20"/>
          <w:szCs w:val="20"/>
          <w:color w:val="auto"/>
        </w:rPr>
      </w:pPr>
      <w:r>
        <w:rPr>
          <w:rFonts w:ascii="Times New Roman" w:cs="Times New Roman" w:eastAsia="Times New Roman" w:hAnsi="Times New Roman"/>
          <w:sz w:val="25"/>
          <w:szCs w:val="25"/>
          <w:b w:val="1"/>
          <w:bCs w:val="1"/>
          <w:color w:val="auto"/>
        </w:rPr>
        <w:t>DESTINATION XL GROUP, INC. 2016 INCENTIVE COMPENSATION PLAN (AS AMENDED AND RESTATED EFFECTIVE AUGUST 8, 2019)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-768985</wp:posOffset>
            </wp:positionH>
            <wp:positionV relativeFrom="paragraph">
              <wp:posOffset>631190</wp:posOffset>
            </wp:positionV>
            <wp:extent cx="7289165" cy="4254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0220"/>
          </w:cols>
          <w:pgMar w:left="1440" w:top="553" w:right="239" w:bottom="1440" w:gutter="0" w:footer="0" w:header="0"/>
        </w:sectPr>
      </w:pPr>
    </w:p>
    <w:bookmarkStart w:id="5" w:name="page6"/>
    <w:bookmarkEnd w:id="5"/>
    <w:p>
      <w:pPr>
        <w:jc w:val="center"/>
        <w:ind w:right="20"/>
        <w:spacing w:after="0"/>
        <w:rPr>
          <w:sz w:val="20"/>
          <w:szCs w:val="20"/>
          <w:color w:val="auto"/>
        </w:rPr>
      </w:pPr>
      <w:r>
        <w:rPr>
          <w:rFonts w:ascii="Times New Roman" w:cs="Times New Roman" w:eastAsia="Times New Roman" w:hAnsi="Times New Roman"/>
          <w:sz w:val="22"/>
          <w:szCs w:val="22"/>
          <w:b w:val="1"/>
          <w:bCs w:val="1"/>
          <w:color w:val="auto"/>
        </w:rPr>
        <w:t>DESTINATION XL GROUP, INC.</w:t>
      </w:r>
    </w:p>
    <w:p>
      <w:pPr>
        <w:spacing w:after="0" w:line="18"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22"/>
          <w:szCs w:val="22"/>
          <w:b w:val="1"/>
          <w:bCs w:val="1"/>
          <w:color w:val="auto"/>
        </w:rPr>
        <w:t>2016 INCENTIVE COMPENSATION PLAN, AS AMENDED AND RESTATED AUGUST 8, 2019</w:t>
      </w:r>
    </w:p>
    <w:p>
      <w:pPr>
        <w:spacing w:after="0" w:line="205"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340" w:type="dxa"/>
            <w:vAlign w:val="bottom"/>
          </w:tcPr>
          <w:p>
            <w:pPr>
              <w:spacing w:after="0"/>
              <w:rPr>
                <w:sz w:val="20"/>
                <w:szCs w:val="20"/>
                <w:color w:val="auto"/>
              </w:rPr>
            </w:pPr>
            <w:r>
              <w:rPr>
                <w:rFonts w:ascii="Times New Roman" w:cs="Times New Roman" w:eastAsia="Times New Roman" w:hAnsi="Times New Roman"/>
                <w:sz w:val="18"/>
                <w:szCs w:val="18"/>
                <w:color w:val="auto"/>
              </w:rPr>
              <w:t>1.</w:t>
            </w:r>
          </w:p>
        </w:tc>
        <w:tc>
          <w:tcPr>
            <w:tcW w:w="580" w:type="dxa"/>
            <w:vAlign w:val="bottom"/>
            <w:tcBorders>
              <w:bottom w:val="single" w:sz="8" w:color="0000EE"/>
            </w:tcBorders>
          </w:tcPr>
          <w:p>
            <w:pPr>
              <w:spacing w:after="0"/>
              <w:rPr>
                <w:rFonts w:ascii="Times New Roman" w:cs="Times New Roman" w:eastAsia="Times New Roman" w:hAnsi="Times New Roman"/>
                <w:sz w:val="18"/>
                <w:szCs w:val="18"/>
                <w:color w:val="0000EE"/>
                <w:w w:val="96"/>
              </w:rPr>
            </w:pPr>
            <w:hyperlink w:anchor="page7">
              <w:r>
                <w:rPr>
                  <w:rFonts w:ascii="Times New Roman" w:cs="Times New Roman" w:eastAsia="Times New Roman" w:hAnsi="Times New Roman"/>
                  <w:sz w:val="18"/>
                  <w:szCs w:val="18"/>
                  <w:color w:val="0000EE"/>
                  <w:w w:val="96"/>
                </w:rPr>
                <w:t>Purpose</w:t>
              </w:r>
            </w:hyperlink>
          </w:p>
        </w:tc>
        <w:tc>
          <w:tcPr>
            <w:tcW w:w="6340" w:type="dxa"/>
            <w:vAlign w:val="bottom"/>
            <w:gridSpan w:val="11"/>
          </w:tcPr>
          <w:p>
            <w:pPr>
              <w:spacing w:after="0"/>
              <w:rPr>
                <w:sz w:val="17"/>
                <w:szCs w:val="17"/>
                <w:color w:val="auto"/>
              </w:rPr>
            </w:pPr>
          </w:p>
        </w:tc>
        <w:tc>
          <w:tcPr>
            <w:tcW w:w="4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w:t>
            </w:r>
          </w:p>
        </w:tc>
      </w:tr>
      <w:tr>
        <w:trPr>
          <w:trHeight w:val="196"/>
        </w:trPr>
        <w:tc>
          <w:tcPr>
            <w:tcW w:w="340" w:type="dxa"/>
            <w:vAlign w:val="bottom"/>
          </w:tcPr>
          <w:p>
            <w:pPr>
              <w:spacing w:after="0" w:line="196" w:lineRule="exact"/>
              <w:rPr>
                <w:sz w:val="20"/>
                <w:szCs w:val="20"/>
                <w:color w:val="auto"/>
              </w:rPr>
            </w:pPr>
            <w:r>
              <w:rPr>
                <w:rFonts w:ascii="Times New Roman" w:cs="Times New Roman" w:eastAsia="Times New Roman" w:hAnsi="Times New Roman"/>
                <w:sz w:val="18"/>
                <w:szCs w:val="18"/>
                <w:color w:val="auto"/>
              </w:rPr>
              <w:t>2.</w:t>
            </w:r>
          </w:p>
        </w:tc>
        <w:tc>
          <w:tcPr>
            <w:tcW w:w="6920" w:type="dxa"/>
            <w:vAlign w:val="bottom"/>
            <w:gridSpan w:val="12"/>
          </w:tcPr>
          <w:p>
            <w:pPr>
              <w:spacing w:after="0" w:line="196" w:lineRule="exact"/>
              <w:rPr>
                <w:rFonts w:ascii="Times New Roman" w:cs="Times New Roman" w:eastAsia="Times New Roman" w:hAnsi="Times New Roman"/>
                <w:sz w:val="18"/>
                <w:szCs w:val="18"/>
                <w:color w:val="0000EE"/>
              </w:rPr>
            </w:pPr>
            <w:hyperlink w:anchor="page7">
              <w:r>
                <w:rPr>
                  <w:rFonts w:ascii="Times New Roman" w:cs="Times New Roman" w:eastAsia="Times New Roman" w:hAnsi="Times New Roman"/>
                  <w:sz w:val="18"/>
                  <w:szCs w:val="18"/>
                  <w:color w:val="0000EE"/>
                </w:rPr>
                <w:t>Definitions</w:t>
              </w:r>
            </w:hyperlink>
          </w:p>
        </w:tc>
        <w:tc>
          <w:tcPr>
            <w:tcW w:w="418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1</w:t>
            </w:r>
          </w:p>
        </w:tc>
      </w:tr>
      <w:tr>
        <w:trPr>
          <w:trHeight w:val="20"/>
        </w:trPr>
        <w:tc>
          <w:tcPr>
            <w:tcW w:w="340" w:type="dxa"/>
            <w:vAlign w:val="bottom"/>
          </w:tcPr>
          <w:p>
            <w:pPr>
              <w:spacing w:after="0" w:line="20" w:lineRule="exact"/>
              <w:rPr>
                <w:sz w:val="1"/>
                <w:szCs w:val="1"/>
                <w:color w:val="auto"/>
              </w:rPr>
            </w:pPr>
          </w:p>
        </w:tc>
        <w:tc>
          <w:tcPr>
            <w:tcW w:w="800" w:type="dxa"/>
            <w:vAlign w:val="bottom"/>
            <w:gridSpan w:val="2"/>
            <w:shd w:val="clear" w:color="auto" w:fill="0000EE"/>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3980" w:type="dxa"/>
            <w:vAlign w:val="bottom"/>
          </w:tcPr>
          <w:p>
            <w:pPr>
              <w:spacing w:after="0" w:line="20" w:lineRule="exact"/>
              <w:rPr>
                <w:sz w:val="1"/>
                <w:szCs w:val="1"/>
                <w:color w:val="auto"/>
              </w:rPr>
            </w:pPr>
          </w:p>
        </w:tc>
        <w:tc>
          <w:tcPr>
            <w:tcW w:w="4180" w:type="dxa"/>
            <w:vAlign w:val="bottom"/>
          </w:tcPr>
          <w:p>
            <w:pPr>
              <w:spacing w:after="0" w:line="20" w:lineRule="exact"/>
              <w:rPr>
                <w:sz w:val="1"/>
                <w:szCs w:val="1"/>
                <w:color w:val="auto"/>
              </w:rPr>
            </w:pPr>
          </w:p>
        </w:tc>
      </w:tr>
      <w:tr>
        <w:trPr>
          <w:trHeight w:val="196"/>
        </w:trPr>
        <w:tc>
          <w:tcPr>
            <w:tcW w:w="340" w:type="dxa"/>
            <w:vAlign w:val="bottom"/>
          </w:tcPr>
          <w:p>
            <w:pPr>
              <w:spacing w:after="0" w:line="196" w:lineRule="exact"/>
              <w:rPr>
                <w:sz w:val="20"/>
                <w:szCs w:val="20"/>
                <w:color w:val="auto"/>
              </w:rPr>
            </w:pPr>
            <w:r>
              <w:rPr>
                <w:rFonts w:ascii="Times New Roman" w:cs="Times New Roman" w:eastAsia="Times New Roman" w:hAnsi="Times New Roman"/>
                <w:sz w:val="18"/>
                <w:szCs w:val="18"/>
                <w:color w:val="auto"/>
              </w:rPr>
              <w:t>3.</w:t>
            </w:r>
          </w:p>
        </w:tc>
        <w:tc>
          <w:tcPr>
            <w:tcW w:w="6920" w:type="dxa"/>
            <w:vAlign w:val="bottom"/>
            <w:gridSpan w:val="12"/>
          </w:tcPr>
          <w:p>
            <w:pPr>
              <w:spacing w:after="0" w:line="196" w:lineRule="exact"/>
              <w:rPr>
                <w:rFonts w:ascii="Times New Roman" w:cs="Times New Roman" w:eastAsia="Times New Roman" w:hAnsi="Times New Roman"/>
                <w:sz w:val="18"/>
                <w:szCs w:val="18"/>
                <w:color w:val="0000EE"/>
              </w:rPr>
            </w:pPr>
            <w:hyperlink w:anchor="page10">
              <w:r>
                <w:rPr>
                  <w:rFonts w:ascii="Times New Roman" w:cs="Times New Roman" w:eastAsia="Times New Roman" w:hAnsi="Times New Roman"/>
                  <w:sz w:val="18"/>
                  <w:szCs w:val="18"/>
                  <w:color w:val="0000EE"/>
                </w:rPr>
                <w:t>Administration</w:t>
              </w:r>
            </w:hyperlink>
          </w:p>
        </w:tc>
        <w:tc>
          <w:tcPr>
            <w:tcW w:w="418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4</w:t>
            </w:r>
          </w:p>
        </w:tc>
      </w:tr>
      <w:tr>
        <w:trPr>
          <w:trHeight w:val="20"/>
        </w:trPr>
        <w:tc>
          <w:tcPr>
            <w:tcW w:w="340" w:type="dxa"/>
            <w:vAlign w:val="bottom"/>
          </w:tcPr>
          <w:p>
            <w:pPr>
              <w:spacing w:after="0" w:line="20" w:lineRule="exact"/>
              <w:rPr>
                <w:sz w:val="1"/>
                <w:szCs w:val="1"/>
                <w:color w:val="auto"/>
              </w:rPr>
            </w:pPr>
          </w:p>
        </w:tc>
        <w:tc>
          <w:tcPr>
            <w:tcW w:w="1080" w:type="dxa"/>
            <w:vAlign w:val="bottom"/>
            <w:gridSpan w:val="3"/>
            <w:shd w:val="clear" w:color="auto" w:fill="0000EE"/>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3980" w:type="dxa"/>
            <w:vAlign w:val="bottom"/>
          </w:tcPr>
          <w:p>
            <w:pPr>
              <w:spacing w:after="0" w:line="20" w:lineRule="exact"/>
              <w:rPr>
                <w:sz w:val="1"/>
                <w:szCs w:val="1"/>
                <w:color w:val="auto"/>
              </w:rPr>
            </w:pPr>
          </w:p>
        </w:tc>
        <w:tc>
          <w:tcPr>
            <w:tcW w:w="4180" w:type="dxa"/>
            <w:vAlign w:val="bottom"/>
          </w:tcPr>
          <w:p>
            <w:pPr>
              <w:spacing w:after="0" w:line="20" w:lineRule="exact"/>
              <w:rPr>
                <w:sz w:val="1"/>
                <w:szCs w:val="1"/>
                <w:color w:val="auto"/>
              </w:rPr>
            </w:pPr>
          </w:p>
        </w:tc>
      </w:tr>
      <w:tr>
        <w:trPr>
          <w:trHeight w:val="196"/>
        </w:trPr>
        <w:tc>
          <w:tcPr>
            <w:tcW w:w="340" w:type="dxa"/>
            <w:vAlign w:val="bottom"/>
          </w:tcPr>
          <w:p>
            <w:pPr>
              <w:spacing w:after="0" w:line="196" w:lineRule="exact"/>
              <w:rPr>
                <w:sz w:val="20"/>
                <w:szCs w:val="20"/>
                <w:color w:val="auto"/>
              </w:rPr>
            </w:pPr>
            <w:r>
              <w:rPr>
                <w:rFonts w:ascii="Times New Roman" w:cs="Times New Roman" w:eastAsia="Times New Roman" w:hAnsi="Times New Roman"/>
                <w:sz w:val="18"/>
                <w:szCs w:val="18"/>
                <w:color w:val="auto"/>
              </w:rPr>
              <w:t>4.</w:t>
            </w:r>
          </w:p>
        </w:tc>
        <w:tc>
          <w:tcPr>
            <w:tcW w:w="6920" w:type="dxa"/>
            <w:vAlign w:val="bottom"/>
            <w:gridSpan w:val="12"/>
          </w:tcPr>
          <w:p>
            <w:pPr>
              <w:spacing w:after="0" w:line="196" w:lineRule="exact"/>
              <w:rPr>
                <w:rFonts w:ascii="Times New Roman" w:cs="Times New Roman" w:eastAsia="Times New Roman" w:hAnsi="Times New Roman"/>
                <w:sz w:val="18"/>
                <w:szCs w:val="18"/>
                <w:color w:val="0000EE"/>
              </w:rPr>
            </w:pPr>
            <w:hyperlink w:anchor="page11">
              <w:r>
                <w:rPr>
                  <w:rFonts w:ascii="Times New Roman" w:cs="Times New Roman" w:eastAsia="Times New Roman" w:hAnsi="Times New Roman"/>
                  <w:sz w:val="18"/>
                  <w:szCs w:val="18"/>
                  <w:color w:val="0000EE"/>
                </w:rPr>
                <w:t>Shares Subject to Plan</w:t>
              </w:r>
            </w:hyperlink>
          </w:p>
        </w:tc>
        <w:tc>
          <w:tcPr>
            <w:tcW w:w="418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5</w:t>
            </w:r>
          </w:p>
        </w:tc>
      </w:tr>
      <w:tr>
        <w:trPr>
          <w:trHeight w:val="20"/>
        </w:trPr>
        <w:tc>
          <w:tcPr>
            <w:tcW w:w="340" w:type="dxa"/>
            <w:vAlign w:val="bottom"/>
          </w:tcPr>
          <w:p>
            <w:pPr>
              <w:spacing w:after="0" w:line="20" w:lineRule="exact"/>
              <w:rPr>
                <w:sz w:val="1"/>
                <w:szCs w:val="1"/>
                <w:color w:val="auto"/>
              </w:rPr>
            </w:pPr>
          </w:p>
        </w:tc>
        <w:tc>
          <w:tcPr>
            <w:tcW w:w="1320" w:type="dxa"/>
            <w:vAlign w:val="bottom"/>
            <w:gridSpan w:val="4"/>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240" w:type="dxa"/>
            <w:vAlign w:val="bottom"/>
            <w:shd w:val="clear" w:color="auto" w:fill="0000EE"/>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3980" w:type="dxa"/>
            <w:vAlign w:val="bottom"/>
          </w:tcPr>
          <w:p>
            <w:pPr>
              <w:spacing w:after="0" w:line="20" w:lineRule="exact"/>
              <w:rPr>
                <w:sz w:val="1"/>
                <w:szCs w:val="1"/>
                <w:color w:val="auto"/>
              </w:rPr>
            </w:pPr>
          </w:p>
        </w:tc>
        <w:tc>
          <w:tcPr>
            <w:tcW w:w="4180" w:type="dxa"/>
            <w:vAlign w:val="bottom"/>
          </w:tcPr>
          <w:p>
            <w:pPr>
              <w:spacing w:after="0" w:line="20" w:lineRule="exact"/>
              <w:rPr>
                <w:sz w:val="1"/>
                <w:szCs w:val="1"/>
                <w:color w:val="auto"/>
              </w:rPr>
            </w:pPr>
          </w:p>
        </w:tc>
      </w:tr>
      <w:tr>
        <w:trPr>
          <w:trHeight w:val="196"/>
        </w:trPr>
        <w:tc>
          <w:tcPr>
            <w:tcW w:w="340" w:type="dxa"/>
            <w:vAlign w:val="bottom"/>
          </w:tcPr>
          <w:p>
            <w:pPr>
              <w:spacing w:after="0" w:line="196" w:lineRule="exact"/>
              <w:rPr>
                <w:sz w:val="20"/>
                <w:szCs w:val="20"/>
                <w:color w:val="auto"/>
              </w:rPr>
            </w:pPr>
            <w:r>
              <w:rPr>
                <w:rFonts w:ascii="Times New Roman" w:cs="Times New Roman" w:eastAsia="Times New Roman" w:hAnsi="Times New Roman"/>
                <w:sz w:val="18"/>
                <w:szCs w:val="18"/>
                <w:color w:val="auto"/>
              </w:rPr>
              <w:t>5.</w:t>
            </w:r>
          </w:p>
        </w:tc>
        <w:tc>
          <w:tcPr>
            <w:tcW w:w="6920" w:type="dxa"/>
            <w:vAlign w:val="bottom"/>
            <w:gridSpan w:val="12"/>
          </w:tcPr>
          <w:p>
            <w:pPr>
              <w:spacing w:after="0" w:line="196" w:lineRule="exact"/>
              <w:rPr>
                <w:rFonts w:ascii="Times New Roman" w:cs="Times New Roman" w:eastAsia="Times New Roman" w:hAnsi="Times New Roman"/>
                <w:sz w:val="18"/>
                <w:szCs w:val="18"/>
                <w:color w:val="0000EE"/>
              </w:rPr>
            </w:pPr>
            <w:hyperlink w:anchor="page12">
              <w:r>
                <w:rPr>
                  <w:rFonts w:ascii="Times New Roman" w:cs="Times New Roman" w:eastAsia="Times New Roman" w:hAnsi="Times New Roman"/>
                  <w:sz w:val="18"/>
                  <w:szCs w:val="18"/>
                  <w:color w:val="0000EE"/>
                </w:rPr>
                <w:t>Eligibility; Per-Participation Limitations</w:t>
              </w:r>
            </w:hyperlink>
          </w:p>
        </w:tc>
        <w:tc>
          <w:tcPr>
            <w:tcW w:w="418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6</w:t>
            </w:r>
          </w:p>
        </w:tc>
      </w:tr>
      <w:tr>
        <w:trPr>
          <w:trHeight w:val="196"/>
        </w:trPr>
        <w:tc>
          <w:tcPr>
            <w:tcW w:w="340" w:type="dxa"/>
            <w:vAlign w:val="bottom"/>
          </w:tcPr>
          <w:p>
            <w:pPr>
              <w:spacing w:after="0" w:line="196" w:lineRule="exact"/>
              <w:rPr>
                <w:sz w:val="20"/>
                <w:szCs w:val="20"/>
                <w:color w:val="auto"/>
              </w:rPr>
            </w:pPr>
            <w:r>
              <w:rPr>
                <w:rFonts w:ascii="Times New Roman" w:cs="Times New Roman" w:eastAsia="Times New Roman" w:hAnsi="Times New Roman"/>
                <w:sz w:val="18"/>
                <w:szCs w:val="18"/>
                <w:color w:val="auto"/>
              </w:rPr>
              <w:t>6.</w:t>
            </w:r>
          </w:p>
        </w:tc>
        <w:tc>
          <w:tcPr>
            <w:tcW w:w="2900" w:type="dxa"/>
            <w:vAlign w:val="bottom"/>
            <w:tcBorders>
              <w:top w:val="single" w:sz="8" w:color="0000EE"/>
            </w:tcBorders>
            <w:gridSpan w:val="10"/>
          </w:tcPr>
          <w:p>
            <w:pPr>
              <w:spacing w:after="0" w:line="196" w:lineRule="exact"/>
              <w:rPr>
                <w:rFonts w:ascii="Times New Roman" w:cs="Times New Roman" w:eastAsia="Times New Roman" w:hAnsi="Times New Roman"/>
                <w:sz w:val="18"/>
                <w:szCs w:val="18"/>
                <w:color w:val="0000EE"/>
              </w:rPr>
            </w:pPr>
            <w:hyperlink w:anchor="page12">
              <w:r>
                <w:rPr>
                  <w:rFonts w:ascii="Times New Roman" w:cs="Times New Roman" w:eastAsia="Times New Roman" w:hAnsi="Times New Roman"/>
                  <w:sz w:val="18"/>
                  <w:szCs w:val="18"/>
                  <w:color w:val="0000EE"/>
                </w:rPr>
                <w:t>Award Vesting Limitations</w:t>
              </w:r>
            </w:hyperlink>
          </w:p>
        </w:tc>
        <w:tc>
          <w:tcPr>
            <w:tcW w:w="4020" w:type="dxa"/>
            <w:vAlign w:val="bottom"/>
            <w:gridSpan w:val="2"/>
          </w:tcPr>
          <w:p>
            <w:pPr>
              <w:spacing w:after="0"/>
              <w:rPr>
                <w:sz w:val="17"/>
                <w:szCs w:val="17"/>
                <w:color w:val="auto"/>
              </w:rPr>
            </w:pPr>
          </w:p>
        </w:tc>
        <w:tc>
          <w:tcPr>
            <w:tcW w:w="418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6</w:t>
            </w:r>
          </w:p>
        </w:tc>
      </w:tr>
      <w:tr>
        <w:trPr>
          <w:trHeight w:val="196"/>
        </w:trPr>
        <w:tc>
          <w:tcPr>
            <w:tcW w:w="340" w:type="dxa"/>
            <w:vAlign w:val="bottom"/>
          </w:tcPr>
          <w:p>
            <w:pPr>
              <w:spacing w:after="0" w:line="196" w:lineRule="exact"/>
              <w:rPr>
                <w:sz w:val="20"/>
                <w:szCs w:val="20"/>
                <w:color w:val="auto"/>
              </w:rPr>
            </w:pPr>
            <w:r>
              <w:rPr>
                <w:rFonts w:ascii="Times New Roman" w:cs="Times New Roman" w:eastAsia="Times New Roman" w:hAnsi="Times New Roman"/>
                <w:sz w:val="18"/>
                <w:szCs w:val="18"/>
                <w:color w:val="auto"/>
              </w:rPr>
              <w:t>7.</w:t>
            </w:r>
          </w:p>
        </w:tc>
        <w:tc>
          <w:tcPr>
            <w:tcW w:w="1860" w:type="dxa"/>
            <w:vAlign w:val="bottom"/>
            <w:tcBorders>
              <w:top w:val="single" w:sz="8" w:color="0000EE"/>
              <w:bottom w:val="single" w:sz="8" w:color="0000EE"/>
            </w:tcBorders>
            <w:gridSpan w:val="7"/>
          </w:tcPr>
          <w:p>
            <w:pPr>
              <w:spacing w:after="0" w:line="196" w:lineRule="exact"/>
              <w:rPr>
                <w:rFonts w:ascii="Times New Roman" w:cs="Times New Roman" w:eastAsia="Times New Roman" w:hAnsi="Times New Roman"/>
                <w:sz w:val="18"/>
                <w:szCs w:val="18"/>
                <w:color w:val="0000EE"/>
                <w:w w:val="97"/>
              </w:rPr>
            </w:pPr>
            <w:hyperlink w:anchor="page12">
              <w:r>
                <w:rPr>
                  <w:rFonts w:ascii="Times New Roman" w:cs="Times New Roman" w:eastAsia="Times New Roman" w:hAnsi="Times New Roman"/>
                  <w:sz w:val="18"/>
                  <w:szCs w:val="18"/>
                  <w:color w:val="0000EE"/>
                  <w:w w:val="97"/>
                </w:rPr>
                <w:t>Specific Terms of Awards</w:t>
              </w:r>
            </w:hyperlink>
          </w:p>
        </w:tc>
        <w:tc>
          <w:tcPr>
            <w:tcW w:w="60" w:type="dxa"/>
            <w:vAlign w:val="bottom"/>
            <w:tcBorders>
              <w:top w:val="single" w:sz="8" w:color="0000EE"/>
            </w:tcBorders>
          </w:tcPr>
          <w:p>
            <w:pPr>
              <w:spacing w:after="0"/>
              <w:rPr>
                <w:sz w:val="17"/>
                <w:szCs w:val="17"/>
                <w:color w:val="auto"/>
              </w:rPr>
            </w:pPr>
          </w:p>
        </w:tc>
        <w:tc>
          <w:tcPr>
            <w:tcW w:w="5000" w:type="dxa"/>
            <w:vAlign w:val="bottom"/>
            <w:gridSpan w:val="4"/>
          </w:tcPr>
          <w:p>
            <w:pPr>
              <w:spacing w:after="0"/>
              <w:rPr>
                <w:sz w:val="17"/>
                <w:szCs w:val="17"/>
                <w:color w:val="auto"/>
              </w:rPr>
            </w:pPr>
          </w:p>
        </w:tc>
        <w:tc>
          <w:tcPr>
            <w:tcW w:w="418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6</w:t>
            </w:r>
          </w:p>
        </w:tc>
      </w:tr>
      <w:tr>
        <w:trPr>
          <w:trHeight w:val="196"/>
        </w:trPr>
        <w:tc>
          <w:tcPr>
            <w:tcW w:w="340" w:type="dxa"/>
            <w:vAlign w:val="bottom"/>
          </w:tcPr>
          <w:p>
            <w:pPr>
              <w:spacing w:after="0" w:line="196" w:lineRule="exact"/>
              <w:rPr>
                <w:sz w:val="20"/>
                <w:szCs w:val="20"/>
                <w:color w:val="auto"/>
              </w:rPr>
            </w:pPr>
            <w:r>
              <w:rPr>
                <w:rFonts w:ascii="Times New Roman" w:cs="Times New Roman" w:eastAsia="Times New Roman" w:hAnsi="Times New Roman"/>
                <w:sz w:val="18"/>
                <w:szCs w:val="18"/>
                <w:color w:val="auto"/>
              </w:rPr>
              <w:t>8.</w:t>
            </w:r>
          </w:p>
        </w:tc>
        <w:tc>
          <w:tcPr>
            <w:tcW w:w="2940" w:type="dxa"/>
            <w:vAlign w:val="bottom"/>
            <w:tcBorders>
              <w:bottom w:val="single" w:sz="8" w:color="0000EE"/>
            </w:tcBorders>
            <w:gridSpan w:val="11"/>
          </w:tcPr>
          <w:p>
            <w:pPr>
              <w:spacing w:after="0" w:line="196" w:lineRule="exact"/>
              <w:rPr>
                <w:rFonts w:ascii="Times New Roman" w:cs="Times New Roman" w:eastAsia="Times New Roman" w:hAnsi="Times New Roman"/>
                <w:sz w:val="18"/>
                <w:szCs w:val="18"/>
                <w:color w:val="0000EE"/>
                <w:w w:val="98"/>
              </w:rPr>
            </w:pPr>
            <w:hyperlink w:anchor="page16">
              <w:r>
                <w:rPr>
                  <w:rFonts w:ascii="Times New Roman" w:cs="Times New Roman" w:eastAsia="Times New Roman" w:hAnsi="Times New Roman"/>
                  <w:sz w:val="18"/>
                  <w:szCs w:val="18"/>
                  <w:color w:val="0000EE"/>
                  <w:w w:val="98"/>
                </w:rPr>
                <w:t>Certain Provisions Applicable to Awards</w:t>
              </w:r>
            </w:hyperlink>
          </w:p>
        </w:tc>
        <w:tc>
          <w:tcPr>
            <w:tcW w:w="3980" w:type="dxa"/>
            <w:vAlign w:val="bottom"/>
          </w:tcPr>
          <w:p>
            <w:pPr>
              <w:spacing w:after="0"/>
              <w:rPr>
                <w:sz w:val="17"/>
                <w:szCs w:val="17"/>
                <w:color w:val="auto"/>
              </w:rPr>
            </w:pPr>
          </w:p>
        </w:tc>
        <w:tc>
          <w:tcPr>
            <w:tcW w:w="418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10</w:t>
            </w:r>
          </w:p>
        </w:tc>
      </w:tr>
      <w:tr>
        <w:trPr>
          <w:trHeight w:val="196"/>
        </w:trPr>
        <w:tc>
          <w:tcPr>
            <w:tcW w:w="340" w:type="dxa"/>
            <w:vAlign w:val="bottom"/>
          </w:tcPr>
          <w:p>
            <w:pPr>
              <w:spacing w:after="0" w:line="196" w:lineRule="exact"/>
              <w:rPr>
                <w:sz w:val="20"/>
                <w:szCs w:val="20"/>
                <w:color w:val="auto"/>
              </w:rPr>
            </w:pPr>
            <w:r>
              <w:rPr>
                <w:rFonts w:ascii="Times New Roman" w:cs="Times New Roman" w:eastAsia="Times New Roman" w:hAnsi="Times New Roman"/>
                <w:sz w:val="18"/>
                <w:szCs w:val="18"/>
                <w:color w:val="auto"/>
              </w:rPr>
              <w:t>9.</w:t>
            </w:r>
          </w:p>
        </w:tc>
        <w:tc>
          <w:tcPr>
            <w:tcW w:w="2340" w:type="dxa"/>
            <w:vAlign w:val="bottom"/>
            <w:tcBorders>
              <w:bottom w:val="single" w:sz="8" w:color="0000EE"/>
            </w:tcBorders>
            <w:gridSpan w:val="9"/>
          </w:tcPr>
          <w:p>
            <w:pPr>
              <w:spacing w:after="0" w:line="196" w:lineRule="exact"/>
              <w:rPr>
                <w:rFonts w:ascii="Times New Roman" w:cs="Times New Roman" w:eastAsia="Times New Roman" w:hAnsi="Times New Roman"/>
                <w:sz w:val="18"/>
                <w:szCs w:val="18"/>
                <w:color w:val="0000EE"/>
                <w:w w:val="98"/>
              </w:rPr>
            </w:pPr>
            <w:hyperlink w:anchor="page18">
              <w:r>
                <w:rPr>
                  <w:rFonts w:ascii="Times New Roman" w:cs="Times New Roman" w:eastAsia="Times New Roman" w:hAnsi="Times New Roman"/>
                  <w:sz w:val="18"/>
                  <w:szCs w:val="18"/>
                  <w:color w:val="0000EE"/>
                  <w:w w:val="98"/>
                </w:rPr>
                <w:t>Code Section 162(m) Provisions</w:t>
              </w:r>
            </w:hyperlink>
          </w:p>
        </w:tc>
        <w:tc>
          <w:tcPr>
            <w:tcW w:w="4580" w:type="dxa"/>
            <w:vAlign w:val="bottom"/>
            <w:gridSpan w:val="3"/>
          </w:tcPr>
          <w:p>
            <w:pPr>
              <w:spacing w:after="0"/>
              <w:rPr>
                <w:sz w:val="17"/>
                <w:szCs w:val="17"/>
                <w:color w:val="auto"/>
              </w:rPr>
            </w:pPr>
          </w:p>
        </w:tc>
        <w:tc>
          <w:tcPr>
            <w:tcW w:w="418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12</w:t>
            </w:r>
          </w:p>
        </w:tc>
      </w:tr>
      <w:tr>
        <w:trPr>
          <w:trHeight w:val="196"/>
        </w:trPr>
        <w:tc>
          <w:tcPr>
            <w:tcW w:w="340" w:type="dxa"/>
            <w:vAlign w:val="bottom"/>
          </w:tcPr>
          <w:p>
            <w:pPr>
              <w:spacing w:after="0" w:line="196" w:lineRule="exact"/>
              <w:rPr>
                <w:sz w:val="20"/>
                <w:szCs w:val="20"/>
                <w:color w:val="auto"/>
              </w:rPr>
            </w:pPr>
            <w:r>
              <w:rPr>
                <w:rFonts w:ascii="Times New Roman" w:cs="Times New Roman" w:eastAsia="Times New Roman" w:hAnsi="Times New Roman"/>
                <w:sz w:val="18"/>
                <w:szCs w:val="18"/>
                <w:color w:val="auto"/>
              </w:rPr>
              <w:t>10.</w:t>
            </w:r>
          </w:p>
        </w:tc>
        <w:tc>
          <w:tcPr>
            <w:tcW w:w="6920" w:type="dxa"/>
            <w:vAlign w:val="bottom"/>
            <w:gridSpan w:val="12"/>
          </w:tcPr>
          <w:p>
            <w:pPr>
              <w:spacing w:after="0" w:line="196" w:lineRule="exact"/>
              <w:rPr>
                <w:rFonts w:ascii="Times New Roman" w:cs="Times New Roman" w:eastAsia="Times New Roman" w:hAnsi="Times New Roman"/>
                <w:sz w:val="18"/>
                <w:szCs w:val="18"/>
                <w:color w:val="0000EE"/>
              </w:rPr>
            </w:pPr>
            <w:hyperlink w:anchor="page19">
              <w:r>
                <w:rPr>
                  <w:rFonts w:ascii="Times New Roman" w:cs="Times New Roman" w:eastAsia="Times New Roman" w:hAnsi="Times New Roman"/>
                  <w:sz w:val="18"/>
                  <w:szCs w:val="18"/>
                  <w:color w:val="0000EE"/>
                </w:rPr>
                <w:t>Change in Control</w:t>
              </w:r>
            </w:hyperlink>
          </w:p>
        </w:tc>
        <w:tc>
          <w:tcPr>
            <w:tcW w:w="418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12</w:t>
            </w:r>
          </w:p>
        </w:tc>
      </w:tr>
      <w:tr>
        <w:trPr>
          <w:trHeight w:val="20"/>
        </w:trPr>
        <w:tc>
          <w:tcPr>
            <w:tcW w:w="340" w:type="dxa"/>
            <w:vAlign w:val="bottom"/>
          </w:tcPr>
          <w:p>
            <w:pPr>
              <w:spacing w:after="0" w:line="20" w:lineRule="exact"/>
              <w:rPr>
                <w:sz w:val="1"/>
                <w:szCs w:val="1"/>
                <w:color w:val="auto"/>
              </w:rPr>
            </w:pPr>
          </w:p>
        </w:tc>
        <w:tc>
          <w:tcPr>
            <w:tcW w:w="1320" w:type="dxa"/>
            <w:vAlign w:val="bottom"/>
            <w:gridSpan w:val="4"/>
            <w:shd w:val="clear" w:color="auto" w:fill="0000EE"/>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5560" w:type="dxa"/>
            <w:vAlign w:val="bottom"/>
            <w:gridSpan w:val="7"/>
          </w:tcPr>
          <w:p>
            <w:pPr>
              <w:spacing w:after="0" w:line="20" w:lineRule="exact"/>
              <w:rPr>
                <w:sz w:val="1"/>
                <w:szCs w:val="1"/>
                <w:color w:val="auto"/>
              </w:rPr>
            </w:pPr>
          </w:p>
        </w:tc>
        <w:tc>
          <w:tcPr>
            <w:tcW w:w="4180" w:type="dxa"/>
            <w:vAlign w:val="bottom"/>
          </w:tcPr>
          <w:p>
            <w:pPr>
              <w:spacing w:after="0" w:line="20" w:lineRule="exact"/>
              <w:rPr>
                <w:sz w:val="1"/>
                <w:szCs w:val="1"/>
                <w:color w:val="auto"/>
              </w:rPr>
            </w:pPr>
          </w:p>
        </w:tc>
      </w:tr>
      <w:tr>
        <w:trPr>
          <w:trHeight w:val="196"/>
        </w:trPr>
        <w:tc>
          <w:tcPr>
            <w:tcW w:w="340" w:type="dxa"/>
            <w:vAlign w:val="bottom"/>
          </w:tcPr>
          <w:p>
            <w:pPr>
              <w:spacing w:after="0" w:line="196" w:lineRule="exact"/>
              <w:rPr>
                <w:sz w:val="20"/>
                <w:szCs w:val="20"/>
                <w:color w:val="auto"/>
              </w:rPr>
            </w:pPr>
            <w:r>
              <w:rPr>
                <w:rFonts w:ascii="Times New Roman" w:cs="Times New Roman" w:eastAsia="Times New Roman" w:hAnsi="Times New Roman"/>
                <w:sz w:val="18"/>
                <w:szCs w:val="18"/>
                <w:color w:val="auto"/>
              </w:rPr>
              <w:t>11.</w:t>
            </w:r>
          </w:p>
        </w:tc>
        <w:tc>
          <w:tcPr>
            <w:tcW w:w="6920" w:type="dxa"/>
            <w:vAlign w:val="bottom"/>
            <w:gridSpan w:val="12"/>
          </w:tcPr>
          <w:p>
            <w:pPr>
              <w:spacing w:after="0" w:line="196" w:lineRule="exact"/>
              <w:rPr>
                <w:rFonts w:ascii="Times New Roman" w:cs="Times New Roman" w:eastAsia="Times New Roman" w:hAnsi="Times New Roman"/>
                <w:sz w:val="18"/>
                <w:szCs w:val="18"/>
                <w:color w:val="0000EE"/>
              </w:rPr>
            </w:pPr>
            <w:hyperlink w:anchor="page20">
              <w:r>
                <w:rPr>
                  <w:rFonts w:ascii="Times New Roman" w:cs="Times New Roman" w:eastAsia="Times New Roman" w:hAnsi="Times New Roman"/>
                  <w:sz w:val="18"/>
                  <w:szCs w:val="18"/>
                  <w:color w:val="0000EE"/>
                </w:rPr>
                <w:t>General Provisions</w:t>
              </w:r>
            </w:hyperlink>
          </w:p>
        </w:tc>
        <w:tc>
          <w:tcPr>
            <w:tcW w:w="418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14</w:t>
            </w:r>
          </w:p>
        </w:tc>
      </w:tr>
      <w:tr>
        <w:trPr>
          <w:trHeight w:val="1743"/>
        </w:trPr>
        <w:tc>
          <w:tcPr>
            <w:tcW w:w="340" w:type="dxa"/>
            <w:vAlign w:val="bottom"/>
            <w:tcBorders>
              <w:bottom w:val="single" w:sz="8" w:color="9A9A9A"/>
            </w:tcBorders>
          </w:tcPr>
          <w:p>
            <w:pPr>
              <w:spacing w:after="0"/>
              <w:rPr>
                <w:sz w:val="24"/>
                <w:szCs w:val="24"/>
                <w:color w:val="auto"/>
              </w:rPr>
            </w:pPr>
          </w:p>
        </w:tc>
        <w:tc>
          <w:tcPr>
            <w:tcW w:w="580" w:type="dxa"/>
            <w:vAlign w:val="bottom"/>
            <w:tcBorders>
              <w:top w:val="single" w:sz="8" w:color="0000EE"/>
              <w:bottom w:val="single" w:sz="8" w:color="9A9A9A"/>
            </w:tcBorders>
          </w:tcPr>
          <w:p>
            <w:pPr>
              <w:spacing w:after="0"/>
              <w:rPr>
                <w:sz w:val="24"/>
                <w:szCs w:val="24"/>
                <w:color w:val="auto"/>
              </w:rPr>
            </w:pPr>
          </w:p>
        </w:tc>
        <w:tc>
          <w:tcPr>
            <w:tcW w:w="220" w:type="dxa"/>
            <w:vAlign w:val="bottom"/>
            <w:tcBorders>
              <w:top w:val="single" w:sz="8" w:color="0000EE"/>
              <w:bottom w:val="single" w:sz="8" w:color="9A9A9A"/>
            </w:tcBorders>
          </w:tcPr>
          <w:p>
            <w:pPr>
              <w:spacing w:after="0"/>
              <w:rPr>
                <w:sz w:val="24"/>
                <w:szCs w:val="24"/>
                <w:color w:val="auto"/>
              </w:rPr>
            </w:pPr>
          </w:p>
        </w:tc>
        <w:tc>
          <w:tcPr>
            <w:tcW w:w="280" w:type="dxa"/>
            <w:vAlign w:val="bottom"/>
            <w:tcBorders>
              <w:top w:val="single" w:sz="8" w:color="0000EE"/>
              <w:bottom w:val="single" w:sz="8" w:color="9A9A9A"/>
            </w:tcBorders>
          </w:tcPr>
          <w:p>
            <w:pPr>
              <w:spacing w:after="0"/>
              <w:rPr>
                <w:sz w:val="24"/>
                <w:szCs w:val="24"/>
                <w:color w:val="auto"/>
              </w:rPr>
            </w:pPr>
          </w:p>
        </w:tc>
        <w:tc>
          <w:tcPr>
            <w:tcW w:w="240" w:type="dxa"/>
            <w:vAlign w:val="bottom"/>
            <w:tcBorders>
              <w:top w:val="single" w:sz="8" w:color="0000EE"/>
              <w:bottom w:val="single" w:sz="8" w:color="9A9A9A"/>
            </w:tcBorders>
          </w:tcPr>
          <w:p>
            <w:pPr>
              <w:spacing w:after="0"/>
              <w:rPr>
                <w:sz w:val="24"/>
                <w:szCs w:val="24"/>
                <w:color w:val="auto"/>
              </w:rPr>
            </w:pPr>
          </w:p>
        </w:tc>
        <w:tc>
          <w:tcPr>
            <w:tcW w:w="40" w:type="dxa"/>
            <w:vAlign w:val="bottom"/>
            <w:tcBorders>
              <w:top w:val="single" w:sz="8" w:color="0000EE"/>
              <w:bottom w:val="single" w:sz="8" w:color="9A9A9A"/>
            </w:tcBorders>
          </w:tcPr>
          <w:p>
            <w:pPr>
              <w:spacing w:after="0"/>
              <w:rPr>
                <w:sz w:val="24"/>
                <w:szCs w:val="24"/>
                <w:color w:val="auto"/>
              </w:rPr>
            </w:pPr>
          </w:p>
        </w:tc>
        <w:tc>
          <w:tcPr>
            <w:tcW w:w="240" w:type="dxa"/>
            <w:vAlign w:val="bottom"/>
            <w:tcBorders>
              <w:bottom w:val="single" w:sz="8" w:color="9A9A9A"/>
            </w:tcBorders>
          </w:tcPr>
          <w:p>
            <w:pPr>
              <w:spacing w:after="0"/>
              <w:rPr>
                <w:sz w:val="24"/>
                <w:szCs w:val="24"/>
                <w:color w:val="auto"/>
              </w:rPr>
            </w:pPr>
          </w:p>
        </w:tc>
        <w:tc>
          <w:tcPr>
            <w:tcW w:w="260" w:type="dxa"/>
            <w:vAlign w:val="bottom"/>
            <w:tcBorders>
              <w:bottom w:val="single" w:sz="8" w:color="9A9A9A"/>
            </w:tcBorders>
          </w:tcPr>
          <w:p>
            <w:pPr>
              <w:spacing w:after="0"/>
              <w:rPr>
                <w:sz w:val="24"/>
                <w:szCs w:val="24"/>
                <w:color w:val="auto"/>
              </w:rPr>
            </w:pPr>
          </w:p>
        </w:tc>
        <w:tc>
          <w:tcPr>
            <w:tcW w:w="60" w:type="dxa"/>
            <w:vAlign w:val="bottom"/>
            <w:tcBorders>
              <w:bottom w:val="single" w:sz="8" w:color="9A9A9A"/>
            </w:tcBorders>
          </w:tcPr>
          <w:p>
            <w:pPr>
              <w:spacing w:after="0"/>
              <w:rPr>
                <w:sz w:val="24"/>
                <w:szCs w:val="24"/>
                <w:color w:val="auto"/>
              </w:rPr>
            </w:pPr>
          </w:p>
        </w:tc>
        <w:tc>
          <w:tcPr>
            <w:tcW w:w="420" w:type="dxa"/>
            <w:vAlign w:val="bottom"/>
            <w:tcBorders>
              <w:bottom w:val="single" w:sz="8" w:color="9A9A9A"/>
            </w:tcBorders>
          </w:tcPr>
          <w:p>
            <w:pPr>
              <w:spacing w:after="0"/>
              <w:rPr>
                <w:sz w:val="24"/>
                <w:szCs w:val="24"/>
                <w:color w:val="auto"/>
              </w:rPr>
            </w:pPr>
          </w:p>
        </w:tc>
        <w:tc>
          <w:tcPr>
            <w:tcW w:w="560" w:type="dxa"/>
            <w:vAlign w:val="bottom"/>
            <w:tcBorders>
              <w:bottom w:val="single" w:sz="8" w:color="9A9A9A"/>
            </w:tcBorders>
          </w:tcPr>
          <w:p>
            <w:pPr>
              <w:spacing w:after="0"/>
              <w:rPr>
                <w:sz w:val="24"/>
                <w:szCs w:val="24"/>
                <w:color w:val="auto"/>
              </w:rPr>
            </w:pPr>
          </w:p>
        </w:tc>
        <w:tc>
          <w:tcPr>
            <w:tcW w:w="40" w:type="dxa"/>
            <w:vAlign w:val="bottom"/>
            <w:tcBorders>
              <w:bottom w:val="single" w:sz="8" w:color="9A9A9A"/>
            </w:tcBorders>
          </w:tcPr>
          <w:p>
            <w:pPr>
              <w:spacing w:after="0"/>
              <w:rPr>
                <w:sz w:val="24"/>
                <w:szCs w:val="24"/>
                <w:color w:val="auto"/>
              </w:rPr>
            </w:pPr>
          </w:p>
        </w:tc>
        <w:tc>
          <w:tcPr>
            <w:tcW w:w="3980" w:type="dxa"/>
            <w:vAlign w:val="bottom"/>
            <w:tcBorders>
              <w:bottom w:val="single" w:sz="8" w:color="9A9A9A"/>
            </w:tcBorders>
          </w:tcPr>
          <w:p>
            <w:pPr>
              <w:spacing w:after="0"/>
              <w:rPr>
                <w:sz w:val="24"/>
                <w:szCs w:val="24"/>
                <w:color w:val="auto"/>
              </w:rPr>
            </w:pPr>
          </w:p>
        </w:tc>
        <w:tc>
          <w:tcPr>
            <w:tcW w:w="418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7247255</wp:posOffset>
            </wp:positionH>
            <wp:positionV relativeFrom="paragraph">
              <wp:posOffset>-29210</wp:posOffset>
            </wp:positionV>
            <wp:extent cx="34290" cy="4254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34290"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440"/>
          </w:cols>
          <w:pgMar w:left="240" w:top="918" w:right="219" w:bottom="1440" w:gutter="0" w:footer="0" w:header="0"/>
        </w:sectPr>
      </w:pPr>
    </w:p>
    <w:bookmarkStart w:id="6" w:name="page7"/>
    <w:bookmarkEnd w:id="6"/>
    <w:p>
      <w:pPr>
        <w:ind w:left="4100"/>
        <w:spacing w:after="0"/>
        <w:rPr>
          <w:sz w:val="20"/>
          <w:szCs w:val="20"/>
          <w:color w:val="auto"/>
        </w:rPr>
      </w:pPr>
      <w:r>
        <w:rPr>
          <w:rFonts w:ascii="Times New Roman" w:cs="Times New Roman" w:eastAsia="Times New Roman" w:hAnsi="Times New Roman"/>
          <w:sz w:val="22"/>
          <w:szCs w:val="22"/>
          <w:b w:val="1"/>
          <w:bCs w:val="1"/>
          <w:color w:val="auto"/>
        </w:rPr>
        <w:t>DESTINATION XL GROUP, INC.</w:t>
      </w:r>
    </w:p>
    <w:p>
      <w:pPr>
        <w:spacing w:after="0" w:line="18" w:lineRule="exact"/>
        <w:rPr>
          <w:sz w:val="20"/>
          <w:szCs w:val="20"/>
          <w:color w:val="auto"/>
        </w:rPr>
      </w:pPr>
    </w:p>
    <w:p>
      <w:pPr>
        <w:ind w:left="3620"/>
        <w:spacing w:after="0"/>
        <w:rPr>
          <w:sz w:val="20"/>
          <w:szCs w:val="20"/>
          <w:color w:val="auto"/>
        </w:rPr>
      </w:pPr>
      <w:r>
        <w:rPr>
          <w:rFonts w:ascii="Times New Roman" w:cs="Times New Roman" w:eastAsia="Times New Roman" w:hAnsi="Times New Roman"/>
          <w:sz w:val="22"/>
          <w:szCs w:val="22"/>
          <w:b w:val="1"/>
          <w:bCs w:val="1"/>
          <w:color w:val="auto"/>
        </w:rPr>
        <w:t>2016 INCENTIVE COMPENSATION PLAN</w:t>
      </w:r>
    </w:p>
    <w:p>
      <w:pPr>
        <w:spacing w:after="0" w:line="187" w:lineRule="exact"/>
        <w:rPr>
          <w:sz w:val="20"/>
          <w:szCs w:val="20"/>
          <w:color w:val="auto"/>
        </w:rPr>
      </w:pPr>
    </w:p>
    <w:p>
      <w:pPr>
        <w:jc w:val="both"/>
        <w:ind w:firstLine="785"/>
        <w:spacing w:after="0" w:line="256" w:lineRule="auto"/>
        <w:tabs>
          <w:tab w:leader="none" w:pos="1560"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i w:val="1"/>
          <w:iCs w:val="1"/>
          <w:color w:val="auto"/>
        </w:rPr>
        <w:t>Purpose</w:t>
      </w:r>
      <w:r>
        <w:rPr>
          <w:rFonts w:ascii="Times New Roman" w:cs="Times New Roman" w:eastAsia="Times New Roman" w:hAnsi="Times New Roman"/>
          <w:sz w:val="18"/>
          <w:szCs w:val="18"/>
          <w:color w:val="auto"/>
        </w:rPr>
        <w:t>. The purpose of this DESTINATION XL GROUP, INC. 2016 INCENTIVE COMPENSATION PLAN (the “Plan”) is to assist</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DESTINATION XL GROUP, INC., a Delaware corporation (the “Company”) and its Related Entities (as hereinafter defined) in attracting, motivating, retaining and rewarding high-quality executives and other employees, officers, directors, consultants and other persons who provide services to the Company or its Related Entities by enabling such persons to acquire or increase a proprietary interest in the Company in order to strengthen the mutuality of interests between such persons and the Company’s shareholders, and providing such persons with performance incentives to expend their maximum efforts in the creation of shareholder value. The Plan replaces the 2006 Incentive Compensation Plan which was last amended effective as of August 1, 2013. The Plan was originally adopted effective as of August 4, 2016 and was amended effective as of August 8, 2019.</w:t>
      </w:r>
    </w:p>
    <w:p>
      <w:pPr>
        <w:spacing w:after="0" w:line="183" w:lineRule="exact"/>
        <w:rPr>
          <w:rFonts w:ascii="Times New Roman" w:cs="Times New Roman" w:eastAsia="Times New Roman" w:hAnsi="Times New Roman"/>
          <w:sz w:val="18"/>
          <w:szCs w:val="18"/>
          <w:color w:val="auto"/>
        </w:rPr>
      </w:pPr>
    </w:p>
    <w:p>
      <w:pPr>
        <w:ind w:firstLine="785"/>
        <w:spacing w:after="0" w:line="286" w:lineRule="auto"/>
        <w:tabs>
          <w:tab w:leader="none" w:pos="1560"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i w:val="1"/>
          <w:iCs w:val="1"/>
          <w:color w:val="auto"/>
        </w:rPr>
        <w:t>Definitions</w:t>
      </w:r>
      <w:r>
        <w:rPr>
          <w:rFonts w:ascii="Times New Roman" w:cs="Times New Roman" w:eastAsia="Times New Roman" w:hAnsi="Times New Roman"/>
          <w:sz w:val="18"/>
          <w:szCs w:val="18"/>
          <w:color w:val="auto"/>
        </w:rPr>
        <w:t>. For purposes of the Plan, the following terms shall be defined as set forth below, in addition to such terms defined in</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Section 1 hereof and elsewhere herein.</w:t>
      </w:r>
    </w:p>
    <w:p>
      <w:pPr>
        <w:spacing w:after="0" w:line="154" w:lineRule="exact"/>
        <w:rPr>
          <w:rFonts w:ascii="Times New Roman" w:cs="Times New Roman" w:eastAsia="Times New Roman" w:hAnsi="Times New Roman"/>
          <w:sz w:val="18"/>
          <w:szCs w:val="18"/>
          <w:color w:val="auto"/>
        </w:rPr>
      </w:pPr>
    </w:p>
    <w:p>
      <w:pPr>
        <w:jc w:val="both"/>
        <w:ind w:firstLine="1561"/>
        <w:spacing w:after="0" w:line="268" w:lineRule="auto"/>
        <w:tabs>
          <w:tab w:leader="none" w:pos="2401" w:val="left"/>
        </w:tabs>
        <w:numPr>
          <w:ilvl w:val="1"/>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Award</w:t>
      </w:r>
      <w:r>
        <w:rPr>
          <w:rFonts w:ascii="Times New Roman" w:cs="Times New Roman" w:eastAsia="Times New Roman" w:hAnsi="Times New Roman"/>
          <w:sz w:val="18"/>
          <w:szCs w:val="18"/>
          <w:color w:val="auto"/>
        </w:rPr>
        <w:t>” means any Option, Stock Appreciation Right, Restricted Stock Award, Deferred Award, Share granted as a bonus or in lieu of another Award, Dividend Equivalent, Other Stock-Based Award or Performance Award, together with any other right or interest relating to Shares or other property (including cash), granted to a Participant under the Plan.</w:t>
      </w:r>
    </w:p>
    <w:p>
      <w:pPr>
        <w:spacing w:after="0" w:line="170" w:lineRule="exact"/>
        <w:rPr>
          <w:rFonts w:ascii="Times New Roman" w:cs="Times New Roman" w:eastAsia="Times New Roman" w:hAnsi="Times New Roman"/>
          <w:sz w:val="18"/>
          <w:szCs w:val="18"/>
          <w:color w:val="auto"/>
        </w:rPr>
      </w:pPr>
    </w:p>
    <w:p>
      <w:pPr>
        <w:ind w:left="2420" w:hanging="859"/>
        <w:spacing w:after="0"/>
        <w:tabs>
          <w:tab w:leader="none" w:pos="2420" w:val="left"/>
        </w:tabs>
        <w:numPr>
          <w:ilvl w:val="1"/>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Award Agreement</w:t>
      </w:r>
      <w:r>
        <w:rPr>
          <w:rFonts w:ascii="Times New Roman" w:cs="Times New Roman" w:eastAsia="Times New Roman" w:hAnsi="Times New Roman"/>
          <w:sz w:val="18"/>
          <w:szCs w:val="18"/>
          <w:color w:val="auto"/>
        </w:rPr>
        <w:t>” means any written agreement, contract or other instrument or document evidencing any Award granted</w:t>
      </w:r>
    </w:p>
    <w:p>
      <w:pPr>
        <w:spacing w:after="0" w:line="31" w:lineRule="exact"/>
        <w:rPr>
          <w:rFonts w:ascii="Times New Roman" w:cs="Times New Roman" w:eastAsia="Times New Roman" w:hAnsi="Times New Roman"/>
          <w:sz w:val="18"/>
          <w:szCs w:val="18"/>
          <w:color w:val="auto"/>
        </w:rPr>
      </w:pPr>
    </w:p>
    <w:p>
      <w:pPr>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by the Committee hereunder.</w:t>
      </w:r>
    </w:p>
    <w:p>
      <w:pPr>
        <w:spacing w:after="0" w:line="202" w:lineRule="exact"/>
        <w:rPr>
          <w:rFonts w:ascii="Times New Roman" w:cs="Times New Roman" w:eastAsia="Times New Roman" w:hAnsi="Times New Roman"/>
          <w:sz w:val="18"/>
          <w:szCs w:val="18"/>
          <w:color w:val="auto"/>
        </w:rPr>
      </w:pPr>
    </w:p>
    <w:p>
      <w:pPr>
        <w:jc w:val="both"/>
        <w:ind w:firstLine="1561"/>
        <w:spacing w:after="0" w:line="262" w:lineRule="auto"/>
        <w:tabs>
          <w:tab w:leader="none" w:pos="2401" w:val="left"/>
        </w:tabs>
        <w:numPr>
          <w:ilvl w:val="1"/>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Beneficiary</w:t>
      </w:r>
      <w:r>
        <w:rPr>
          <w:rFonts w:ascii="Times New Roman" w:cs="Times New Roman" w:eastAsia="Times New Roman" w:hAnsi="Times New Roman"/>
          <w:sz w:val="18"/>
          <w:szCs w:val="18"/>
          <w:color w:val="auto"/>
        </w:rPr>
        <w:t>” means the person, persons, trust or trusts that have been designated by a Participant in his or her most recent written beneficiary designation filed with the Committee to receive the benefits specified under the Plan upon such Participant’s death or to which Awards or other rights are transferred if and to the extent permitted under Section 11(b) hereof. If, upon a Participant’s death, there is no designated Beneficiary or surviving designated Beneficiary, then the term Beneficiary means the Participant’s estate.</w:t>
      </w:r>
    </w:p>
    <w:p>
      <w:pPr>
        <w:spacing w:after="0" w:line="151" w:lineRule="exact"/>
        <w:rPr>
          <w:rFonts w:ascii="Times New Roman" w:cs="Times New Roman" w:eastAsia="Times New Roman" w:hAnsi="Times New Roman"/>
          <w:sz w:val="18"/>
          <w:szCs w:val="18"/>
          <w:color w:val="auto"/>
        </w:rPr>
      </w:pPr>
    </w:p>
    <w:p>
      <w:pPr>
        <w:ind w:left="2420" w:hanging="859"/>
        <w:spacing w:after="0" w:line="207" w:lineRule="exact"/>
        <w:tabs>
          <w:tab w:leader="none" w:pos="2420" w:val="left"/>
        </w:tabs>
        <w:numPr>
          <w:ilvl w:val="1"/>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Beneficial Owner</w:t>
      </w:r>
      <w:r>
        <w:rPr>
          <w:rFonts w:ascii="Times New Roman" w:cs="Times New Roman" w:eastAsia="Times New Roman" w:hAnsi="Times New Roman"/>
          <w:sz w:val="18"/>
          <w:szCs w:val="18"/>
          <w:color w:val="auto"/>
        </w:rPr>
        <w:t>” shall have the meaning ascribed to such term in Rule 13d</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3 under the Exchange Act and any successor</w:t>
      </w:r>
    </w:p>
    <w:p>
      <w:pPr>
        <w:spacing w:after="0" w:line="57" w:lineRule="exact"/>
        <w:rPr>
          <w:rFonts w:ascii="Times New Roman" w:cs="Times New Roman" w:eastAsia="Times New Roman" w:hAnsi="Times New Roman"/>
          <w:sz w:val="18"/>
          <w:szCs w:val="18"/>
          <w:color w:val="auto"/>
        </w:rPr>
      </w:pPr>
    </w:p>
    <w:p>
      <w:pPr>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such Rule.</w:t>
      </w:r>
    </w:p>
    <w:p>
      <w:pPr>
        <w:spacing w:after="0" w:line="201" w:lineRule="exact"/>
        <w:rPr>
          <w:rFonts w:ascii="Times New Roman" w:cs="Times New Roman" w:eastAsia="Times New Roman" w:hAnsi="Times New Roman"/>
          <w:sz w:val="18"/>
          <w:szCs w:val="18"/>
          <w:color w:val="auto"/>
        </w:rPr>
      </w:pPr>
    </w:p>
    <w:p>
      <w:pPr>
        <w:ind w:left="2400" w:hanging="839"/>
        <w:spacing w:after="0"/>
        <w:tabs>
          <w:tab w:leader="none" w:pos="2400" w:val="left"/>
        </w:tabs>
        <w:numPr>
          <w:ilvl w:val="1"/>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Board</w:t>
      </w:r>
      <w:r>
        <w:rPr>
          <w:rFonts w:ascii="Times New Roman" w:cs="Times New Roman" w:eastAsia="Times New Roman" w:hAnsi="Times New Roman"/>
          <w:sz w:val="18"/>
          <w:szCs w:val="18"/>
          <w:color w:val="auto"/>
        </w:rPr>
        <w:t>” means the Company’s Board of Directors.</w:t>
      </w:r>
    </w:p>
    <w:p>
      <w:pPr>
        <w:spacing w:after="0" w:line="225" w:lineRule="exact"/>
        <w:rPr>
          <w:rFonts w:ascii="Times New Roman" w:cs="Times New Roman" w:eastAsia="Times New Roman" w:hAnsi="Times New Roman"/>
          <w:sz w:val="18"/>
          <w:szCs w:val="18"/>
          <w:color w:val="auto"/>
        </w:rPr>
      </w:pPr>
    </w:p>
    <w:p>
      <w:pPr>
        <w:ind w:left="2380" w:hanging="819"/>
        <w:spacing w:after="0"/>
        <w:tabs>
          <w:tab w:leader="none" w:pos="2380" w:val="left"/>
        </w:tabs>
        <w:numPr>
          <w:ilvl w:val="1"/>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Change in Control</w:t>
      </w:r>
      <w:r>
        <w:rPr>
          <w:rFonts w:ascii="Times New Roman" w:cs="Times New Roman" w:eastAsia="Times New Roman" w:hAnsi="Times New Roman"/>
          <w:sz w:val="18"/>
          <w:szCs w:val="18"/>
          <w:color w:val="auto"/>
        </w:rPr>
        <w:t>” means a Change in Control as defined in Section 10(b) of the Plan.</w:t>
      </w:r>
    </w:p>
    <w:p>
      <w:pPr>
        <w:spacing w:after="0" w:line="225" w:lineRule="exact"/>
        <w:rPr>
          <w:rFonts w:ascii="Times New Roman" w:cs="Times New Roman" w:eastAsia="Times New Roman" w:hAnsi="Times New Roman"/>
          <w:sz w:val="18"/>
          <w:szCs w:val="18"/>
          <w:color w:val="auto"/>
        </w:rPr>
      </w:pPr>
    </w:p>
    <w:p>
      <w:pPr>
        <w:ind w:firstLine="1561"/>
        <w:spacing w:after="0" w:line="286" w:lineRule="auto"/>
        <w:tabs>
          <w:tab w:leader="none" w:pos="2411" w:val="left"/>
        </w:tabs>
        <w:numPr>
          <w:ilvl w:val="1"/>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Code</w:t>
      </w:r>
      <w:r>
        <w:rPr>
          <w:rFonts w:ascii="Times New Roman" w:cs="Times New Roman" w:eastAsia="Times New Roman" w:hAnsi="Times New Roman"/>
          <w:sz w:val="18"/>
          <w:szCs w:val="18"/>
          <w:color w:val="auto"/>
        </w:rPr>
        <w:t>” means the Internal Revenue Code of 1986, as amended from time to time, including regulations thereunder and successor provisions and regulations thereto.</w:t>
      </w:r>
    </w:p>
    <w:p>
      <w:pPr>
        <w:spacing w:after="0" w:line="154" w:lineRule="exact"/>
        <w:rPr>
          <w:rFonts w:ascii="Times New Roman" w:cs="Times New Roman" w:eastAsia="Times New Roman" w:hAnsi="Times New Roman"/>
          <w:sz w:val="18"/>
          <w:szCs w:val="18"/>
          <w:color w:val="auto"/>
        </w:rPr>
      </w:pPr>
    </w:p>
    <w:p>
      <w:pPr>
        <w:jc w:val="both"/>
        <w:ind w:firstLine="1561"/>
        <w:spacing w:after="0" w:line="256" w:lineRule="auto"/>
        <w:tabs>
          <w:tab w:leader="none" w:pos="2411" w:val="left"/>
        </w:tabs>
        <w:numPr>
          <w:ilvl w:val="1"/>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Committee</w:t>
      </w:r>
      <w:r>
        <w:rPr>
          <w:rFonts w:ascii="Times New Roman" w:cs="Times New Roman" w:eastAsia="Times New Roman" w:hAnsi="Times New Roman"/>
          <w:sz w:val="18"/>
          <w:szCs w:val="18"/>
          <w:color w:val="auto"/>
        </w:rPr>
        <w:t>” means a committee designated by the Board to administer the Plan; provided, however, that if the Board fails to designate a committee or if there are no longer any members on the committee so designated by the Board, or for any other reason determined by the Board, then the Board shall serve as the Committee. The Committee shall consist of at least two directors, and each member of the Committee shall be (i) a “non-employee director” within the meaning of Rule 16b-3 (or any successor rule) under the Exchange Act, unless administration of the Plan by “non-employee directors” is not then required in order for exemptions under Rule 16b-3 to apply to transactions under the Plan, (ii) an “outside director” within the meaning of Section 162(m) of the Code, and (iii) “Independent”; provided, however, the failure of the Committee to be so comprised shall not invalidate any Award that otherwise satisfies the terms of the Plan.</w:t>
      </w:r>
    </w:p>
    <w:p>
      <w:pPr>
        <w:spacing w:after="0" w:line="183" w:lineRule="exact"/>
        <w:rPr>
          <w:rFonts w:ascii="Times New Roman" w:cs="Times New Roman" w:eastAsia="Times New Roman" w:hAnsi="Times New Roman"/>
          <w:sz w:val="18"/>
          <w:szCs w:val="18"/>
          <w:color w:val="auto"/>
        </w:rPr>
      </w:pPr>
    </w:p>
    <w:p>
      <w:pPr>
        <w:jc w:val="both"/>
        <w:ind w:firstLine="1561"/>
        <w:spacing w:after="0" w:line="268" w:lineRule="auto"/>
        <w:tabs>
          <w:tab w:leader="none" w:pos="2371" w:val="left"/>
        </w:tabs>
        <w:numPr>
          <w:ilvl w:val="1"/>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Consultant</w:t>
      </w:r>
      <w:r>
        <w:rPr>
          <w:rFonts w:ascii="Times New Roman" w:cs="Times New Roman" w:eastAsia="Times New Roman" w:hAnsi="Times New Roman"/>
          <w:sz w:val="18"/>
          <w:szCs w:val="18"/>
          <w:color w:val="auto"/>
        </w:rPr>
        <w:t>” means any person (other than an Employee or a Director, solely with respect to rendering services in such person’s capacity as a director) who is engaged by the Company or any Related Entity to render consulting or advisory services to the Company or such Related Entity.</w:t>
      </w:r>
    </w:p>
    <w:p>
      <w:pPr>
        <w:spacing w:after="0" w:line="170" w:lineRule="exact"/>
        <w:rPr>
          <w:rFonts w:ascii="Times New Roman" w:cs="Times New Roman" w:eastAsia="Times New Roman" w:hAnsi="Times New Roman"/>
          <w:sz w:val="18"/>
          <w:szCs w:val="18"/>
          <w:color w:val="auto"/>
        </w:rPr>
      </w:pPr>
    </w:p>
    <w:p>
      <w:pPr>
        <w:jc w:val="both"/>
        <w:ind w:firstLine="1561"/>
        <w:spacing w:after="0" w:line="259" w:lineRule="auto"/>
        <w:tabs>
          <w:tab w:leader="none" w:pos="2371" w:val="left"/>
        </w:tabs>
        <w:numPr>
          <w:ilvl w:val="1"/>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Continuous Service</w:t>
      </w:r>
      <w:r>
        <w:rPr>
          <w:rFonts w:ascii="Times New Roman" w:cs="Times New Roman" w:eastAsia="Times New Roman" w:hAnsi="Times New Roman"/>
          <w:sz w:val="18"/>
          <w:szCs w:val="18"/>
          <w:color w:val="auto"/>
        </w:rPr>
        <w:t>” means the uninterrupted provision of services to the Company or any Related Entity in any capacity of Employee, Director, Consultant or other service provider. Continuous Service shall not be considered to be interrupted in the case of (i) any approved leave of absence, (ii) transfers among the Company, any Related Entities, or any successor entities, in any capacity of Employee, Director, Consultant or other service provider, or (iii) any change in status as long as the individual remains in the service of the Company or a Related Entity in any capacity of Employee, Director, Consultant or other service provider (except</w:t>
      </w:r>
    </w:p>
    <w:p>
      <w:pPr>
        <w:spacing w:after="0" w:line="40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210820</wp:posOffset>
            </wp:positionV>
            <wp:extent cx="7289165" cy="4254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324" w:right="239" w:bottom="1440" w:gutter="0" w:footer="0" w:header="0"/>
        </w:sectPr>
      </w:pPr>
    </w:p>
    <w:bookmarkStart w:id="7" w:name="page8"/>
    <w:bookmarkEnd w:id="7"/>
    <w:p>
      <w:pPr>
        <w:ind w:right="20"/>
        <w:spacing w:after="0" w:line="282" w:lineRule="auto"/>
        <w:rPr>
          <w:sz w:val="20"/>
          <w:szCs w:val="20"/>
          <w:color w:val="auto"/>
        </w:rPr>
      </w:pPr>
      <w:r>
        <w:rPr>
          <w:rFonts w:ascii="Times New Roman" w:cs="Times New Roman" w:eastAsia="Times New Roman" w:hAnsi="Times New Roman"/>
          <w:sz w:val="18"/>
          <w:szCs w:val="18"/>
          <w:color w:val="auto"/>
        </w:rPr>
        <w:t>as otherwise provided in the Award Agreement). An approved leave of absence shall include sick leave, military leave, or any other authorized personal leave.</w:t>
      </w:r>
    </w:p>
    <w:p>
      <w:pPr>
        <w:spacing w:after="0" w:line="158" w:lineRule="exact"/>
        <w:rPr>
          <w:sz w:val="20"/>
          <w:szCs w:val="20"/>
          <w:color w:val="auto"/>
        </w:rPr>
      </w:pPr>
    </w:p>
    <w:p>
      <w:pPr>
        <w:ind w:right="20" w:firstLine="1561"/>
        <w:spacing w:after="0" w:line="286" w:lineRule="auto"/>
        <w:tabs>
          <w:tab w:leader="none" w:pos="2411"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Covered Employee</w:t>
      </w:r>
      <w:r>
        <w:rPr>
          <w:rFonts w:ascii="Times New Roman" w:cs="Times New Roman" w:eastAsia="Times New Roman" w:hAnsi="Times New Roman"/>
          <w:sz w:val="18"/>
          <w:szCs w:val="18"/>
          <w:color w:val="auto"/>
        </w:rPr>
        <w:t>” means an Eligible Person who is a “covered employee” within the meaning of Section 162(m)(3) of the Code, or any successor provision thereto.</w:t>
      </w:r>
    </w:p>
    <w:p>
      <w:pPr>
        <w:spacing w:after="0" w:line="154" w:lineRule="exact"/>
        <w:rPr>
          <w:rFonts w:ascii="Times New Roman" w:cs="Times New Roman" w:eastAsia="Times New Roman" w:hAnsi="Times New Roman"/>
          <w:sz w:val="18"/>
          <w:szCs w:val="18"/>
          <w:color w:val="auto"/>
        </w:rPr>
      </w:pPr>
    </w:p>
    <w:p>
      <w:pPr>
        <w:jc w:val="both"/>
        <w:ind w:firstLine="1561"/>
        <w:spacing w:after="0" w:line="268" w:lineRule="auto"/>
        <w:tabs>
          <w:tab w:leader="none" w:pos="2371"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Deferred Sto</w:t>
      </w:r>
      <w:r>
        <w:rPr>
          <w:rFonts w:ascii="Times New Roman" w:cs="Times New Roman" w:eastAsia="Times New Roman" w:hAnsi="Times New Roman"/>
          <w:sz w:val="18"/>
          <w:szCs w:val="18"/>
          <w:color w:val="auto"/>
        </w:rPr>
        <w:t>ck” means a right to receive Shares, cash measured based upon the value of Shares or a combination thereof, at the end of a specified deferral period, which right is not subject to a substantial risk of forfeiture (other than the potential clawback of benefits under Section 8(f) hereof).</w:t>
      </w:r>
    </w:p>
    <w:p>
      <w:pPr>
        <w:spacing w:after="0" w:line="170" w:lineRule="exact"/>
        <w:rPr>
          <w:rFonts w:ascii="Times New Roman" w:cs="Times New Roman" w:eastAsia="Times New Roman" w:hAnsi="Times New Roman"/>
          <w:sz w:val="18"/>
          <w:szCs w:val="18"/>
          <w:color w:val="auto"/>
        </w:rPr>
      </w:pPr>
    </w:p>
    <w:p>
      <w:pPr>
        <w:ind w:left="2460" w:hanging="899"/>
        <w:spacing w:after="0"/>
        <w:tabs>
          <w:tab w:leader="none" w:pos="246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Deferred Award</w:t>
      </w:r>
      <w:r>
        <w:rPr>
          <w:rFonts w:ascii="Times New Roman" w:cs="Times New Roman" w:eastAsia="Times New Roman" w:hAnsi="Times New Roman"/>
          <w:sz w:val="18"/>
          <w:szCs w:val="18"/>
          <w:color w:val="auto"/>
        </w:rPr>
        <w:t>” means an Award of Deferred Stock or Restricted Stock Units granted to a Participant under Section 7(e)</w:t>
      </w:r>
    </w:p>
    <w:p>
      <w:pPr>
        <w:spacing w:after="0" w:line="31" w:lineRule="exact"/>
        <w:rPr>
          <w:rFonts w:ascii="Times New Roman" w:cs="Times New Roman" w:eastAsia="Times New Roman" w:hAnsi="Times New Roman"/>
          <w:sz w:val="18"/>
          <w:szCs w:val="18"/>
          <w:color w:val="auto"/>
        </w:rPr>
      </w:pPr>
    </w:p>
    <w:p>
      <w:pPr>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hereof.</w:t>
      </w:r>
    </w:p>
    <w:p>
      <w:pPr>
        <w:spacing w:after="0" w:line="202" w:lineRule="exact"/>
        <w:rPr>
          <w:rFonts w:ascii="Times New Roman" w:cs="Times New Roman" w:eastAsia="Times New Roman" w:hAnsi="Times New Roman"/>
          <w:sz w:val="18"/>
          <w:szCs w:val="18"/>
          <w:color w:val="auto"/>
        </w:rPr>
      </w:pPr>
    </w:p>
    <w:p>
      <w:pPr>
        <w:ind w:left="2420" w:hanging="859"/>
        <w:spacing w:after="0"/>
        <w:tabs>
          <w:tab w:leader="none" w:pos="242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Director</w:t>
      </w:r>
      <w:r>
        <w:rPr>
          <w:rFonts w:ascii="Times New Roman" w:cs="Times New Roman" w:eastAsia="Times New Roman" w:hAnsi="Times New Roman"/>
          <w:sz w:val="18"/>
          <w:szCs w:val="18"/>
          <w:color w:val="auto"/>
        </w:rPr>
        <w:t>” means a member of the Board or the board of directors of any Related Entity.</w:t>
      </w:r>
    </w:p>
    <w:p>
      <w:pPr>
        <w:spacing w:after="0" w:line="225" w:lineRule="exact"/>
        <w:rPr>
          <w:rFonts w:ascii="Times New Roman" w:cs="Times New Roman" w:eastAsia="Times New Roman" w:hAnsi="Times New Roman"/>
          <w:sz w:val="18"/>
          <w:szCs w:val="18"/>
          <w:color w:val="auto"/>
        </w:rPr>
      </w:pPr>
    </w:p>
    <w:p>
      <w:pPr>
        <w:ind w:firstLine="1561"/>
        <w:spacing w:after="0" w:line="286" w:lineRule="auto"/>
        <w:tabs>
          <w:tab w:leader="none" w:pos="2411"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Disability</w:t>
      </w:r>
      <w:r>
        <w:rPr>
          <w:rFonts w:ascii="Times New Roman" w:cs="Times New Roman" w:eastAsia="Times New Roman" w:hAnsi="Times New Roman"/>
          <w:sz w:val="18"/>
          <w:szCs w:val="18"/>
          <w:color w:val="auto"/>
        </w:rPr>
        <w:t>” means a permanent and total disability (within the meaning of Section 22(e) of the Code), as determined by a medical doctor satisfactory to the Committee.</w:t>
      </w:r>
    </w:p>
    <w:p>
      <w:pPr>
        <w:spacing w:after="0" w:line="154" w:lineRule="exact"/>
        <w:rPr>
          <w:rFonts w:ascii="Times New Roman" w:cs="Times New Roman" w:eastAsia="Times New Roman" w:hAnsi="Times New Roman"/>
          <w:sz w:val="18"/>
          <w:szCs w:val="18"/>
          <w:color w:val="auto"/>
        </w:rPr>
      </w:pPr>
    </w:p>
    <w:p>
      <w:pPr>
        <w:ind w:right="20" w:firstLine="1561"/>
        <w:spacing w:after="0" w:line="286" w:lineRule="auto"/>
        <w:tabs>
          <w:tab w:leader="none" w:pos="2411"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Dividend Equivalent</w:t>
      </w:r>
      <w:r>
        <w:rPr>
          <w:rFonts w:ascii="Times New Roman" w:cs="Times New Roman" w:eastAsia="Times New Roman" w:hAnsi="Times New Roman"/>
          <w:sz w:val="18"/>
          <w:szCs w:val="18"/>
          <w:color w:val="auto"/>
        </w:rPr>
        <w:t>” means a right, granted to a Participant under Section 7(g) hereof, to receive cash, Shares, other Awards or other property equal in value to dividends paid with respect to a specified number of Shares, or other periodic payments.</w:t>
      </w:r>
    </w:p>
    <w:p>
      <w:pPr>
        <w:spacing w:after="0" w:line="154" w:lineRule="exact"/>
        <w:rPr>
          <w:rFonts w:ascii="Times New Roman" w:cs="Times New Roman" w:eastAsia="Times New Roman" w:hAnsi="Times New Roman"/>
          <w:sz w:val="18"/>
          <w:szCs w:val="18"/>
          <w:color w:val="auto"/>
        </w:rPr>
      </w:pPr>
    </w:p>
    <w:p>
      <w:pPr>
        <w:ind w:left="2420" w:hanging="859"/>
        <w:spacing w:after="0"/>
        <w:tabs>
          <w:tab w:leader="none" w:pos="242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Effective Date</w:t>
      </w:r>
      <w:r>
        <w:rPr>
          <w:rFonts w:ascii="Times New Roman" w:cs="Times New Roman" w:eastAsia="Times New Roman" w:hAnsi="Times New Roman"/>
          <w:sz w:val="18"/>
          <w:szCs w:val="18"/>
          <w:color w:val="auto"/>
        </w:rPr>
        <w:t>” means the effective date of the Plan, which shall be the Shareholder Approval Date.</w:t>
      </w:r>
    </w:p>
    <w:p>
      <w:pPr>
        <w:spacing w:after="0" w:line="225" w:lineRule="exact"/>
        <w:rPr>
          <w:rFonts w:ascii="Times New Roman" w:cs="Times New Roman" w:eastAsia="Times New Roman" w:hAnsi="Times New Roman"/>
          <w:sz w:val="18"/>
          <w:szCs w:val="18"/>
          <w:color w:val="auto"/>
        </w:rPr>
      </w:pPr>
    </w:p>
    <w:p>
      <w:pPr>
        <w:jc w:val="both"/>
        <w:ind w:firstLine="1561"/>
        <w:spacing w:after="0" w:line="256" w:lineRule="auto"/>
        <w:tabs>
          <w:tab w:leader="none" w:pos="2381"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Eligible Person</w:t>
      </w:r>
      <w:r>
        <w:rPr>
          <w:rFonts w:ascii="Times New Roman" w:cs="Times New Roman" w:eastAsia="Times New Roman" w:hAnsi="Times New Roman"/>
          <w:sz w:val="18"/>
          <w:szCs w:val="18"/>
          <w:color w:val="auto"/>
        </w:rPr>
        <w:t>” means each officer, Director, Employee, Consultant and other person who provides services to the Company or any Related Entity. The foregoing notwithstanding, only employees of the Company, or any parent corporation or subsidiary corporation of the Company (as those terms are defined in Sections 424(e) and (f) of the Code, respectively), shall be Eligible Persons for purposes of receiving any Incentive Stock Options. An Employee on leave of absence may, in the discretion of the Committee, be considered as still in the employ of the Company or a Related Entity for purposes of eligibility for participation in the Plan. Notwithstanding the foregoing, a Person shall not be an Eligible Person if the identity of such person would preclude the Company from offering or selling securities to such person pursuant to the Plan in reliance on registration on a Form S-8 Registration Statement under the Securities Act of 1933.</w:t>
      </w:r>
    </w:p>
    <w:p>
      <w:pPr>
        <w:spacing w:after="0" w:line="183" w:lineRule="exact"/>
        <w:rPr>
          <w:rFonts w:ascii="Times New Roman" w:cs="Times New Roman" w:eastAsia="Times New Roman" w:hAnsi="Times New Roman"/>
          <w:sz w:val="18"/>
          <w:szCs w:val="18"/>
          <w:color w:val="auto"/>
        </w:rPr>
      </w:pPr>
    </w:p>
    <w:p>
      <w:pPr>
        <w:jc w:val="both"/>
        <w:ind w:firstLine="1561"/>
        <w:spacing w:after="0" w:line="262" w:lineRule="auto"/>
        <w:tabs>
          <w:tab w:leader="none" w:pos="2391"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Employee</w:t>
      </w:r>
      <w:r>
        <w:rPr>
          <w:rFonts w:ascii="Times New Roman" w:cs="Times New Roman" w:eastAsia="Times New Roman" w:hAnsi="Times New Roman"/>
          <w:sz w:val="18"/>
          <w:szCs w:val="18"/>
          <w:color w:val="auto"/>
        </w:rPr>
        <w:t>” means any person, including an officer or Director, who is an employee of the Company or any Related Entity, or is a prospective employee of the Company or any Related Entity (conditioned upon and effective not earlier than, such person becoming an employee of the Company or any Related Entity). The payment of a director’s fee by the Company or a Related Entity shall not be sufficient to constitute “employment” by the Company.</w:t>
      </w:r>
    </w:p>
    <w:p>
      <w:pPr>
        <w:spacing w:after="0" w:line="176" w:lineRule="exact"/>
        <w:rPr>
          <w:rFonts w:ascii="Times New Roman" w:cs="Times New Roman" w:eastAsia="Times New Roman" w:hAnsi="Times New Roman"/>
          <w:sz w:val="18"/>
          <w:szCs w:val="18"/>
          <w:color w:val="auto"/>
        </w:rPr>
      </w:pPr>
    </w:p>
    <w:p>
      <w:pPr>
        <w:ind w:firstLine="1561"/>
        <w:spacing w:after="0" w:line="286" w:lineRule="auto"/>
        <w:tabs>
          <w:tab w:leader="none" w:pos="2371"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Exchange Act</w:t>
      </w:r>
      <w:r>
        <w:rPr>
          <w:rFonts w:ascii="Times New Roman" w:cs="Times New Roman" w:eastAsia="Times New Roman" w:hAnsi="Times New Roman"/>
          <w:sz w:val="18"/>
          <w:szCs w:val="18"/>
          <w:color w:val="auto"/>
        </w:rPr>
        <w:t>” means the Securities Exchange Act of 1934, as amended from time to time, including rules thereunder and successor provisions and rules thereto.</w:t>
      </w:r>
    </w:p>
    <w:p>
      <w:pPr>
        <w:spacing w:after="0" w:line="154" w:lineRule="exact"/>
        <w:rPr>
          <w:rFonts w:ascii="Times New Roman" w:cs="Times New Roman" w:eastAsia="Times New Roman" w:hAnsi="Times New Roman"/>
          <w:sz w:val="18"/>
          <w:szCs w:val="18"/>
          <w:color w:val="auto"/>
        </w:rPr>
      </w:pPr>
    </w:p>
    <w:p>
      <w:pPr>
        <w:jc w:val="both"/>
        <w:ind w:firstLine="1561"/>
        <w:spacing w:after="0" w:line="259" w:lineRule="auto"/>
        <w:tabs>
          <w:tab w:leader="none" w:pos="2411"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Fair Market Value</w:t>
      </w:r>
      <w:r>
        <w:rPr>
          <w:rFonts w:ascii="Times New Roman" w:cs="Times New Roman" w:eastAsia="Times New Roman" w:hAnsi="Times New Roman"/>
          <w:sz w:val="18"/>
          <w:szCs w:val="18"/>
          <w:color w:val="auto"/>
        </w:rPr>
        <w:t>” means the fair market value of Shares, Awards or other property on the date as of which the value is being determined, as determined by the Committee, or under procedures established by the Committee. Unless otherwise determined by the Committee, the Fair Market Value of a Share as of any given date shall be the closing sale price per Share reported on the principal stock exchange or market on which Shares are traded on the date immediately preceding the date as of which such value is being determined or, if there is no sale on that date, then on the last previous day on which a sale was reported.</w:t>
      </w:r>
    </w:p>
    <w:p>
      <w:pPr>
        <w:spacing w:after="0" w:line="179" w:lineRule="exact"/>
        <w:rPr>
          <w:rFonts w:ascii="Times New Roman" w:cs="Times New Roman" w:eastAsia="Times New Roman" w:hAnsi="Times New Roman"/>
          <w:sz w:val="18"/>
          <w:szCs w:val="18"/>
          <w:color w:val="auto"/>
        </w:rPr>
      </w:pPr>
    </w:p>
    <w:p>
      <w:pPr>
        <w:ind w:left="2420" w:hanging="859"/>
        <w:spacing w:after="0"/>
        <w:tabs>
          <w:tab w:leader="none" w:pos="242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Full Value Award</w:t>
      </w:r>
      <w:r>
        <w:rPr>
          <w:rFonts w:ascii="Times New Roman" w:cs="Times New Roman" w:eastAsia="Times New Roman" w:hAnsi="Times New Roman"/>
          <w:sz w:val="18"/>
          <w:szCs w:val="18"/>
          <w:color w:val="auto"/>
        </w:rPr>
        <w:t>” means any Award other than an option or a Stock Appreciation Right and that is settled in Shares.</w:t>
      </w:r>
    </w:p>
    <w:p>
      <w:pPr>
        <w:spacing w:after="0" w:line="225" w:lineRule="exact"/>
        <w:rPr>
          <w:rFonts w:ascii="Times New Roman" w:cs="Times New Roman" w:eastAsia="Times New Roman" w:hAnsi="Times New Roman"/>
          <w:sz w:val="18"/>
          <w:szCs w:val="18"/>
          <w:color w:val="auto"/>
        </w:rPr>
      </w:pPr>
    </w:p>
    <w:p>
      <w:pPr>
        <w:jc w:val="both"/>
        <w:ind w:firstLine="1561"/>
        <w:spacing w:after="0" w:line="256" w:lineRule="auto"/>
        <w:tabs>
          <w:tab w:leader="none" w:pos="2451"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Good Reason</w:t>
      </w:r>
      <w:r>
        <w:rPr>
          <w:rFonts w:ascii="Times New Roman" w:cs="Times New Roman" w:eastAsia="Times New Roman" w:hAnsi="Times New Roman"/>
          <w:sz w:val="18"/>
          <w:szCs w:val="18"/>
          <w:color w:val="auto"/>
        </w:rPr>
        <w:t>” means the same definition of Good Reason, or any substantially similar term, in the Participant’s employment agreement with the Company, if any, that is in effect at the time the determination is being made. If the Participant does not have an employment agreement with the Company at that time, or there is no definition of Good Reason, or any substantially similar term, in the Participant’s employment agreement at that time, or the Committee determines, in its sole and absolute discretion, that the right to any payment or benefit under this Plan that is subject to Section 409A of the Code pursuant to a termination of Continuous Service by a Participant for Good Reason would not be treated as a right to a payment or benefit pursuant to an involuntary separation from service for purposes of Section 409A of the Code if the definition of Good Reason, or any substantially similar term, in the Participant’s employment agreement at that time is applied to the Participant’s termination of Continuous Service, then Good Reason</w:t>
      </w:r>
    </w:p>
    <w:p>
      <w:pPr>
        <w:spacing w:after="0" w:line="200" w:lineRule="exact"/>
        <w:rPr>
          <w:sz w:val="20"/>
          <w:szCs w:val="20"/>
          <w:color w:val="auto"/>
        </w:rPr>
      </w:pPr>
    </w:p>
    <w:p>
      <w:pPr>
        <w:spacing w:after="0" w:line="20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210820</wp:posOffset>
            </wp:positionV>
            <wp:extent cx="7289165" cy="4254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553" w:right="239" w:bottom="1440" w:gutter="0" w:footer="0" w:header="0"/>
        </w:sectPr>
      </w:pPr>
    </w:p>
    <w:bookmarkStart w:id="8" w:name="page9"/>
    <w:bookmarkEnd w:id="8"/>
    <w:p>
      <w:pPr>
        <w:jc w:val="both"/>
        <w:spacing w:after="0" w:line="254" w:lineRule="auto"/>
        <w:rPr>
          <w:sz w:val="20"/>
          <w:szCs w:val="20"/>
          <w:color w:val="auto"/>
        </w:rPr>
      </w:pPr>
      <w:r>
        <w:rPr>
          <w:rFonts w:ascii="Times New Roman" w:cs="Times New Roman" w:eastAsia="Times New Roman" w:hAnsi="Times New Roman"/>
          <w:sz w:val="18"/>
          <w:szCs w:val="18"/>
          <w:color w:val="auto"/>
        </w:rPr>
        <w:t>means the occurrence of any of the following in the absence of Justifiable Cause by the Company: (i) a material diminution in the Participant’s base salary, unless such material diminution in the Participant’s base salary is made pursuant to a reduction in base salary that affects all similarly situated employees in a similar manner and is made at least six months prior to a Change in Control, in which case such material diminution in the Participant’s base salary shall not constitute Good Reason; (ii) a material change in the geographic location at which the Participant must perform his or her job functions to which the Participant does not agree; or (iii) solely in the case of a Section 16 Officer, a material diminution in the Participant’s authority, duties, or responsibilities. For purposes of this Plan, Good Reason shall not be deemed to exist unless the termination of Continuous Service by a Participant for Good Reason occurs within 180 days following the initial existence of one of the conditions specified in clauses (i) through (iii) above, the Participant provides the Company with written notice of the existence of such condition within 90 days after the initial existence of the condition, and the Company fails to remedy the condition within 30 days after its receipt of such notice.</w:t>
      </w:r>
    </w:p>
    <w:p>
      <w:pPr>
        <w:spacing w:after="0" w:line="185" w:lineRule="exact"/>
        <w:rPr>
          <w:sz w:val="20"/>
          <w:szCs w:val="20"/>
          <w:color w:val="auto"/>
        </w:rPr>
      </w:pPr>
    </w:p>
    <w:p>
      <w:pPr>
        <w:ind w:firstLine="1561"/>
        <w:spacing w:after="0" w:line="286" w:lineRule="auto"/>
        <w:tabs>
          <w:tab w:leader="none" w:pos="2411"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Incentive Stock Option</w:t>
      </w:r>
      <w:r>
        <w:rPr>
          <w:rFonts w:ascii="Times New Roman" w:cs="Times New Roman" w:eastAsia="Times New Roman" w:hAnsi="Times New Roman"/>
          <w:sz w:val="18"/>
          <w:szCs w:val="18"/>
          <w:color w:val="auto"/>
        </w:rPr>
        <w:t>” means any Option intended to be designated as an incentive stock option within the meaning of Section 422 of the Code or any successor provision thereto.</w:t>
      </w:r>
    </w:p>
    <w:p>
      <w:pPr>
        <w:spacing w:after="0" w:line="154" w:lineRule="exact"/>
        <w:rPr>
          <w:rFonts w:ascii="Times New Roman" w:cs="Times New Roman" w:eastAsia="Times New Roman" w:hAnsi="Times New Roman"/>
          <w:sz w:val="18"/>
          <w:szCs w:val="18"/>
          <w:color w:val="auto"/>
        </w:rPr>
      </w:pPr>
    </w:p>
    <w:p>
      <w:pPr>
        <w:jc w:val="both"/>
        <w:ind w:firstLine="1561"/>
        <w:spacing w:after="0" w:line="268" w:lineRule="auto"/>
        <w:tabs>
          <w:tab w:leader="none" w:pos="2411"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Independent</w:t>
      </w:r>
      <w:r>
        <w:rPr>
          <w:rFonts w:ascii="Times New Roman" w:cs="Times New Roman" w:eastAsia="Times New Roman" w:hAnsi="Times New Roman"/>
          <w:sz w:val="18"/>
          <w:szCs w:val="18"/>
          <w:color w:val="auto"/>
        </w:rPr>
        <w:t>”, when referring to either the Board or members of the Committee, shall have the same meaning as used in the rules of the Nasdaq Stock Market or any national securities exchange on which any securities of the Company are listed for trading, and if not listed for trading, by the rules of the Nasdaq Stock Market.</w:t>
      </w:r>
    </w:p>
    <w:p>
      <w:pPr>
        <w:spacing w:after="0" w:line="170" w:lineRule="exact"/>
        <w:rPr>
          <w:rFonts w:ascii="Times New Roman" w:cs="Times New Roman" w:eastAsia="Times New Roman" w:hAnsi="Times New Roman"/>
          <w:sz w:val="18"/>
          <w:szCs w:val="18"/>
          <w:color w:val="auto"/>
        </w:rPr>
      </w:pPr>
    </w:p>
    <w:p>
      <w:pPr>
        <w:ind w:left="2400" w:hanging="839"/>
        <w:spacing w:after="0"/>
        <w:tabs>
          <w:tab w:leader="none" w:pos="240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Incumbent Board</w:t>
      </w:r>
      <w:r>
        <w:rPr>
          <w:rFonts w:ascii="Times New Roman" w:cs="Times New Roman" w:eastAsia="Times New Roman" w:hAnsi="Times New Roman"/>
          <w:sz w:val="18"/>
          <w:szCs w:val="18"/>
          <w:color w:val="auto"/>
        </w:rPr>
        <w:t>” means the Incumbent Board as defined in Section 10(b)(ii) of the Plan.</w:t>
      </w:r>
    </w:p>
    <w:p>
      <w:pPr>
        <w:spacing w:after="0" w:line="225" w:lineRule="exact"/>
        <w:rPr>
          <w:sz w:val="20"/>
          <w:szCs w:val="20"/>
          <w:color w:val="auto"/>
        </w:rPr>
      </w:pPr>
    </w:p>
    <w:p>
      <w:pPr>
        <w:jc w:val="both"/>
        <w:ind w:firstLine="1561"/>
        <w:spacing w:after="0" w:line="254" w:lineRule="auto"/>
        <w:tabs>
          <w:tab w:leader="none" w:pos="2481"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Justifiable Cause</w:t>
      </w:r>
      <w:r>
        <w:rPr>
          <w:rFonts w:ascii="Times New Roman" w:cs="Times New Roman" w:eastAsia="Times New Roman" w:hAnsi="Times New Roman"/>
          <w:sz w:val="18"/>
          <w:szCs w:val="18"/>
          <w:color w:val="auto"/>
        </w:rPr>
        <w:t>” means the same definition as used in the Participant’s employment agreement, if any, that is in effect at the time the determination is being made. If the Participant does not have an employment agreement at that time, or there is no definition of Justifiable Cause, or any substantially similar term, in the Participant’s employment agreement at that time, then Justifiable Cause means any material failure by the Participant in performing his or her necessary job functions; any breach of any material written policies, rules or regulations which have been adopted by the Company; the Participant’s performance of any act or failure to act, as to which if the Participant was prosecuted and convicted, a crime or offense involving money or property of the Company or any Related Entity, or a crime or offense constituting a felony in the jurisdiction involved, would have occurred; the Participant’s embezzlement of funds or assets of the Company or any of its Subsidiaries or Affiliates; the Participant’s conviction of, please of guilty to, or please of nolo contendere to any felony; the Participant’s unauthorized disclosure to any person, firm or corporation of any confidential information of the Company or any Related Entity; the Participant’s usurpation of a corporate opportunity of the Company or any of its Related Entity; or the Participant’s engaging in any business other than the business of the Company or any Related Entity which materially interferes with the performance of his or her duties.</w:t>
      </w:r>
    </w:p>
    <w:p>
      <w:pPr>
        <w:spacing w:after="0" w:line="186" w:lineRule="exact"/>
        <w:rPr>
          <w:rFonts w:ascii="Times New Roman" w:cs="Times New Roman" w:eastAsia="Times New Roman" w:hAnsi="Times New Roman"/>
          <w:sz w:val="18"/>
          <w:szCs w:val="18"/>
          <w:color w:val="auto"/>
        </w:rPr>
      </w:pPr>
    </w:p>
    <w:p>
      <w:pPr>
        <w:ind w:right="20" w:firstLine="1561"/>
        <w:spacing w:after="0" w:line="286" w:lineRule="auto"/>
        <w:tabs>
          <w:tab w:leader="none" w:pos="2501"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Listing Market</w:t>
      </w:r>
      <w:r>
        <w:rPr>
          <w:rFonts w:ascii="Times New Roman" w:cs="Times New Roman" w:eastAsia="Times New Roman" w:hAnsi="Times New Roman"/>
          <w:sz w:val="18"/>
          <w:szCs w:val="18"/>
          <w:color w:val="auto"/>
        </w:rPr>
        <w:t>” means the Nasdaq Stock Market or any national securities exchange on which the Company’s securities are listed for trading and, if not listed for trading on the Nasdaq Stock Market or a national securities exchange, then the Nasdaq Stock Market.</w:t>
      </w:r>
    </w:p>
    <w:p>
      <w:pPr>
        <w:spacing w:after="0" w:line="154" w:lineRule="exact"/>
        <w:rPr>
          <w:rFonts w:ascii="Times New Roman" w:cs="Times New Roman" w:eastAsia="Times New Roman" w:hAnsi="Times New Roman"/>
          <w:sz w:val="18"/>
          <w:szCs w:val="18"/>
          <w:color w:val="auto"/>
        </w:rPr>
      </w:pPr>
    </w:p>
    <w:p>
      <w:pPr>
        <w:ind w:firstLine="1561"/>
        <w:spacing w:after="0" w:line="286" w:lineRule="auto"/>
        <w:tabs>
          <w:tab w:leader="none" w:pos="2481"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Option</w:t>
      </w:r>
      <w:r>
        <w:rPr>
          <w:rFonts w:ascii="Times New Roman" w:cs="Times New Roman" w:eastAsia="Times New Roman" w:hAnsi="Times New Roman"/>
          <w:sz w:val="18"/>
          <w:szCs w:val="18"/>
          <w:color w:val="auto"/>
        </w:rPr>
        <w:t>” means a right granted to a Participant under Section 7(b) hereof, to purchase Shares or other Awards at a specified price during specified time periods.</w:t>
      </w:r>
    </w:p>
    <w:p>
      <w:pPr>
        <w:spacing w:after="0" w:line="154" w:lineRule="exact"/>
        <w:rPr>
          <w:rFonts w:ascii="Times New Roman" w:cs="Times New Roman" w:eastAsia="Times New Roman" w:hAnsi="Times New Roman"/>
          <w:sz w:val="18"/>
          <w:szCs w:val="18"/>
          <w:color w:val="auto"/>
        </w:rPr>
      </w:pPr>
    </w:p>
    <w:p>
      <w:pPr>
        <w:ind w:left="2500" w:hanging="939"/>
        <w:spacing w:after="0"/>
        <w:tabs>
          <w:tab w:leader="none" w:pos="250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Optionee</w:t>
      </w:r>
      <w:r>
        <w:rPr>
          <w:rFonts w:ascii="Times New Roman" w:cs="Times New Roman" w:eastAsia="Times New Roman" w:hAnsi="Times New Roman"/>
          <w:sz w:val="18"/>
          <w:szCs w:val="18"/>
          <w:color w:val="auto"/>
        </w:rPr>
        <w:t>” means a person to whom an Option is granted under this Plan or any person who succeeds to the rights of such</w:t>
      </w:r>
    </w:p>
    <w:p>
      <w:pPr>
        <w:spacing w:after="0" w:line="31" w:lineRule="exact"/>
        <w:rPr>
          <w:rFonts w:ascii="Times New Roman" w:cs="Times New Roman" w:eastAsia="Times New Roman" w:hAnsi="Times New Roman"/>
          <w:sz w:val="18"/>
          <w:szCs w:val="18"/>
          <w:color w:val="auto"/>
        </w:rPr>
      </w:pPr>
    </w:p>
    <w:p>
      <w:pPr>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person under this Plan.</w:t>
      </w:r>
    </w:p>
    <w:p>
      <w:pPr>
        <w:spacing w:after="0" w:line="202" w:lineRule="exact"/>
        <w:rPr>
          <w:rFonts w:ascii="Times New Roman" w:cs="Times New Roman" w:eastAsia="Times New Roman" w:hAnsi="Times New Roman"/>
          <w:sz w:val="18"/>
          <w:szCs w:val="18"/>
          <w:color w:val="auto"/>
        </w:rPr>
      </w:pPr>
    </w:p>
    <w:p>
      <w:pPr>
        <w:ind w:left="2480" w:hanging="919"/>
        <w:spacing w:after="0"/>
        <w:tabs>
          <w:tab w:leader="none" w:pos="248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Other Stock-Based Awards</w:t>
      </w:r>
      <w:r>
        <w:rPr>
          <w:rFonts w:ascii="Times New Roman" w:cs="Times New Roman" w:eastAsia="Times New Roman" w:hAnsi="Times New Roman"/>
          <w:sz w:val="18"/>
          <w:szCs w:val="18"/>
          <w:color w:val="auto"/>
        </w:rPr>
        <w:t>” means Awards granted to a Participant under Section 7(i) hereof.</w:t>
      </w:r>
    </w:p>
    <w:p>
      <w:pPr>
        <w:spacing w:after="0" w:line="225" w:lineRule="exact"/>
        <w:rPr>
          <w:rFonts w:ascii="Times New Roman" w:cs="Times New Roman" w:eastAsia="Times New Roman" w:hAnsi="Times New Roman"/>
          <w:sz w:val="18"/>
          <w:szCs w:val="18"/>
          <w:color w:val="auto"/>
        </w:rPr>
      </w:pPr>
    </w:p>
    <w:p>
      <w:pPr>
        <w:ind w:firstLine="1561"/>
        <w:spacing w:after="0" w:line="286" w:lineRule="auto"/>
        <w:tabs>
          <w:tab w:leader="none" w:pos="2438"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Participant</w:t>
      </w:r>
      <w:r>
        <w:rPr>
          <w:rFonts w:ascii="Times New Roman" w:cs="Times New Roman" w:eastAsia="Times New Roman" w:hAnsi="Times New Roman"/>
          <w:sz w:val="18"/>
          <w:szCs w:val="18"/>
          <w:color w:val="auto"/>
        </w:rPr>
        <w:t>” means a person who has been granted an Award under the Plan which remains outstanding, including a person who is no longer an Eligible Person.</w:t>
      </w:r>
    </w:p>
    <w:p>
      <w:pPr>
        <w:spacing w:after="0" w:line="154" w:lineRule="exact"/>
        <w:rPr>
          <w:rFonts w:ascii="Times New Roman" w:cs="Times New Roman" w:eastAsia="Times New Roman" w:hAnsi="Times New Roman"/>
          <w:sz w:val="18"/>
          <w:szCs w:val="18"/>
          <w:color w:val="auto"/>
        </w:rPr>
      </w:pPr>
    </w:p>
    <w:p>
      <w:pPr>
        <w:ind w:left="2500" w:hanging="939"/>
        <w:spacing w:after="0"/>
        <w:tabs>
          <w:tab w:leader="none" w:pos="250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Performance Award</w:t>
      </w:r>
      <w:r>
        <w:rPr>
          <w:rFonts w:ascii="Times New Roman" w:cs="Times New Roman" w:eastAsia="Times New Roman" w:hAnsi="Times New Roman"/>
          <w:sz w:val="18"/>
          <w:szCs w:val="18"/>
          <w:color w:val="auto"/>
        </w:rPr>
        <w:t>” means any Award of Performance Shares or Performance Units granted pursuant to Section 7(h).</w:t>
      </w:r>
    </w:p>
    <w:p>
      <w:pPr>
        <w:spacing w:after="0" w:line="225" w:lineRule="exact"/>
        <w:rPr>
          <w:rFonts w:ascii="Times New Roman" w:cs="Times New Roman" w:eastAsia="Times New Roman" w:hAnsi="Times New Roman"/>
          <w:sz w:val="18"/>
          <w:szCs w:val="18"/>
          <w:color w:val="auto"/>
        </w:rPr>
      </w:pPr>
    </w:p>
    <w:p>
      <w:pPr>
        <w:ind w:firstLine="1561"/>
        <w:spacing w:after="0" w:line="286" w:lineRule="auto"/>
        <w:tabs>
          <w:tab w:leader="none" w:pos="2501"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Performance Period</w:t>
      </w:r>
      <w:r>
        <w:rPr>
          <w:rFonts w:ascii="Times New Roman" w:cs="Times New Roman" w:eastAsia="Times New Roman" w:hAnsi="Times New Roman"/>
          <w:sz w:val="18"/>
          <w:szCs w:val="18"/>
          <w:color w:val="auto"/>
        </w:rPr>
        <w:t>” means that period established by the Committee at the time any Performance Award is granted or at any time thereafter during which any performance goals specified by the Committee with respect to such Award are to be measured.</w:t>
      </w:r>
    </w:p>
    <w:p>
      <w:pPr>
        <w:spacing w:after="0" w:line="154" w:lineRule="exact"/>
        <w:rPr>
          <w:rFonts w:ascii="Times New Roman" w:cs="Times New Roman" w:eastAsia="Times New Roman" w:hAnsi="Times New Roman"/>
          <w:sz w:val="18"/>
          <w:szCs w:val="18"/>
          <w:color w:val="auto"/>
        </w:rPr>
      </w:pPr>
    </w:p>
    <w:p>
      <w:pPr>
        <w:ind w:right="20" w:firstLine="1561"/>
        <w:spacing w:after="0" w:line="286" w:lineRule="auto"/>
        <w:tabs>
          <w:tab w:leader="none" w:pos="2421"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Performance Share</w:t>
      </w:r>
      <w:r>
        <w:rPr>
          <w:rFonts w:ascii="Times New Roman" w:cs="Times New Roman" w:eastAsia="Times New Roman" w:hAnsi="Times New Roman"/>
          <w:sz w:val="18"/>
          <w:szCs w:val="18"/>
          <w:color w:val="auto"/>
        </w:rPr>
        <w:t>” means any grant pursuant to Section 7(h) of a unit valued by reference to a designated number of Shares, which value may be paid to the Participant by delivery of such property as the Committee shall determine, including</w:t>
      </w:r>
    </w:p>
    <w:p>
      <w:pPr>
        <w:spacing w:after="0" w:line="37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210820</wp:posOffset>
            </wp:positionV>
            <wp:extent cx="7289165" cy="4254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553" w:right="239" w:bottom="1440" w:gutter="0" w:footer="0" w:header="0"/>
        </w:sectPr>
      </w:pPr>
    </w:p>
    <w:bookmarkStart w:id="9" w:name="page10"/>
    <w:bookmarkEnd w:id="9"/>
    <w:p>
      <w:pPr>
        <w:spacing w:after="0" w:line="282" w:lineRule="auto"/>
        <w:rPr>
          <w:sz w:val="20"/>
          <w:szCs w:val="20"/>
          <w:color w:val="auto"/>
        </w:rPr>
      </w:pPr>
      <w:r>
        <w:rPr>
          <w:rFonts w:ascii="Times New Roman" w:cs="Times New Roman" w:eastAsia="Times New Roman" w:hAnsi="Times New Roman"/>
          <w:sz w:val="18"/>
          <w:szCs w:val="18"/>
          <w:color w:val="auto"/>
        </w:rPr>
        <w:t>cash, Shares, other property, or any combination thereof, upon achievement of such performance goals during the Performance Period as the Committee shall establish at the time of such grant or thereafter.</w:t>
      </w:r>
    </w:p>
    <w:p>
      <w:pPr>
        <w:spacing w:after="0" w:line="158" w:lineRule="exact"/>
        <w:rPr>
          <w:sz w:val="20"/>
          <w:szCs w:val="20"/>
          <w:color w:val="auto"/>
        </w:rPr>
      </w:pPr>
    </w:p>
    <w:p>
      <w:pPr>
        <w:jc w:val="both"/>
        <w:ind w:firstLine="1561"/>
        <w:spacing w:after="0" w:line="262" w:lineRule="auto"/>
        <w:tabs>
          <w:tab w:leader="none" w:pos="2421" w:val="left"/>
        </w:tabs>
        <w:numPr>
          <w:ilvl w:val="1"/>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Performance Unit</w:t>
      </w:r>
      <w:r>
        <w:rPr>
          <w:rFonts w:ascii="Times New Roman" w:cs="Times New Roman" w:eastAsia="Times New Roman" w:hAnsi="Times New Roman"/>
          <w:sz w:val="18"/>
          <w:szCs w:val="18"/>
          <w:color w:val="auto"/>
        </w:rPr>
        <w:t>” means any grant pursuant to Section 7(h) of a unit valued by reference to a designated amount of property (including cash) other than Shares, which value may be paid to the Participant by delivery of such property as the Committee shall determine, including cash, Shares, other property, or any combination thereof, upon achievement of such performance goals during the Performance Period as the Committee shall establish at the time of such grant or thereafter.</w:t>
      </w:r>
    </w:p>
    <w:p>
      <w:pPr>
        <w:spacing w:after="0" w:line="176" w:lineRule="exact"/>
        <w:rPr>
          <w:rFonts w:ascii="Times New Roman" w:cs="Times New Roman" w:eastAsia="Times New Roman" w:hAnsi="Times New Roman"/>
          <w:sz w:val="18"/>
          <w:szCs w:val="18"/>
          <w:color w:val="auto"/>
        </w:rPr>
      </w:pPr>
    </w:p>
    <w:p>
      <w:pPr>
        <w:ind w:firstLine="1561"/>
        <w:spacing w:after="0" w:line="286" w:lineRule="auto"/>
        <w:tabs>
          <w:tab w:leader="none" w:pos="2501" w:val="left"/>
        </w:tabs>
        <w:numPr>
          <w:ilvl w:val="1"/>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Person</w:t>
      </w:r>
      <w:r>
        <w:rPr>
          <w:rFonts w:ascii="Times New Roman" w:cs="Times New Roman" w:eastAsia="Times New Roman" w:hAnsi="Times New Roman"/>
          <w:sz w:val="18"/>
          <w:szCs w:val="18"/>
          <w:color w:val="auto"/>
        </w:rPr>
        <w:t>” shall have the meaning ascribed to such term in Section 3(a)(9) of the Exchange Act and used in Sections 13(d) and 14(d) thereof, and shall include a “group” as defined in Section 13(d) thereof.</w:t>
      </w:r>
    </w:p>
    <w:p>
      <w:pPr>
        <w:spacing w:after="0" w:line="154" w:lineRule="exact"/>
        <w:rPr>
          <w:rFonts w:ascii="Times New Roman" w:cs="Times New Roman" w:eastAsia="Times New Roman" w:hAnsi="Times New Roman"/>
          <w:sz w:val="18"/>
          <w:szCs w:val="18"/>
          <w:color w:val="auto"/>
        </w:rPr>
      </w:pPr>
    </w:p>
    <w:p>
      <w:pPr>
        <w:ind w:left="2420" w:hanging="859"/>
        <w:spacing w:after="0"/>
        <w:tabs>
          <w:tab w:leader="none" w:pos="2420" w:val="left"/>
        </w:tabs>
        <w:numPr>
          <w:ilvl w:val="1"/>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Prior Plan</w:t>
      </w:r>
      <w:r>
        <w:rPr>
          <w:rFonts w:ascii="Times New Roman" w:cs="Times New Roman" w:eastAsia="Times New Roman" w:hAnsi="Times New Roman"/>
          <w:sz w:val="18"/>
          <w:szCs w:val="18"/>
          <w:color w:val="auto"/>
        </w:rPr>
        <w:t>” means the Company’s 2006 Incentive Compensation Plan.</w:t>
      </w:r>
    </w:p>
    <w:p>
      <w:pPr>
        <w:spacing w:after="0" w:line="225" w:lineRule="exact"/>
        <w:rPr>
          <w:rFonts w:ascii="Times New Roman" w:cs="Times New Roman" w:eastAsia="Times New Roman" w:hAnsi="Times New Roman"/>
          <w:sz w:val="18"/>
          <w:szCs w:val="18"/>
          <w:color w:val="auto"/>
        </w:rPr>
      </w:pPr>
    </w:p>
    <w:p>
      <w:pPr>
        <w:jc w:val="both"/>
        <w:ind w:firstLine="1561"/>
        <w:spacing w:after="0" w:line="259" w:lineRule="auto"/>
        <w:tabs>
          <w:tab w:leader="none" w:pos="2601" w:val="left"/>
        </w:tabs>
        <w:numPr>
          <w:ilvl w:val="1"/>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Related Entity</w:t>
      </w:r>
      <w:r>
        <w:rPr>
          <w:rFonts w:ascii="Times New Roman" w:cs="Times New Roman" w:eastAsia="Times New Roman" w:hAnsi="Times New Roman"/>
          <w:sz w:val="18"/>
          <w:szCs w:val="18"/>
          <w:color w:val="auto"/>
        </w:rPr>
        <w:t>” means any Subsidiary, and any business, corporation, partnership, limited liability company or other entity designated by the Committee in which the Company, or a Subsidiary holds a substantial ownership interest, directly or indirectly and with respect to which the Company may offer or sell securities pursuant to the Plan in reliance upon either Rule 701 under the Securities Act of 1933 or, if the Company is required to file reports pursuant to Section 13 or 15(d) of the Exchange Act, registration on a Form S-8 Registration Statement under the Securities Act of 1933.</w:t>
      </w:r>
    </w:p>
    <w:p>
      <w:pPr>
        <w:spacing w:after="0" w:line="179" w:lineRule="exact"/>
        <w:rPr>
          <w:rFonts w:ascii="Times New Roman" w:cs="Times New Roman" w:eastAsia="Times New Roman" w:hAnsi="Times New Roman"/>
          <w:sz w:val="18"/>
          <w:szCs w:val="18"/>
          <w:color w:val="auto"/>
        </w:rPr>
      </w:pPr>
    </w:p>
    <w:p>
      <w:pPr>
        <w:jc w:val="both"/>
        <w:ind w:firstLine="1561"/>
        <w:spacing w:after="0" w:line="268" w:lineRule="auto"/>
        <w:tabs>
          <w:tab w:leader="none" w:pos="2501" w:val="left"/>
        </w:tabs>
        <w:numPr>
          <w:ilvl w:val="1"/>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Restricted Stock</w:t>
      </w:r>
      <w:r>
        <w:rPr>
          <w:rFonts w:ascii="Times New Roman" w:cs="Times New Roman" w:eastAsia="Times New Roman" w:hAnsi="Times New Roman"/>
          <w:sz w:val="18"/>
          <w:szCs w:val="18"/>
          <w:color w:val="auto"/>
        </w:rPr>
        <w:t>” means any Share issued with such risks of forfeiture and other restrictions as the Committee, in its sole discretion, may impose (including any restriction on the right to vote such Share and the right to receive any dividends), which restrictions may lapse separately or in combination at such time or times, in installments or otherwise, as the Committee may deem appropriate.</w:t>
      </w:r>
    </w:p>
    <w:p>
      <w:pPr>
        <w:spacing w:after="0" w:line="170" w:lineRule="exact"/>
        <w:rPr>
          <w:rFonts w:ascii="Times New Roman" w:cs="Times New Roman" w:eastAsia="Times New Roman" w:hAnsi="Times New Roman"/>
          <w:sz w:val="18"/>
          <w:szCs w:val="18"/>
          <w:color w:val="auto"/>
        </w:rPr>
      </w:pPr>
    </w:p>
    <w:p>
      <w:pPr>
        <w:ind w:left="2500" w:hanging="939"/>
        <w:spacing w:after="0"/>
        <w:tabs>
          <w:tab w:leader="none" w:pos="2500" w:val="left"/>
        </w:tabs>
        <w:numPr>
          <w:ilvl w:val="1"/>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Restricted Stock Award</w:t>
      </w:r>
      <w:r>
        <w:rPr>
          <w:rFonts w:ascii="Times New Roman" w:cs="Times New Roman" w:eastAsia="Times New Roman" w:hAnsi="Times New Roman"/>
          <w:sz w:val="18"/>
          <w:szCs w:val="18"/>
          <w:color w:val="auto"/>
        </w:rPr>
        <w:t>” means an Award of Restricted Stock granted to a Participant under Section 7(d) hereof.</w:t>
      </w:r>
    </w:p>
    <w:p>
      <w:pPr>
        <w:spacing w:after="0" w:line="225" w:lineRule="exact"/>
        <w:rPr>
          <w:rFonts w:ascii="Times New Roman" w:cs="Times New Roman" w:eastAsia="Times New Roman" w:hAnsi="Times New Roman"/>
          <w:sz w:val="18"/>
          <w:szCs w:val="18"/>
          <w:color w:val="auto"/>
        </w:rPr>
      </w:pPr>
    </w:p>
    <w:p>
      <w:pPr>
        <w:ind w:right="20" w:firstLine="1561"/>
        <w:spacing w:after="0" w:line="286" w:lineRule="auto"/>
        <w:tabs>
          <w:tab w:leader="none" w:pos="2501" w:val="left"/>
        </w:tabs>
        <w:numPr>
          <w:ilvl w:val="1"/>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Restricted Stock Unit</w:t>
      </w:r>
      <w:r>
        <w:rPr>
          <w:rFonts w:ascii="Times New Roman" w:cs="Times New Roman" w:eastAsia="Times New Roman" w:hAnsi="Times New Roman"/>
          <w:sz w:val="18"/>
          <w:szCs w:val="18"/>
          <w:color w:val="auto"/>
        </w:rPr>
        <w:t>” means a right to receive Shares, including Restricted Stock, cash measured based upon the value of Shares or a combination thereof, at the end of a specified deferral period, which right is subject to a risk of forfeiture.</w:t>
      </w:r>
    </w:p>
    <w:p>
      <w:pPr>
        <w:spacing w:after="0" w:line="154" w:lineRule="exact"/>
        <w:rPr>
          <w:rFonts w:ascii="Times New Roman" w:cs="Times New Roman" w:eastAsia="Times New Roman" w:hAnsi="Times New Roman"/>
          <w:sz w:val="18"/>
          <w:szCs w:val="18"/>
          <w:color w:val="auto"/>
        </w:rPr>
      </w:pPr>
    </w:p>
    <w:p>
      <w:pPr>
        <w:ind w:left="2500" w:hanging="939"/>
        <w:spacing w:after="0"/>
        <w:tabs>
          <w:tab w:leader="none" w:pos="2500" w:val="left"/>
        </w:tabs>
        <w:numPr>
          <w:ilvl w:val="1"/>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Restricted Stock Unit Award</w:t>
      </w:r>
      <w:r>
        <w:rPr>
          <w:rFonts w:ascii="Times New Roman" w:cs="Times New Roman" w:eastAsia="Times New Roman" w:hAnsi="Times New Roman"/>
          <w:sz w:val="18"/>
          <w:szCs w:val="18"/>
          <w:color w:val="auto"/>
        </w:rPr>
        <w:t>” means an Award of Restricted Stock Unit granted to a Participant under Section 7(e)</w:t>
      </w:r>
    </w:p>
    <w:p>
      <w:pPr>
        <w:spacing w:after="0" w:line="31" w:lineRule="exact"/>
        <w:rPr>
          <w:rFonts w:ascii="Times New Roman" w:cs="Times New Roman" w:eastAsia="Times New Roman" w:hAnsi="Times New Roman"/>
          <w:sz w:val="18"/>
          <w:szCs w:val="18"/>
          <w:color w:val="auto"/>
        </w:rPr>
      </w:pPr>
    </w:p>
    <w:p>
      <w:pPr>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hereof.</w:t>
      </w:r>
    </w:p>
    <w:p>
      <w:pPr>
        <w:spacing w:after="0" w:line="202" w:lineRule="exact"/>
        <w:rPr>
          <w:rFonts w:ascii="Times New Roman" w:cs="Times New Roman" w:eastAsia="Times New Roman" w:hAnsi="Times New Roman"/>
          <w:sz w:val="18"/>
          <w:szCs w:val="18"/>
          <w:color w:val="auto"/>
        </w:rPr>
      </w:pPr>
    </w:p>
    <w:p>
      <w:pPr>
        <w:ind w:firstLine="1561"/>
        <w:spacing w:after="0" w:line="286" w:lineRule="auto"/>
        <w:tabs>
          <w:tab w:leader="none" w:pos="2441" w:val="left"/>
        </w:tabs>
        <w:numPr>
          <w:ilvl w:val="1"/>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Rule 16b-3</w:t>
      </w:r>
      <w:r>
        <w:rPr>
          <w:rFonts w:ascii="Times New Roman" w:cs="Times New Roman" w:eastAsia="Times New Roman" w:hAnsi="Times New Roman"/>
          <w:sz w:val="18"/>
          <w:szCs w:val="18"/>
          <w:color w:val="auto"/>
        </w:rPr>
        <w:t>” means Rule 16b-3, as from time to time in effect and applicable to the Plan and Participants, promulgated by the Securities and Exchange Commission under Section 16 of the Exchange Act.</w:t>
      </w:r>
    </w:p>
    <w:p>
      <w:pPr>
        <w:spacing w:after="0" w:line="154" w:lineRule="exact"/>
        <w:rPr>
          <w:rFonts w:ascii="Times New Roman" w:cs="Times New Roman" w:eastAsia="Times New Roman" w:hAnsi="Times New Roman"/>
          <w:sz w:val="18"/>
          <w:szCs w:val="18"/>
          <w:color w:val="auto"/>
        </w:rPr>
      </w:pPr>
    </w:p>
    <w:p>
      <w:pPr>
        <w:jc w:val="both"/>
        <w:ind w:firstLine="1561"/>
        <w:spacing w:after="0" w:line="268" w:lineRule="auto"/>
        <w:tabs>
          <w:tab w:leader="none" w:pos="2461" w:val="left"/>
        </w:tabs>
        <w:numPr>
          <w:ilvl w:val="1"/>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Shareholder Approval Date</w:t>
      </w:r>
      <w:r>
        <w:rPr>
          <w:rFonts w:ascii="Times New Roman" w:cs="Times New Roman" w:eastAsia="Times New Roman" w:hAnsi="Times New Roman"/>
          <w:sz w:val="18"/>
          <w:szCs w:val="18"/>
          <w:color w:val="auto"/>
        </w:rPr>
        <w:t>” means the date on which this Plan is approved by shareholders of the Company eligible to vote in the election of directors, by a vote sufficient to meet the requirements Sections 162(m) and 422 of the Code, Rule 16b-3 under the Exchange Act and applicable requirements under the rules of the Listing Market.</w:t>
      </w:r>
    </w:p>
    <w:p>
      <w:pPr>
        <w:spacing w:after="0" w:line="170" w:lineRule="exact"/>
        <w:rPr>
          <w:rFonts w:ascii="Times New Roman" w:cs="Times New Roman" w:eastAsia="Times New Roman" w:hAnsi="Times New Roman"/>
          <w:sz w:val="18"/>
          <w:szCs w:val="18"/>
          <w:color w:val="auto"/>
        </w:rPr>
      </w:pPr>
    </w:p>
    <w:p>
      <w:pPr>
        <w:ind w:firstLine="1561"/>
        <w:spacing w:after="0" w:line="286" w:lineRule="auto"/>
        <w:tabs>
          <w:tab w:leader="none" w:pos="2421" w:val="left"/>
        </w:tabs>
        <w:numPr>
          <w:ilvl w:val="1"/>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Shares</w:t>
      </w:r>
      <w:r>
        <w:rPr>
          <w:rFonts w:ascii="Times New Roman" w:cs="Times New Roman" w:eastAsia="Times New Roman" w:hAnsi="Times New Roman"/>
          <w:sz w:val="18"/>
          <w:szCs w:val="18"/>
          <w:color w:val="auto"/>
        </w:rPr>
        <w:t>” means the shares of common stock of the Company, par value $.01 per share, and such other securities as may be substituted (or resubstituted) for Shares pursuant to Section 11(c) hereof.</w:t>
      </w:r>
    </w:p>
    <w:p>
      <w:pPr>
        <w:spacing w:after="0" w:line="154" w:lineRule="exact"/>
        <w:rPr>
          <w:rFonts w:ascii="Times New Roman" w:cs="Times New Roman" w:eastAsia="Times New Roman" w:hAnsi="Times New Roman"/>
          <w:sz w:val="18"/>
          <w:szCs w:val="18"/>
          <w:color w:val="auto"/>
        </w:rPr>
      </w:pPr>
    </w:p>
    <w:p>
      <w:pPr>
        <w:ind w:left="2500" w:hanging="939"/>
        <w:spacing w:after="0"/>
        <w:tabs>
          <w:tab w:leader="none" w:pos="2500" w:val="left"/>
        </w:tabs>
        <w:numPr>
          <w:ilvl w:val="1"/>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Stock Appreciation Right</w:t>
      </w:r>
      <w:r>
        <w:rPr>
          <w:rFonts w:ascii="Times New Roman" w:cs="Times New Roman" w:eastAsia="Times New Roman" w:hAnsi="Times New Roman"/>
          <w:sz w:val="18"/>
          <w:szCs w:val="18"/>
          <w:color w:val="auto"/>
        </w:rPr>
        <w:t>” means a right granted to a Participant under Section 7(c) hereof.</w:t>
      </w:r>
    </w:p>
    <w:p>
      <w:pPr>
        <w:spacing w:after="0" w:line="225" w:lineRule="exact"/>
        <w:rPr>
          <w:rFonts w:ascii="Times New Roman" w:cs="Times New Roman" w:eastAsia="Times New Roman" w:hAnsi="Times New Roman"/>
          <w:sz w:val="18"/>
          <w:szCs w:val="18"/>
          <w:color w:val="auto"/>
        </w:rPr>
      </w:pPr>
    </w:p>
    <w:p>
      <w:pPr>
        <w:jc w:val="both"/>
        <w:ind w:firstLine="1561"/>
        <w:spacing w:after="0" w:line="262" w:lineRule="auto"/>
        <w:tabs>
          <w:tab w:leader="none" w:pos="2501" w:val="left"/>
        </w:tabs>
        <w:numPr>
          <w:ilvl w:val="1"/>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Subsidiary</w:t>
      </w:r>
      <w:r>
        <w:rPr>
          <w:rFonts w:ascii="Times New Roman" w:cs="Times New Roman" w:eastAsia="Times New Roman" w:hAnsi="Times New Roman"/>
          <w:sz w:val="18"/>
          <w:szCs w:val="18"/>
          <w:color w:val="auto"/>
        </w:rPr>
        <w:t>” means any corporation or other entity in which the Company has a direct or indirect ownership interest of 50% or more of the total combined voting power of the then outstanding securities or interests of such corporation or other entity entitled to vote generally in the election of directors or in which the Company has the right to receive 50% or more of the distribution of profits or 50% or more of the assets on liquidation or dissolution.</w:t>
      </w:r>
    </w:p>
    <w:p>
      <w:pPr>
        <w:spacing w:after="0" w:line="176" w:lineRule="exact"/>
        <w:rPr>
          <w:rFonts w:ascii="Times New Roman" w:cs="Times New Roman" w:eastAsia="Times New Roman" w:hAnsi="Times New Roman"/>
          <w:sz w:val="18"/>
          <w:szCs w:val="18"/>
          <w:color w:val="auto"/>
        </w:rPr>
      </w:pPr>
    </w:p>
    <w:p>
      <w:pPr>
        <w:jc w:val="both"/>
        <w:ind w:right="20" w:firstLine="1561"/>
        <w:spacing w:after="0" w:line="268" w:lineRule="auto"/>
        <w:tabs>
          <w:tab w:leader="none" w:pos="2581" w:val="left"/>
        </w:tabs>
        <w:numPr>
          <w:ilvl w:val="1"/>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Substitute Awards</w:t>
      </w:r>
      <w:r>
        <w:rPr>
          <w:rFonts w:ascii="Times New Roman" w:cs="Times New Roman" w:eastAsia="Times New Roman" w:hAnsi="Times New Roman"/>
          <w:sz w:val="18"/>
          <w:szCs w:val="18"/>
          <w:color w:val="auto"/>
        </w:rPr>
        <w:t>” shall mean Awards granted or Shares issued by the Company in assumption of, or in substitution or exchange for, Awards previously granted, or the right or obligation to make future Awards, by a company acquired by the Company or any Related Entity or with which the Company or any Related Entity combines.</w:t>
      </w:r>
    </w:p>
    <w:p>
      <w:pPr>
        <w:spacing w:after="0" w:line="170" w:lineRule="exact"/>
        <w:rPr>
          <w:rFonts w:ascii="Times New Roman" w:cs="Times New Roman" w:eastAsia="Times New Roman" w:hAnsi="Times New Roman"/>
          <w:sz w:val="18"/>
          <w:szCs w:val="18"/>
          <w:color w:val="auto"/>
        </w:rPr>
      </w:pPr>
    </w:p>
    <w:p>
      <w:pPr>
        <w:ind w:left="1560" w:hanging="775"/>
        <w:spacing w:after="0"/>
        <w:tabs>
          <w:tab w:leader="none" w:pos="156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i w:val="1"/>
          <w:iCs w:val="1"/>
          <w:color w:val="auto"/>
        </w:rPr>
        <w:t>Administration</w:t>
      </w:r>
      <w:r>
        <w:rPr>
          <w:rFonts w:ascii="Times New Roman" w:cs="Times New Roman" w:eastAsia="Times New Roman" w:hAnsi="Times New Roman"/>
          <w:sz w:val="18"/>
          <w:szCs w:val="18"/>
          <w:color w:val="auto"/>
        </w:rPr>
        <w:t>.</w:t>
      </w:r>
    </w:p>
    <w:p>
      <w:pPr>
        <w:spacing w:after="0" w:line="200" w:lineRule="exact"/>
        <w:rPr>
          <w:sz w:val="20"/>
          <w:szCs w:val="20"/>
          <w:color w:val="auto"/>
        </w:rPr>
      </w:pPr>
    </w:p>
    <w:p>
      <w:pPr>
        <w:spacing w:after="0" w:line="24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210820</wp:posOffset>
            </wp:positionV>
            <wp:extent cx="7289165" cy="4254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553" w:right="239" w:bottom="1440" w:gutter="0" w:footer="0" w:header="0"/>
        </w:sectPr>
      </w:pPr>
    </w:p>
    <w:bookmarkStart w:id="10" w:name="page11"/>
    <w:bookmarkEnd w:id="10"/>
    <w:p>
      <w:pPr>
        <w:jc w:val="both"/>
        <w:ind w:firstLine="1561"/>
        <w:spacing w:after="0" w:line="254" w:lineRule="auto"/>
        <w:tabs>
          <w:tab w:leader="none" w:pos="2401" w:val="left"/>
        </w:tabs>
        <w:numPr>
          <w:ilvl w:val="1"/>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i w:val="1"/>
          <w:iCs w:val="1"/>
          <w:color w:val="auto"/>
        </w:rPr>
        <w:t>Authority of the Committee</w:t>
      </w:r>
      <w:r>
        <w:rPr>
          <w:rFonts w:ascii="Times New Roman" w:cs="Times New Roman" w:eastAsia="Times New Roman" w:hAnsi="Times New Roman"/>
          <w:sz w:val="18"/>
          <w:szCs w:val="18"/>
          <w:color w:val="auto"/>
        </w:rPr>
        <w:t>. The Plan shall be administered by the Committee, except to the extent the Board elects to</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administer the Plan, in which case the Plan shall be administered by only those directors who are Independent Directors, in which case references herein to the “Committee” shall be deemed to include references to the Independent members of the Board. The Committee shall have full and final authority, subject to and consistent with the provisions of the Plan, to select Eligible Persons to become Participants, grant Awards, determine the type, number and other terms and conditions of, and all other matters relating to, Awards, prescribe Award Agreements (which need not be identical for each Participant) and rules and regulations for the administration of the Plan, construe and interpret the Plan and Award Agreements and correct defects, supply omissions or reconcile inconsistencies therein, and to make all other decisions and determinations as the Committee may deem necessary or advisable for the administration of the Plan. In exercising any discretion granted to the Committee under the Plan or pursuant to any Award, the Committee shall not be required to follow past practices, act in a manner consistent with past practices, or treat any Eligible Person or Participant in a manner consistent with the treatment of other Eligible Persons or Participants.</w:t>
      </w:r>
    </w:p>
    <w:p>
      <w:pPr>
        <w:spacing w:after="0" w:line="186" w:lineRule="exact"/>
        <w:rPr>
          <w:rFonts w:ascii="Times New Roman" w:cs="Times New Roman" w:eastAsia="Times New Roman" w:hAnsi="Times New Roman"/>
          <w:sz w:val="18"/>
          <w:szCs w:val="18"/>
          <w:color w:val="auto"/>
        </w:rPr>
      </w:pPr>
    </w:p>
    <w:p>
      <w:pPr>
        <w:jc w:val="both"/>
        <w:ind w:firstLine="1561"/>
        <w:spacing w:after="0" w:line="253" w:lineRule="auto"/>
        <w:tabs>
          <w:tab w:leader="none" w:pos="2411" w:val="left"/>
        </w:tabs>
        <w:numPr>
          <w:ilvl w:val="1"/>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i w:val="1"/>
          <w:iCs w:val="1"/>
          <w:color w:val="auto"/>
        </w:rPr>
        <w:t>Manner of Exercise of Committee Authority</w:t>
      </w:r>
      <w:r>
        <w:rPr>
          <w:rFonts w:ascii="Times New Roman" w:cs="Times New Roman" w:eastAsia="Times New Roman" w:hAnsi="Times New Roman"/>
          <w:sz w:val="18"/>
          <w:szCs w:val="18"/>
          <w:color w:val="auto"/>
        </w:rPr>
        <w:t>. The Committee, and not the Board, shall exercise sole and exclusive</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discretion (i) on any matter relating to a Participant then subject to Section 16 of the Exchange Act with respect to the Company to the extent necessary in order that transactions by such Participant shall be exempt under Rule 16b-3 under the Exchange Act, (ii) with respect to any Award that is intended to qualify as “performance-based compensation” under Section 162(m), to the extent necessary in order for such Award to so qualify; and (iii) with respect to any Award to an Independent Director. Any action of the Committee shall be final, conclusive and binding on all persons, including the Company, its Related Entities, Eligible Persons, Participants, Beneficiaries, transferees under Section 11(b) hereof or other persons claiming rights from or through a Participant, and shareholders. The express grant of any specific power to the Committee, and the taking of any action by the Committee, shall not be construed as limiting any power or authority of the Committee. The Committee may delegate to members of the Board, or officers or managers of the Company or any Related Entity, or committees thereof, the authority, subject to such terms and limitations as the Committee shall determine, to perform such functions, including administrative functions as the Committee may determine to the extent that such delegation will not result in the loss of an exemption under Rule 16b-3(d)(1) for Awards granted to Participants subject to Section 16 of the Exchange Act in respect of the Company and will not cause Awards intended to qualify as “performance-based compensation” under Code Section 162(m) to fail to so qualify. The Committee may appoint agents to assist it in administering the Plan.</w:t>
      </w:r>
    </w:p>
    <w:p>
      <w:pPr>
        <w:spacing w:after="0" w:line="200" w:lineRule="exact"/>
        <w:rPr>
          <w:rFonts w:ascii="Times New Roman" w:cs="Times New Roman" w:eastAsia="Times New Roman" w:hAnsi="Times New Roman"/>
          <w:sz w:val="18"/>
          <w:szCs w:val="18"/>
          <w:color w:val="auto"/>
        </w:rPr>
      </w:pPr>
    </w:p>
    <w:p>
      <w:pPr>
        <w:spacing w:after="0" w:line="206" w:lineRule="exact"/>
        <w:rPr>
          <w:rFonts w:ascii="Times New Roman" w:cs="Times New Roman" w:eastAsia="Times New Roman" w:hAnsi="Times New Roman"/>
          <w:sz w:val="18"/>
          <w:szCs w:val="18"/>
          <w:color w:val="auto"/>
        </w:rPr>
      </w:pPr>
    </w:p>
    <w:p>
      <w:pPr>
        <w:jc w:val="both"/>
        <w:ind w:firstLine="1561"/>
        <w:spacing w:after="0" w:line="259" w:lineRule="auto"/>
        <w:tabs>
          <w:tab w:leader="none" w:pos="2401" w:val="left"/>
        </w:tabs>
        <w:numPr>
          <w:ilvl w:val="1"/>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i w:val="1"/>
          <w:iCs w:val="1"/>
          <w:color w:val="auto"/>
        </w:rPr>
        <w:t>Limitation of Liability</w:t>
      </w:r>
      <w:r>
        <w:rPr>
          <w:rFonts w:ascii="Times New Roman" w:cs="Times New Roman" w:eastAsia="Times New Roman" w:hAnsi="Times New Roman"/>
          <w:sz w:val="18"/>
          <w:szCs w:val="18"/>
          <w:color w:val="auto"/>
        </w:rPr>
        <w:t>. The Committee and the Board, and each member thereof, shall be entitled to, in good faith, rely or</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act upon any report or other information furnished to him or her by any officer or Employee, the Company’s independent auditors, Consultants or any other agents assisting in the administration of the Plan. Members of the Committee and the Board, and any officer or Employee acting at the direction or on behalf of the Committee or the Board, shall not be personally liable for any action or determination taken or made in good faith with respect to the Plan, and shall, to the extent permitted by law, be fully indemnified and protected by the Company with respect to any such action or determination.</w:t>
      </w:r>
    </w:p>
    <w:p>
      <w:pPr>
        <w:spacing w:after="0" w:line="179" w:lineRule="exact"/>
        <w:rPr>
          <w:rFonts w:ascii="Times New Roman" w:cs="Times New Roman" w:eastAsia="Times New Roman" w:hAnsi="Times New Roman"/>
          <w:sz w:val="18"/>
          <w:szCs w:val="18"/>
          <w:color w:val="auto"/>
        </w:rPr>
      </w:pPr>
    </w:p>
    <w:p>
      <w:pPr>
        <w:ind w:left="1560" w:hanging="775"/>
        <w:spacing w:after="0"/>
        <w:tabs>
          <w:tab w:leader="none" w:pos="156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i w:val="1"/>
          <w:iCs w:val="1"/>
          <w:color w:val="auto"/>
        </w:rPr>
        <w:t>Shares Subject to Plan</w:t>
      </w:r>
      <w:r>
        <w:rPr>
          <w:rFonts w:ascii="Times New Roman" w:cs="Times New Roman" w:eastAsia="Times New Roman" w:hAnsi="Times New Roman"/>
          <w:sz w:val="18"/>
          <w:szCs w:val="18"/>
          <w:color w:val="auto"/>
        </w:rPr>
        <w:t>.</w:t>
      </w:r>
    </w:p>
    <w:p>
      <w:pPr>
        <w:spacing w:after="0" w:line="225" w:lineRule="exact"/>
        <w:rPr>
          <w:rFonts w:ascii="Times New Roman" w:cs="Times New Roman" w:eastAsia="Times New Roman" w:hAnsi="Times New Roman"/>
          <w:sz w:val="18"/>
          <w:szCs w:val="18"/>
          <w:color w:val="auto"/>
        </w:rPr>
      </w:pPr>
    </w:p>
    <w:p>
      <w:pPr>
        <w:jc w:val="both"/>
        <w:ind w:firstLine="1561"/>
        <w:spacing w:after="0" w:line="256" w:lineRule="auto"/>
        <w:tabs>
          <w:tab w:leader="none" w:pos="2401" w:val="left"/>
        </w:tabs>
        <w:numPr>
          <w:ilvl w:val="1"/>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i w:val="1"/>
          <w:iCs w:val="1"/>
          <w:color w:val="auto"/>
        </w:rPr>
        <w:t>Limitation on Overall Number of Shares Available for Delivery Under Plan</w:t>
      </w:r>
      <w:r>
        <w:rPr>
          <w:rFonts w:ascii="Times New Roman" w:cs="Times New Roman" w:eastAsia="Times New Roman" w:hAnsi="Times New Roman"/>
          <w:sz w:val="18"/>
          <w:szCs w:val="18"/>
          <w:color w:val="auto"/>
        </w:rPr>
        <w:t>. Subject to adjustment as provided in Section</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11(c) hereof, the aggregate number of Shares reserved and available for delivery under the Plan shall be equal to the sum of (i) 8,000,000 Shares plus (ii) the number of Shares available for issuance but not granted under the Prior Plan, and (iii) the number of Shares that are credited back to the maximum Share limitation under Section 4(c)(i) hereof. Shares issued in respect of any Full Value Award granted under the Plan shall be counted against the share limit as 1.9 Shares of stock for every one Share actually issued in connection with the such Full Value Award. Each Share issued in respect of Options and SARs shall be counted against the share limit as one Share. Any Shares delivered under the Plan may consist, in whole or in part, of authorized and unissued shares or treasury shares.</w:t>
      </w:r>
    </w:p>
    <w:p>
      <w:pPr>
        <w:spacing w:after="0" w:line="183" w:lineRule="exact"/>
        <w:rPr>
          <w:rFonts w:ascii="Times New Roman" w:cs="Times New Roman" w:eastAsia="Times New Roman" w:hAnsi="Times New Roman"/>
          <w:sz w:val="18"/>
          <w:szCs w:val="18"/>
          <w:color w:val="auto"/>
        </w:rPr>
      </w:pPr>
    </w:p>
    <w:p>
      <w:pPr>
        <w:jc w:val="both"/>
        <w:ind w:firstLine="1561"/>
        <w:spacing w:after="0" w:line="259" w:lineRule="auto"/>
        <w:tabs>
          <w:tab w:leader="none" w:pos="2411" w:val="left"/>
        </w:tabs>
        <w:numPr>
          <w:ilvl w:val="1"/>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i w:val="1"/>
          <w:iCs w:val="1"/>
          <w:color w:val="auto"/>
        </w:rPr>
        <w:t>Application of Limitation to Grants of Award</w:t>
      </w:r>
      <w:r>
        <w:rPr>
          <w:rFonts w:ascii="Times New Roman" w:cs="Times New Roman" w:eastAsia="Times New Roman" w:hAnsi="Times New Roman"/>
          <w:sz w:val="18"/>
          <w:szCs w:val="18"/>
          <w:color w:val="auto"/>
        </w:rPr>
        <w:t>. No Award may be granted if the number of Shares that would be counted</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against the Share limit in Section 4(a) hereof as a result of such an Award exceeds the number of Shares remaining available for Award under the Plan. The Committee may adopt reasonable counting procedures to ensure appropriate counting, avoid double counting (as, for example, in the case of tandem or substitute awards) and make adjustments if the number of Shares actually delivered differs from the number of Shares previously counted in connection with an Award.</w:t>
      </w:r>
    </w:p>
    <w:p>
      <w:pPr>
        <w:spacing w:after="0" w:line="179" w:lineRule="exact"/>
        <w:rPr>
          <w:rFonts w:ascii="Times New Roman" w:cs="Times New Roman" w:eastAsia="Times New Roman" w:hAnsi="Times New Roman"/>
          <w:sz w:val="18"/>
          <w:szCs w:val="18"/>
          <w:color w:val="auto"/>
        </w:rPr>
      </w:pPr>
    </w:p>
    <w:p>
      <w:pPr>
        <w:ind w:left="2400" w:hanging="839"/>
        <w:spacing w:after="0"/>
        <w:tabs>
          <w:tab w:leader="none" w:pos="2400" w:val="left"/>
        </w:tabs>
        <w:numPr>
          <w:ilvl w:val="1"/>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i w:val="1"/>
          <w:iCs w:val="1"/>
          <w:color w:val="auto"/>
        </w:rPr>
        <w:t>Availability of Shares Not Delivered under Awards and Adjustments to Limits</w:t>
      </w:r>
      <w:r>
        <w:rPr>
          <w:rFonts w:ascii="Times New Roman" w:cs="Times New Roman" w:eastAsia="Times New Roman" w:hAnsi="Times New Roman"/>
          <w:sz w:val="18"/>
          <w:szCs w:val="18"/>
          <w:color w:val="auto"/>
        </w:rPr>
        <w:t>.</w:t>
      </w:r>
    </w:p>
    <w:p>
      <w:pPr>
        <w:spacing w:after="0" w:line="229" w:lineRule="exact"/>
        <w:rPr>
          <w:rFonts w:ascii="Times New Roman" w:cs="Times New Roman" w:eastAsia="Times New Roman" w:hAnsi="Times New Roman"/>
          <w:sz w:val="18"/>
          <w:szCs w:val="18"/>
          <w:color w:val="auto"/>
        </w:rPr>
      </w:pPr>
    </w:p>
    <w:p>
      <w:pPr>
        <w:jc w:val="both"/>
        <w:ind w:firstLine="2338"/>
        <w:spacing w:after="0" w:line="258" w:lineRule="auto"/>
        <w:tabs>
          <w:tab w:leader="none" w:pos="3148" w:val="left"/>
        </w:tabs>
        <w:numPr>
          <w:ilvl w:val="2"/>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any Shares subject to an Option or SAR granted under the Plan or the Prior Plan are forfeited or such Option or SAR is settled in cash or otherwise expires or terminates without the delivery of such Shares, the maximum Share limitation of Section 4(a) hereof shall be credited with one Share for each Share subject to such Option or SAR and such number of credited Shares may again be made available for Awards under the Plan, subject to Section 4(c)(iv) below. If any Shares subject to a Full Value Award granted under the Plan or the Prior Plan are forfeited or such Full Value Award is settled in cash or otherwise expires</w:t>
      </w:r>
    </w:p>
    <w:p>
      <w:pPr>
        <w:spacing w:after="0" w:line="40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210820</wp:posOffset>
            </wp:positionV>
            <wp:extent cx="7289165" cy="4254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549" w:right="239" w:bottom="1440" w:gutter="0" w:footer="0" w:header="0"/>
        </w:sectPr>
      </w:pPr>
    </w:p>
    <w:bookmarkStart w:id="11" w:name="page12"/>
    <w:bookmarkEnd w:id="11"/>
    <w:p>
      <w:pPr>
        <w:jc w:val="both"/>
        <w:spacing w:after="0" w:line="266" w:lineRule="auto"/>
        <w:rPr>
          <w:sz w:val="20"/>
          <w:szCs w:val="20"/>
          <w:color w:val="auto"/>
        </w:rPr>
      </w:pPr>
      <w:r>
        <w:rPr>
          <w:rFonts w:ascii="Times New Roman" w:cs="Times New Roman" w:eastAsia="Times New Roman" w:hAnsi="Times New Roman"/>
          <w:sz w:val="18"/>
          <w:szCs w:val="18"/>
          <w:color w:val="auto"/>
        </w:rPr>
        <w:t>or terminates without the delivery of such Shares, the maximum share limitation of Section 4(a) hereof shall be credited with 1.9 Shares for each Share subject to such Full Value Award, and such number of credited Shares may again be made available for Awards under the Plan, subject to Section 4(c)(iv) below.</w:t>
      </w:r>
    </w:p>
    <w:p>
      <w:pPr>
        <w:spacing w:after="0" w:line="176" w:lineRule="exact"/>
        <w:rPr>
          <w:sz w:val="20"/>
          <w:szCs w:val="20"/>
          <w:color w:val="auto"/>
        </w:rPr>
      </w:pPr>
    </w:p>
    <w:p>
      <w:pPr>
        <w:jc w:val="both"/>
        <w:ind w:firstLine="2338"/>
        <w:spacing w:after="0" w:line="266" w:lineRule="auto"/>
        <w:tabs>
          <w:tab w:leader="none" w:pos="3198" w:val="left"/>
        </w:tabs>
        <w:numPr>
          <w:ilvl w:val="2"/>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Awards that are settled or exercised through the payment of Shares shall be counted against the number of Shares available for award under the Plan in accordance with Section 4(a) hereof, regardless of the number of Shares actually issued upon settlement or exercise of any such Award. Awards that are settled in cash shall not be counted against the number of Shares available for Award under this Plan.</w:t>
      </w:r>
    </w:p>
    <w:p>
      <w:pPr>
        <w:spacing w:after="0" w:line="176" w:lineRule="exact"/>
        <w:rPr>
          <w:rFonts w:ascii="Times New Roman" w:cs="Times New Roman" w:eastAsia="Times New Roman" w:hAnsi="Times New Roman"/>
          <w:sz w:val="18"/>
          <w:szCs w:val="18"/>
          <w:color w:val="auto"/>
        </w:rPr>
      </w:pPr>
    </w:p>
    <w:p>
      <w:pPr>
        <w:jc w:val="both"/>
        <w:ind w:firstLine="2338"/>
        <w:spacing w:after="0" w:line="254" w:lineRule="auto"/>
        <w:tabs>
          <w:tab w:leader="none" w:pos="3248" w:val="left"/>
        </w:tabs>
        <w:numPr>
          <w:ilvl w:val="2"/>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Substitute Awards shall not reduce the Shares authorized for grant under the Plan or authorized for grant to a Participant in any period. Additionally, in the event that a company acquired by the Company or any Related Entity or with which the Company or any Related Entity combines has shares available under a pre-existing plan approved by shareholders and not adopted in contemplation of such acquisition or combination, the shares available for delivery pursuant to the terms of such pre-existing plan (as adjusted, to the extent appropriate, using the exchange ratio or other adjustment or valuation ratio or formula used in such acquisition or combination to determine the consideration payable to the holders of common stock of the entities party to such acquisition or combination) may be used for Awards under the Plan and shall not reduce the Shares authorized for delivery under the Plan if and to the extent that the use of such Shares would not require approval of the Company’s shareholders under the rules of the Listing Market. Awards using such available shares shall not be made after the date awards or grants could have been made under the terms of the pre-existing plan, absent the acquisition or combination, and shall only be made to individuals who were not Employees or Directors prior to such acquisition or combination.</w:t>
      </w:r>
    </w:p>
    <w:p>
      <w:pPr>
        <w:spacing w:after="0" w:line="189" w:lineRule="exact"/>
        <w:rPr>
          <w:rFonts w:ascii="Times New Roman" w:cs="Times New Roman" w:eastAsia="Times New Roman" w:hAnsi="Times New Roman"/>
          <w:sz w:val="18"/>
          <w:szCs w:val="18"/>
          <w:color w:val="auto"/>
        </w:rPr>
      </w:pPr>
    </w:p>
    <w:p>
      <w:pPr>
        <w:jc w:val="both"/>
        <w:ind w:firstLine="2338"/>
        <w:spacing w:after="0" w:line="261" w:lineRule="auto"/>
        <w:tabs>
          <w:tab w:leader="none" w:pos="3238" w:val="left"/>
        </w:tabs>
        <w:numPr>
          <w:ilvl w:val="2"/>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Notwithstanding anything in this Section 4(c) to the contrary but subject to adjustment as provided in Section 11(c) hereof, the maximum aggregate number of Shares that may be delivered under the Plan as a result of the exercise of the Incentive Stock Options shall be 8,000,000 Shares. In no event shall any Incentive Stock Options be granted under the Plan after the tenth anniversary of the date on which the Board adopts the Plan.</w:t>
      </w:r>
    </w:p>
    <w:p>
      <w:pPr>
        <w:spacing w:after="0" w:line="180" w:lineRule="exact"/>
        <w:rPr>
          <w:rFonts w:ascii="Times New Roman" w:cs="Times New Roman" w:eastAsia="Times New Roman" w:hAnsi="Times New Roman"/>
          <w:sz w:val="18"/>
          <w:szCs w:val="18"/>
          <w:color w:val="auto"/>
        </w:rPr>
      </w:pPr>
    </w:p>
    <w:p>
      <w:pPr>
        <w:jc w:val="both"/>
        <w:ind w:firstLine="2338"/>
        <w:spacing w:after="0" w:line="261" w:lineRule="auto"/>
        <w:tabs>
          <w:tab w:leader="none" w:pos="3188" w:val="left"/>
        </w:tabs>
        <w:numPr>
          <w:ilvl w:val="2"/>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Notwithstanding anything in this Section 4 to the contrary, but subject to adjustment as provided in Section 11(c) hereof, in any fiscal year of the Company during any part of which the Plan is in effect, no Participant who is a Director but is not also an Employee or Consultant may be granted any Awards that have a “fair value” as of the date of grant, as determined in accordance with FASB ASC Topic 718 (or any other applicable accounting guidance), that exceed $300,000 in the aggregate.</w:t>
      </w:r>
    </w:p>
    <w:p>
      <w:pPr>
        <w:spacing w:after="0" w:line="176" w:lineRule="exact"/>
        <w:rPr>
          <w:rFonts w:ascii="Times New Roman" w:cs="Times New Roman" w:eastAsia="Times New Roman" w:hAnsi="Times New Roman"/>
          <w:sz w:val="18"/>
          <w:szCs w:val="18"/>
          <w:color w:val="auto"/>
        </w:rPr>
      </w:pPr>
    </w:p>
    <w:p>
      <w:pPr>
        <w:ind w:left="2420" w:hanging="859"/>
        <w:spacing w:after="0"/>
        <w:tabs>
          <w:tab w:leader="none" w:pos="2420" w:val="left"/>
        </w:tabs>
        <w:numPr>
          <w:ilvl w:val="1"/>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i w:val="1"/>
          <w:iCs w:val="1"/>
          <w:color w:val="auto"/>
        </w:rPr>
        <w:t>No Further Awards Under Prior Plan</w:t>
      </w:r>
      <w:r>
        <w:rPr>
          <w:rFonts w:ascii="Times New Roman" w:cs="Times New Roman" w:eastAsia="Times New Roman" w:hAnsi="Times New Roman"/>
          <w:sz w:val="18"/>
          <w:szCs w:val="18"/>
          <w:color w:val="auto"/>
        </w:rPr>
        <w:t>. No further awards shall be made under the Prior Plan after July 31, 2016.</w:t>
      </w:r>
    </w:p>
    <w:p>
      <w:pPr>
        <w:spacing w:after="0" w:line="225" w:lineRule="exact"/>
        <w:rPr>
          <w:rFonts w:ascii="Times New Roman" w:cs="Times New Roman" w:eastAsia="Times New Roman" w:hAnsi="Times New Roman"/>
          <w:sz w:val="18"/>
          <w:szCs w:val="18"/>
          <w:color w:val="auto"/>
        </w:rPr>
      </w:pPr>
    </w:p>
    <w:p>
      <w:pPr>
        <w:jc w:val="both"/>
        <w:ind w:firstLine="785"/>
        <w:spacing w:after="0" w:line="256" w:lineRule="auto"/>
        <w:tabs>
          <w:tab w:leader="none" w:pos="156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i w:val="1"/>
          <w:iCs w:val="1"/>
          <w:color w:val="auto"/>
        </w:rPr>
        <w:t>Eligibility; Per-Participant Limitations</w:t>
      </w:r>
      <w:r>
        <w:rPr>
          <w:rFonts w:ascii="Times New Roman" w:cs="Times New Roman" w:eastAsia="Times New Roman" w:hAnsi="Times New Roman"/>
          <w:sz w:val="18"/>
          <w:szCs w:val="18"/>
          <w:color w:val="auto"/>
        </w:rPr>
        <w:t>. Awards may be granted under the Plan only to Eligible Persons. Subject to adjustment as</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provided in Section 11(c) of this Plan, in any fiscal year of the Company during any part of which the Plan is in effect, no Participant may be granted (i) Options and/or Stock Appreciation Rights with respect to more than 1,000,000 Shares or (ii) Performance Shares that are subject to Section 9 hereof, with respect to more than 1,000,000 Shares. In addition, the maximum dollar value payable to any one Participant with respect to Performance Units that are subject to Section 9 hereof is (x) $3,000,000 with respect to any 12 month Performance Period (pro-rated for any Performance Period that is less than 12 months based upon the ratio of the number of days in the Performance Period as compared to 365), and (y) with respect to any Performance Period that is more than 12 months, $3,000,000 multiplied by the number of full 12 months periods that are in the Performance Period.</w:t>
      </w:r>
    </w:p>
    <w:p>
      <w:pPr>
        <w:spacing w:after="0" w:line="183" w:lineRule="exact"/>
        <w:rPr>
          <w:rFonts w:ascii="Times New Roman" w:cs="Times New Roman" w:eastAsia="Times New Roman" w:hAnsi="Times New Roman"/>
          <w:sz w:val="18"/>
          <w:szCs w:val="18"/>
          <w:color w:val="auto"/>
        </w:rPr>
      </w:pPr>
    </w:p>
    <w:p>
      <w:pPr>
        <w:jc w:val="both"/>
        <w:ind w:firstLine="785"/>
        <w:spacing w:after="0" w:line="257" w:lineRule="auto"/>
        <w:tabs>
          <w:tab w:leader="none" w:pos="156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i w:val="1"/>
          <w:iCs w:val="1"/>
          <w:color w:val="auto"/>
        </w:rPr>
        <w:t>Award Vesting Limitations</w:t>
      </w:r>
      <w:r>
        <w:rPr>
          <w:rFonts w:ascii="Times New Roman" w:cs="Times New Roman" w:eastAsia="Times New Roman" w:hAnsi="Times New Roman"/>
          <w:sz w:val="18"/>
          <w:szCs w:val="18"/>
          <w:color w:val="auto"/>
        </w:rPr>
        <w:t>. Notwithstanding any other provision of the Plan to the contrary, but subject to Section 10 of the Plan,</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Awards granted under the Plan shall vest no earlier than the first anniversary of the date the Award is granted; provided, however, that, notwithstanding the foregoing, Awards that result in the issuance of an aggregate of up to 5% of the Shares available pursuant to Section 4(a) may be granted to any one or more Eligible Persons without respect to such minimum vesting provisions. Nothing in this Section 6 shall preclude the Committee from taking action, in its sole discretion, to accelerate the vesting of any Award in connection with or following a Participant’s death, disability, termination of Continuous Service or the consummation of a Change in Control.</w:t>
      </w:r>
    </w:p>
    <w:p>
      <w:pPr>
        <w:spacing w:after="0" w:line="182" w:lineRule="exact"/>
        <w:rPr>
          <w:rFonts w:ascii="Times New Roman" w:cs="Times New Roman" w:eastAsia="Times New Roman" w:hAnsi="Times New Roman"/>
          <w:sz w:val="18"/>
          <w:szCs w:val="18"/>
          <w:color w:val="auto"/>
        </w:rPr>
      </w:pPr>
    </w:p>
    <w:p>
      <w:pPr>
        <w:ind w:left="1560" w:hanging="775"/>
        <w:spacing w:after="0"/>
        <w:tabs>
          <w:tab w:leader="none" w:pos="156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i w:val="1"/>
          <w:iCs w:val="1"/>
          <w:color w:val="auto"/>
        </w:rPr>
        <w:t>Specific Terms of Awards</w:t>
      </w:r>
      <w:r>
        <w:rPr>
          <w:rFonts w:ascii="Times New Roman" w:cs="Times New Roman" w:eastAsia="Times New Roman" w:hAnsi="Times New Roman"/>
          <w:sz w:val="18"/>
          <w:szCs w:val="18"/>
          <w:color w:val="auto"/>
        </w:rPr>
        <w:t>.</w:t>
      </w:r>
    </w:p>
    <w:p>
      <w:pPr>
        <w:spacing w:after="0" w:line="225" w:lineRule="exact"/>
        <w:rPr>
          <w:rFonts w:ascii="Times New Roman" w:cs="Times New Roman" w:eastAsia="Times New Roman" w:hAnsi="Times New Roman"/>
          <w:sz w:val="18"/>
          <w:szCs w:val="18"/>
          <w:color w:val="auto"/>
        </w:rPr>
      </w:pPr>
    </w:p>
    <w:p>
      <w:pPr>
        <w:jc w:val="both"/>
        <w:ind w:firstLine="1561"/>
        <w:spacing w:after="0" w:line="259" w:lineRule="auto"/>
        <w:tabs>
          <w:tab w:leader="none" w:pos="2401" w:val="left"/>
        </w:tabs>
        <w:numPr>
          <w:ilvl w:val="1"/>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i w:val="1"/>
          <w:iCs w:val="1"/>
          <w:color w:val="auto"/>
        </w:rPr>
        <w:t>General</w:t>
      </w:r>
      <w:r>
        <w:rPr>
          <w:rFonts w:ascii="Times New Roman" w:cs="Times New Roman" w:eastAsia="Times New Roman" w:hAnsi="Times New Roman"/>
          <w:sz w:val="18"/>
          <w:szCs w:val="18"/>
          <w:color w:val="auto"/>
        </w:rPr>
        <w:t>. Awards may be granted on the terms and conditions set forth in this Section 7. In addition, the Committee may</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impose on any Award or the exercise thereof, at the date of grant or thereafter (subject to Section 11(e)), such additional terms and conditions, not inconsistent with the provisions of the Plan, as the Committee shall determine, including terms requiring forfeiture of Awards in the event of termination of the Participant’s Continuous Service and terms permitting a Participant to make elections relating to his or her Award. Except as otherwise expressly provided herein, the Committee shall retain full power and</w:t>
      </w:r>
    </w:p>
    <w:p>
      <w:pPr>
        <w:spacing w:after="0" w:line="40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210820</wp:posOffset>
            </wp:positionV>
            <wp:extent cx="7289165" cy="4254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553" w:right="239" w:bottom="1440" w:gutter="0" w:footer="0" w:header="0"/>
        </w:sectPr>
      </w:pPr>
    </w:p>
    <w:bookmarkStart w:id="12" w:name="page13"/>
    <w:bookmarkEnd w:id="12"/>
    <w:p>
      <w:pPr>
        <w:jc w:val="both"/>
        <w:spacing w:after="0" w:line="266" w:lineRule="auto"/>
        <w:rPr>
          <w:sz w:val="20"/>
          <w:szCs w:val="20"/>
          <w:color w:val="auto"/>
        </w:rPr>
      </w:pPr>
      <w:r>
        <w:rPr>
          <w:rFonts w:ascii="Times New Roman" w:cs="Times New Roman" w:eastAsia="Times New Roman" w:hAnsi="Times New Roman"/>
          <w:sz w:val="18"/>
          <w:szCs w:val="18"/>
          <w:color w:val="auto"/>
        </w:rPr>
        <w:t>discretion to accelerate, waive or modify, at any time, any term or condition of an Award that is not mandatory under the Plan. Except in cases in which the Committee is authorized to require other forms of consideration under the Plan, or to the extent other forms of consideration must be paid to satisfy the requirements of Delaware law, no consideration other than services may be required for the grant (but not the exercise) of any Award.</w:t>
      </w:r>
    </w:p>
    <w:p>
      <w:pPr>
        <w:spacing w:after="0" w:line="172" w:lineRule="exact"/>
        <w:rPr>
          <w:sz w:val="20"/>
          <w:szCs w:val="20"/>
          <w:color w:val="auto"/>
        </w:rPr>
      </w:pPr>
    </w:p>
    <w:p>
      <w:pPr>
        <w:ind w:left="2420" w:hanging="859"/>
        <w:spacing w:after="0"/>
        <w:tabs>
          <w:tab w:leader="none" w:pos="242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i w:val="1"/>
          <w:iCs w:val="1"/>
          <w:color w:val="auto"/>
        </w:rPr>
        <w:t>Options</w:t>
      </w:r>
      <w:r>
        <w:rPr>
          <w:rFonts w:ascii="Times New Roman" w:cs="Times New Roman" w:eastAsia="Times New Roman" w:hAnsi="Times New Roman"/>
          <w:sz w:val="18"/>
          <w:szCs w:val="18"/>
          <w:color w:val="auto"/>
        </w:rPr>
        <w:t>. The Committee is authorized to grant Options to any Eligible Person on the following terms and conditions:</w:t>
      </w:r>
    </w:p>
    <w:p>
      <w:pPr>
        <w:spacing w:after="0" w:line="225" w:lineRule="exact"/>
        <w:rPr>
          <w:rFonts w:ascii="Times New Roman" w:cs="Times New Roman" w:eastAsia="Times New Roman" w:hAnsi="Times New Roman"/>
          <w:sz w:val="18"/>
          <w:szCs w:val="18"/>
          <w:color w:val="auto"/>
        </w:rPr>
      </w:pPr>
    </w:p>
    <w:p>
      <w:pPr>
        <w:jc w:val="both"/>
        <w:ind w:firstLine="2338"/>
        <w:spacing w:after="0" w:line="253" w:lineRule="auto"/>
        <w:tabs>
          <w:tab w:leader="none" w:pos="3148" w:val="left"/>
        </w:tabs>
        <w:numPr>
          <w:ilvl w:val="1"/>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i w:val="1"/>
          <w:iCs w:val="1"/>
          <w:color w:val="auto"/>
        </w:rPr>
        <w:t>Exercise Price</w:t>
      </w:r>
      <w:r>
        <w:rPr>
          <w:rFonts w:ascii="Times New Roman" w:cs="Times New Roman" w:eastAsia="Times New Roman" w:hAnsi="Times New Roman"/>
          <w:sz w:val="18"/>
          <w:szCs w:val="18"/>
          <w:color w:val="auto"/>
        </w:rPr>
        <w:t>. Other than in connection with Substitute Awards, the exercise price per Share purchasable under</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an Option shall be determined by the Committee, provided that such exercise price shall not be less than 100% of the Fair Market Value of a Share on the date of grant of the Option and shall not, in any event, be less than the par value of a Share on the date of grant of the Option. If an Employee owns or is deemed to own (by reason of the attribution rules applicable under Section 424(d) of the Code) more than 10% of the combined voting power of all classes of stock of the Company (or any parent corporation or subsidiary corporation of the Company, as those terms are defined in Sections 424(e) and (f) of the Code, respectively) and an Incentive Stock Option is granted to such employee, the exercise price of such Incentive Stock Option (to the extent required by the Code at the time of grant) shall be no less than 110% of the Fair Market Value a Share on the date such Incentive Stock Option is granted. Other than pursuant to Section 11(c), (A) the terms of outstanding Options may not be amended to reduce the exercise price per Share of such Options, (B) an outstanding Option may not be cancelled, exchanged, substituted, bought out or surrendered in exchange for (i) cash or other Awards, in each case, having a Fair Market Value in excess of the amount by which the Fair Market Value of the Shares underlying such Option exceeds the aggregate exercise price of such Option or (ii) Options with an exercise price per Share that is less than the exercise price per Share of the original Option and (C) the Committee shall not be permitted to take any other action with respect to an Option that may be treated as a repricing, in each case, without approval of the Company’s shareholders.</w:t>
      </w:r>
    </w:p>
    <w:p>
      <w:pPr>
        <w:spacing w:after="0" w:line="190" w:lineRule="exact"/>
        <w:rPr>
          <w:rFonts w:ascii="Times New Roman" w:cs="Times New Roman" w:eastAsia="Times New Roman" w:hAnsi="Times New Roman"/>
          <w:sz w:val="18"/>
          <w:szCs w:val="18"/>
          <w:color w:val="auto"/>
        </w:rPr>
      </w:pPr>
    </w:p>
    <w:p>
      <w:pPr>
        <w:jc w:val="both"/>
        <w:ind w:firstLine="2338"/>
        <w:spacing w:after="0" w:line="254" w:lineRule="auto"/>
        <w:tabs>
          <w:tab w:leader="none" w:pos="3198" w:val="left"/>
        </w:tabs>
        <w:numPr>
          <w:ilvl w:val="1"/>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i w:val="1"/>
          <w:iCs w:val="1"/>
          <w:color w:val="auto"/>
        </w:rPr>
        <w:t>Time and Method of Exercise</w:t>
      </w:r>
      <w:r>
        <w:rPr>
          <w:rFonts w:ascii="Times New Roman" w:cs="Times New Roman" w:eastAsia="Times New Roman" w:hAnsi="Times New Roman"/>
          <w:sz w:val="18"/>
          <w:szCs w:val="18"/>
          <w:color w:val="auto"/>
        </w:rPr>
        <w:t>. Subject to the maximum term of any Option set forth in Section 7(b), the</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Committee shall determine the time or times at which or the circumstances under which an Option may be exercised in whole or in part (including based on achievement of performance goals and/or future service requirements), the method by which notice of exercise is to be given and the form of exercise notice to be used, the time or times at which Options shall cease to be or become exercisable following termination of Continuous Service or upon other conditions, the methods by which the exercise price may be paid or deemed to be paid (including in the discretion of the Committee a cashless exercise procedure), the form of such payment, including, without limitation, cash, Shares (including without limitation the withholding of Shares otherwise deliverable pursuant to the Award), other Awards or Awards granted under other plans of the Company or a Related Entity, or other property (including notes or other contractual obligations of Participants to make payment on a deferred basis provided that such deferred payments are not in violation of Section 13(k) of the Exchange Act, or any rule or regulation adopted thereunder or any other applicable law), and the methods by or forms in which Shares will be delivered or deemed to be delivered to Participants.</w:t>
      </w:r>
    </w:p>
    <w:p>
      <w:pPr>
        <w:spacing w:after="0" w:line="186" w:lineRule="exact"/>
        <w:rPr>
          <w:rFonts w:ascii="Times New Roman" w:cs="Times New Roman" w:eastAsia="Times New Roman" w:hAnsi="Times New Roman"/>
          <w:sz w:val="18"/>
          <w:szCs w:val="18"/>
          <w:color w:val="auto"/>
        </w:rPr>
      </w:pPr>
    </w:p>
    <w:p>
      <w:pPr>
        <w:ind w:firstLine="2338"/>
        <w:spacing w:after="0" w:line="286" w:lineRule="auto"/>
        <w:tabs>
          <w:tab w:leader="none" w:pos="3248" w:val="left"/>
        </w:tabs>
        <w:numPr>
          <w:ilvl w:val="1"/>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i w:val="1"/>
          <w:iCs w:val="1"/>
          <w:color w:val="auto"/>
        </w:rPr>
        <w:t>Form of Settlement</w:t>
      </w:r>
      <w:r>
        <w:rPr>
          <w:rFonts w:ascii="Times New Roman" w:cs="Times New Roman" w:eastAsia="Times New Roman" w:hAnsi="Times New Roman"/>
          <w:sz w:val="18"/>
          <w:szCs w:val="18"/>
          <w:color w:val="auto"/>
        </w:rPr>
        <w:t>. The Committee may, in its sole discretion, provide that the Shares to be issued upon</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exercise of an Option shall be in the form of Restricted Stock or other similar securities.</w:t>
      </w:r>
    </w:p>
    <w:p>
      <w:pPr>
        <w:spacing w:after="0" w:line="154" w:lineRule="exact"/>
        <w:rPr>
          <w:rFonts w:ascii="Times New Roman" w:cs="Times New Roman" w:eastAsia="Times New Roman" w:hAnsi="Times New Roman"/>
          <w:sz w:val="18"/>
          <w:szCs w:val="18"/>
          <w:color w:val="auto"/>
        </w:rPr>
      </w:pPr>
    </w:p>
    <w:p>
      <w:pPr>
        <w:jc w:val="both"/>
        <w:ind w:firstLine="2338"/>
        <w:spacing w:after="0" w:line="257" w:lineRule="auto"/>
        <w:tabs>
          <w:tab w:leader="none" w:pos="3238" w:val="left"/>
        </w:tabs>
        <w:numPr>
          <w:ilvl w:val="1"/>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i w:val="1"/>
          <w:iCs w:val="1"/>
          <w:color w:val="auto"/>
        </w:rPr>
        <w:t>Incentive Stock Options</w:t>
      </w:r>
      <w:r>
        <w:rPr>
          <w:rFonts w:ascii="Times New Roman" w:cs="Times New Roman" w:eastAsia="Times New Roman" w:hAnsi="Times New Roman"/>
          <w:sz w:val="18"/>
          <w:szCs w:val="18"/>
          <w:color w:val="auto"/>
        </w:rPr>
        <w:t>. The terms of any Incentive Stock Option granted under the Plan shall comply in all</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respects with the provisions of Section 422 of the Code. Anything in the Plan to the contrary notwithstanding, no term of the Plan relating to Incentive Stock Options (including any Stock Appreciation Right issued in tandem therewith) shall be interpreted, amended or altered, nor shall any discretion or authority granted under the Plan be exercised, so as to disqualify either the Plan or any Incentive Stock Option under Section 422 of the Code, unless the Participant has first requested, or consents to, the change that will result in such disqualification. Thus, if and to the extent required to comply with Section 422 of the Code, Options granted as Incentive Stock Options shall be subject to the following special terms and conditions:</w:t>
      </w:r>
    </w:p>
    <w:p>
      <w:pPr>
        <w:spacing w:after="0" w:line="186" w:lineRule="exact"/>
        <w:rPr>
          <w:rFonts w:ascii="Times New Roman" w:cs="Times New Roman" w:eastAsia="Times New Roman" w:hAnsi="Times New Roman"/>
          <w:sz w:val="18"/>
          <w:szCs w:val="18"/>
          <w:color w:val="auto"/>
        </w:rPr>
      </w:pPr>
    </w:p>
    <w:p>
      <w:pPr>
        <w:jc w:val="both"/>
        <w:ind w:firstLine="3114"/>
        <w:spacing w:after="0" w:line="258" w:lineRule="auto"/>
        <w:tabs>
          <w:tab w:leader="none" w:pos="4004" w:val="left"/>
        </w:tabs>
        <w:numPr>
          <w:ilvl w:val="2"/>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Option shall not be exercisable for more than ten years after the date such Incentive Stock Option is granted; provided, however, that if a Participant owns or is deemed to own (by reason of the attribution rules of Section 424(d) of the Code) more than 10% of the combined voting power of all classes of stock of the Company (or any parent corporation or subsidiary corporation of the Company, as those terms are defined in Sections 424(e) and (f) of the Code, respectively) and the Incentive Stock Option is granted to such Participant, the term of the Incentive Stock Option shall be (to the extent required by the Code at the time of the grant) for no more than five years from the date of grant; and</w:t>
      </w:r>
    </w:p>
    <w:p>
      <w:pPr>
        <w:spacing w:after="0" w:line="183" w:lineRule="exact"/>
        <w:rPr>
          <w:rFonts w:ascii="Times New Roman" w:cs="Times New Roman" w:eastAsia="Times New Roman" w:hAnsi="Times New Roman"/>
          <w:sz w:val="18"/>
          <w:szCs w:val="18"/>
          <w:color w:val="auto"/>
        </w:rPr>
      </w:pPr>
    </w:p>
    <w:p>
      <w:pPr>
        <w:jc w:val="both"/>
        <w:ind w:right="20" w:firstLine="3114"/>
        <w:spacing w:after="0" w:line="261" w:lineRule="auto"/>
        <w:tabs>
          <w:tab w:leader="none" w:pos="3994" w:val="left"/>
        </w:tabs>
        <w:numPr>
          <w:ilvl w:val="2"/>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aggregate Fair Market Value (determined as of the date the Incentive Stock Option is granted) of the Shares with respect to which Incentive Stock Options granted under the Plan and all other option plans of the Company (and any parent corporation or subsidiary corporation of the Company, as those terms are defined in Sections 424(e) and (f) of the Code, respectively) that become exercisable for the first time by the Participant during any calendar year shall not (to the extent required by the Code at the time of the grant) exceed $100,000; and</w:t>
      </w:r>
    </w:p>
    <w:p>
      <w:pPr>
        <w:spacing w:after="0" w:line="39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210820</wp:posOffset>
            </wp:positionV>
            <wp:extent cx="7289165" cy="4254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553" w:right="239" w:bottom="1440" w:gutter="0" w:footer="0" w:header="0"/>
        </w:sectPr>
      </w:pPr>
    </w:p>
    <w:bookmarkStart w:id="13" w:name="page14"/>
    <w:bookmarkEnd w:id="13"/>
    <w:p>
      <w:pPr>
        <w:jc w:val="both"/>
        <w:ind w:firstLine="3114"/>
        <w:spacing w:after="0" w:line="261" w:lineRule="auto"/>
        <w:tabs>
          <w:tab w:leader="none" w:pos="3994" w:val="left"/>
        </w:tabs>
        <w:numPr>
          <w:ilvl w:val="2"/>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shares acquired by exercise of an Incentive Stock Option are disposed of within two years following the date the Incentive Stock Option is granted or one year following the transfer of such Shares to the Participant upon exercise, the Participant shall, promptly following such disposition, notify the Company in writing of the date and terms of such disposition and provide such other information regarding the disposition as the Committee may reasonably require.</w:t>
      </w:r>
    </w:p>
    <w:p>
      <w:pPr>
        <w:spacing w:after="0" w:line="176" w:lineRule="exact"/>
        <w:rPr>
          <w:rFonts w:ascii="Times New Roman" w:cs="Times New Roman" w:eastAsia="Times New Roman" w:hAnsi="Times New Roman"/>
          <w:sz w:val="18"/>
          <w:szCs w:val="18"/>
          <w:color w:val="auto"/>
        </w:rPr>
      </w:pPr>
    </w:p>
    <w:p>
      <w:pPr>
        <w:jc w:val="both"/>
        <w:ind w:firstLine="1561"/>
        <w:spacing w:after="0" w:line="268" w:lineRule="auto"/>
        <w:tabs>
          <w:tab w:leader="none" w:pos="2401"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i w:val="1"/>
          <w:iCs w:val="1"/>
          <w:color w:val="auto"/>
        </w:rPr>
        <w:t>Stock Appreciation Rights</w:t>
      </w:r>
      <w:r>
        <w:rPr>
          <w:rFonts w:ascii="Times New Roman" w:cs="Times New Roman" w:eastAsia="Times New Roman" w:hAnsi="Times New Roman"/>
          <w:sz w:val="18"/>
          <w:szCs w:val="18"/>
          <w:color w:val="auto"/>
        </w:rPr>
        <w:t>. The Committee may grant Stock Appreciation Rights to any Eligible Person (a “Freestanding</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Stock Appreciation Right”), upon such terms and conditions as the Committee may establish in its sole discretion, not inconsistent with the provisions of the Plan, including the following:</w:t>
      </w:r>
    </w:p>
    <w:p>
      <w:pPr>
        <w:spacing w:after="0" w:line="170" w:lineRule="exact"/>
        <w:rPr>
          <w:rFonts w:ascii="Times New Roman" w:cs="Times New Roman" w:eastAsia="Times New Roman" w:hAnsi="Times New Roman"/>
          <w:sz w:val="18"/>
          <w:szCs w:val="18"/>
          <w:color w:val="auto"/>
        </w:rPr>
      </w:pPr>
    </w:p>
    <w:p>
      <w:pPr>
        <w:jc w:val="both"/>
        <w:ind w:firstLine="2338"/>
        <w:spacing w:after="0" w:line="254" w:lineRule="auto"/>
        <w:tabs>
          <w:tab w:leader="none" w:pos="3148" w:val="left"/>
        </w:tabs>
        <w:numPr>
          <w:ilvl w:val="1"/>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i w:val="1"/>
          <w:iCs w:val="1"/>
          <w:color w:val="auto"/>
        </w:rPr>
        <w:t>Right to Payment</w:t>
      </w:r>
      <w:r>
        <w:rPr>
          <w:rFonts w:ascii="Times New Roman" w:cs="Times New Roman" w:eastAsia="Times New Roman" w:hAnsi="Times New Roman"/>
          <w:sz w:val="18"/>
          <w:szCs w:val="18"/>
          <w:color w:val="auto"/>
        </w:rPr>
        <w:t>. A Stock Appreciation Right shall confer on the Participant to whom it is granted a right to</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receive, upon exercise thereof, the excess of (A) the Fair Market Value of one Share on the date of exercise over (B) the grant price of the Stock Appreciation Right as determined by the Committee. The grant price of a Stock Appreciation Right shall not be less than 100% of the Fair Market Value of a Share on the date of grant, in the case of a Freestanding Stock Appreciation Right, or less than the associated Option exercise price, in the case of a tandem Stock Appreciation Right. Other than pursuant to Section 11(c), (A) the terms of outstanding Stock Appreciation Rights may not be amended to reduce the grant price per Share of such Stock Appreciation Rights, (B) an outstanding Stock Appreciation Right may not be cancelled, exchanged, substituted, bought out or surrendered in exchange for (i) cash or other Awards, in each case, having a Fair Market Value in excess of the amount by which the Fair Market Value of the Shares underlying such Stock Appreciation Right exceeds the aggregate grant price of such Stock Appreciation Right or (ii) Stock Appreciation Rights with a grant price per Share that is less than the grant price per Share of the original Stock Appreciation Right and (C) the Committee shall not be permitted to take any other action with respect to a Stock Appreciation Right that may be treated as a repricing, in each case, without approval of the Company’s shareholders.</w:t>
      </w:r>
    </w:p>
    <w:p>
      <w:pPr>
        <w:spacing w:after="0" w:line="186" w:lineRule="exact"/>
        <w:rPr>
          <w:rFonts w:ascii="Times New Roman" w:cs="Times New Roman" w:eastAsia="Times New Roman" w:hAnsi="Times New Roman"/>
          <w:sz w:val="18"/>
          <w:szCs w:val="18"/>
          <w:color w:val="auto"/>
        </w:rPr>
      </w:pPr>
    </w:p>
    <w:p>
      <w:pPr>
        <w:jc w:val="both"/>
        <w:ind w:firstLine="2338"/>
        <w:spacing w:after="0" w:line="256" w:lineRule="auto"/>
        <w:tabs>
          <w:tab w:leader="none" w:pos="3198" w:val="left"/>
        </w:tabs>
        <w:numPr>
          <w:ilvl w:val="1"/>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i w:val="1"/>
          <w:iCs w:val="1"/>
          <w:color w:val="auto"/>
        </w:rPr>
        <w:t>Other Terms</w:t>
      </w:r>
      <w:r>
        <w:rPr>
          <w:rFonts w:ascii="Times New Roman" w:cs="Times New Roman" w:eastAsia="Times New Roman" w:hAnsi="Times New Roman"/>
          <w:sz w:val="18"/>
          <w:szCs w:val="18"/>
          <w:color w:val="auto"/>
        </w:rPr>
        <w:t>. Subject to the maximum term of any Stock Appreciation Right set forth in Section 7(c), the</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Committee shall determine at the date of grant or thereafter, the time or times at which and the circumstances under which a Stock Appreciation Right may be exercised in whole or in part (including based on achievement of performance goals and/or future service requirements), the time or times at which Stock Appreciation Rights shall cease to be or become exercisable following termination of Continuous Service or upon other conditions, the method of exercise, method of settlement, form of consideration payable in settlement, method by or forms in which Shares will be delivered or deemed to be delivered to Participants, whether or not a Stock Appreciation Right shall be in tandem or in combination with any other Award, and any other terms and conditions of any Stock Appreciation Right.</w:t>
      </w:r>
    </w:p>
    <w:p>
      <w:pPr>
        <w:spacing w:after="0" w:line="183" w:lineRule="exact"/>
        <w:rPr>
          <w:rFonts w:ascii="Times New Roman" w:cs="Times New Roman" w:eastAsia="Times New Roman" w:hAnsi="Times New Roman"/>
          <w:sz w:val="18"/>
          <w:szCs w:val="18"/>
          <w:color w:val="auto"/>
        </w:rPr>
      </w:pPr>
    </w:p>
    <w:p>
      <w:pPr>
        <w:ind w:left="2420" w:hanging="859"/>
        <w:spacing w:after="0"/>
        <w:tabs>
          <w:tab w:leader="none" w:pos="242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i w:val="1"/>
          <w:iCs w:val="1"/>
          <w:color w:val="auto"/>
        </w:rPr>
        <w:t>Restricted Stock Awards</w:t>
      </w:r>
      <w:r>
        <w:rPr>
          <w:rFonts w:ascii="Times New Roman" w:cs="Times New Roman" w:eastAsia="Times New Roman" w:hAnsi="Times New Roman"/>
          <w:sz w:val="18"/>
          <w:szCs w:val="18"/>
          <w:color w:val="auto"/>
        </w:rPr>
        <w:t>.  The Committee is authorized to grant Restricted Stock Awards to any Eligible Person on the</w:t>
      </w:r>
    </w:p>
    <w:p>
      <w:pPr>
        <w:spacing w:after="0" w:line="31" w:lineRule="exact"/>
        <w:rPr>
          <w:rFonts w:ascii="Times New Roman" w:cs="Times New Roman" w:eastAsia="Times New Roman" w:hAnsi="Times New Roman"/>
          <w:sz w:val="18"/>
          <w:szCs w:val="18"/>
          <w:color w:val="auto"/>
        </w:rPr>
      </w:pPr>
    </w:p>
    <w:p>
      <w:pPr>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following terms and conditions:</w:t>
      </w:r>
    </w:p>
    <w:p>
      <w:pPr>
        <w:spacing w:after="0" w:line="202" w:lineRule="exact"/>
        <w:rPr>
          <w:rFonts w:ascii="Times New Roman" w:cs="Times New Roman" w:eastAsia="Times New Roman" w:hAnsi="Times New Roman"/>
          <w:sz w:val="18"/>
          <w:szCs w:val="18"/>
          <w:color w:val="auto"/>
        </w:rPr>
      </w:pPr>
    </w:p>
    <w:p>
      <w:pPr>
        <w:jc w:val="both"/>
        <w:ind w:firstLine="2338"/>
        <w:spacing w:after="0" w:line="254" w:lineRule="auto"/>
        <w:tabs>
          <w:tab w:leader="none" w:pos="3148" w:val="left"/>
        </w:tabs>
        <w:numPr>
          <w:ilvl w:val="1"/>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i w:val="1"/>
          <w:iCs w:val="1"/>
          <w:color w:val="auto"/>
        </w:rPr>
        <w:t>Grant and Restrictions</w:t>
      </w:r>
      <w:r>
        <w:rPr>
          <w:rFonts w:ascii="Times New Roman" w:cs="Times New Roman" w:eastAsia="Times New Roman" w:hAnsi="Times New Roman"/>
          <w:sz w:val="18"/>
          <w:szCs w:val="18"/>
          <w:color w:val="auto"/>
        </w:rPr>
        <w:t>. Restricted Stock Awards shall be subject to such restrictions on transferability, risk of</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forfeiture and other restrictions, if any, as the Committee may impose, or as otherwise provided in this Plan, covering a period of time specified by the Committee (the “Restriction Period”). The terms of any Restricted Stock Award granted under the Plan shall be set forth in a written Award Agreement which shall contain provisions determined by the Committee and not inconsistent with the Plan. The restrictions may lapse separately or in combination at such times, under such circumstances (including based on achievement of performance goals and/or future service requirements), in such installments or otherwise, as the Committee may determine at the date of grant or thereafter. Except to the extent restricted under the terms of the Plan and any Award Agreement relating to a Restricted Stock Award, a Participant granted Restricted Stock shall have all of the rights of a shareholder, including the right to vote the Restricted Stock and the right to receive dividends thereon (subject to any mandatory reinvestment or other requirement imposed by the Committee). During the period that the Restricted Stock Award is subject to a risk of forfeiture, subject to Section 11(b) below and except as otherwise provided in the Award Agreement, the Restricted Stock may not be sold, transferred, pledged, hypothecated, margined or otherwise encumbered by the Participant or Beneficiary.</w:t>
      </w:r>
    </w:p>
    <w:p>
      <w:pPr>
        <w:spacing w:after="0" w:line="200" w:lineRule="exact"/>
        <w:rPr>
          <w:rFonts w:ascii="Times New Roman" w:cs="Times New Roman" w:eastAsia="Times New Roman" w:hAnsi="Times New Roman"/>
          <w:sz w:val="18"/>
          <w:szCs w:val="18"/>
          <w:color w:val="auto"/>
        </w:rPr>
      </w:pPr>
    </w:p>
    <w:p>
      <w:pPr>
        <w:spacing w:after="0" w:line="202" w:lineRule="exact"/>
        <w:rPr>
          <w:rFonts w:ascii="Times New Roman" w:cs="Times New Roman" w:eastAsia="Times New Roman" w:hAnsi="Times New Roman"/>
          <w:sz w:val="18"/>
          <w:szCs w:val="18"/>
          <w:color w:val="auto"/>
        </w:rPr>
      </w:pPr>
    </w:p>
    <w:p>
      <w:pPr>
        <w:jc w:val="both"/>
        <w:ind w:firstLine="2338"/>
        <w:spacing w:after="0" w:line="257" w:lineRule="auto"/>
        <w:tabs>
          <w:tab w:leader="none" w:pos="3198" w:val="left"/>
        </w:tabs>
        <w:numPr>
          <w:ilvl w:val="1"/>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i w:val="1"/>
          <w:iCs w:val="1"/>
          <w:color w:val="auto"/>
        </w:rPr>
        <w:t>Forfeiture</w:t>
      </w:r>
      <w:r>
        <w:rPr>
          <w:rFonts w:ascii="Times New Roman" w:cs="Times New Roman" w:eastAsia="Times New Roman" w:hAnsi="Times New Roman"/>
          <w:sz w:val="18"/>
          <w:szCs w:val="18"/>
          <w:color w:val="auto"/>
        </w:rPr>
        <w:t>. Except as otherwise determined by the Committee, upon termination of a Participant’s Continuous</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Service during the applicable Restriction Period, the Participant’s Restricted Stock that is at that time subject to a risk of forfeiture that has not lapsed or otherwise been satisfied shall be forfeited and reacquired by the Company; provided that, subject to the limitations set forth in Section 6 hereof, the Committee may provide, by resolution or other action or in any Award Agreement, or may determine in any individual case, that forfeiture conditions relating to Restricted Stock Awards shall be waived in whole or in part in the event of terminations resulting from specified causes, and subject to the limitations in Section 6 hereof, the Committee may in other cases waive in whole or in part the forfeiture of Restricted Stock.</w:t>
      </w:r>
    </w:p>
    <w:p>
      <w:pPr>
        <w:spacing w:after="0" w:line="182" w:lineRule="exact"/>
        <w:rPr>
          <w:rFonts w:ascii="Times New Roman" w:cs="Times New Roman" w:eastAsia="Times New Roman" w:hAnsi="Times New Roman"/>
          <w:sz w:val="18"/>
          <w:szCs w:val="18"/>
          <w:color w:val="auto"/>
        </w:rPr>
      </w:pPr>
    </w:p>
    <w:p>
      <w:pPr>
        <w:jc w:val="both"/>
        <w:ind w:firstLine="2338"/>
        <w:spacing w:after="0" w:line="268" w:lineRule="auto"/>
        <w:tabs>
          <w:tab w:leader="none" w:pos="3248" w:val="left"/>
        </w:tabs>
        <w:numPr>
          <w:ilvl w:val="1"/>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i w:val="1"/>
          <w:iCs w:val="1"/>
          <w:color w:val="auto"/>
        </w:rPr>
        <w:t>Certificates for Stock</w:t>
      </w:r>
      <w:r>
        <w:rPr>
          <w:rFonts w:ascii="Times New Roman" w:cs="Times New Roman" w:eastAsia="Times New Roman" w:hAnsi="Times New Roman"/>
          <w:sz w:val="18"/>
          <w:szCs w:val="18"/>
          <w:color w:val="auto"/>
        </w:rPr>
        <w:t>. Restricted Stock granted under the Plan may be evidenced in such manner as the</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Committee shall determine. If certificates representing Restricted Stock are registered in the name of the Participant, the Committee may require that such certificates bear an appropriate legend referring to the terms, conditions and restrictions applicable to</w:t>
      </w:r>
    </w:p>
    <w:p>
      <w:pPr>
        <w:spacing w:after="0" w:line="39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210820</wp:posOffset>
            </wp:positionV>
            <wp:extent cx="7289165" cy="4254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553" w:right="239" w:bottom="1440" w:gutter="0" w:footer="0" w:header="0"/>
        </w:sectPr>
      </w:pPr>
    </w:p>
    <w:bookmarkStart w:id="14" w:name="page15"/>
    <w:bookmarkEnd w:id="14"/>
    <w:p>
      <w:pPr>
        <w:spacing w:after="0" w:line="282" w:lineRule="auto"/>
        <w:rPr>
          <w:sz w:val="20"/>
          <w:szCs w:val="20"/>
          <w:color w:val="auto"/>
        </w:rPr>
      </w:pPr>
      <w:r>
        <w:rPr>
          <w:rFonts w:ascii="Times New Roman" w:cs="Times New Roman" w:eastAsia="Times New Roman" w:hAnsi="Times New Roman"/>
          <w:sz w:val="18"/>
          <w:szCs w:val="18"/>
          <w:color w:val="auto"/>
        </w:rPr>
        <w:t>such Restricted Stock, that the Company retain physical possession of the certificates, and that the Participant deliver a stock power to the Company, endorsed in blank, relating to the Restricted Stock.</w:t>
      </w:r>
    </w:p>
    <w:p>
      <w:pPr>
        <w:spacing w:after="0" w:line="158" w:lineRule="exact"/>
        <w:rPr>
          <w:sz w:val="20"/>
          <w:szCs w:val="20"/>
          <w:color w:val="auto"/>
        </w:rPr>
      </w:pPr>
    </w:p>
    <w:p>
      <w:pPr>
        <w:jc w:val="both"/>
        <w:ind w:firstLine="2338"/>
        <w:spacing w:after="0" w:line="255" w:lineRule="auto"/>
        <w:tabs>
          <w:tab w:leader="none" w:pos="3238" w:val="left"/>
        </w:tabs>
        <w:numPr>
          <w:ilvl w:val="2"/>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i w:val="1"/>
          <w:iCs w:val="1"/>
          <w:color w:val="auto"/>
        </w:rPr>
        <w:t>Dividends and Splits</w:t>
      </w:r>
      <w:r>
        <w:rPr>
          <w:rFonts w:ascii="Times New Roman" w:cs="Times New Roman" w:eastAsia="Times New Roman" w:hAnsi="Times New Roman"/>
          <w:sz w:val="18"/>
          <w:szCs w:val="18"/>
          <w:color w:val="auto"/>
        </w:rPr>
        <w:t>. As a condition to the grant of a Restricted Stock Award, the Committee may require or</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permit a Participant to elect that any cash dividends paid on a Share of Restricted Stock be automatically reinvested in additional Shares of Restricted Stock or applied to the purchase of additional Awards under the Plan, or except as otherwise provided in the last sentence of Section 7(h) hereof, may require that payment be delayed (with or without interest at such rate, if any, as the Committee shall determine) and remain subject to restrictions and a risk of forfeiture to the same extent as the Restricted Stock with respect to which such cash dividend is payable, in each case in a manner that does not violate the requirements of Section 409A of the Code. Unless otherwise determined by the Committee, Shares distributed in connection with a stock split or stock dividend, and other property distributed as a dividend, shall be subject to restrictions and a risk of forfeiture to the same extent as the Restricted Stock with respect to which such Shares or other property have been distributed.</w:t>
      </w:r>
    </w:p>
    <w:p>
      <w:pPr>
        <w:spacing w:after="0" w:line="185" w:lineRule="exact"/>
        <w:rPr>
          <w:rFonts w:ascii="Times New Roman" w:cs="Times New Roman" w:eastAsia="Times New Roman" w:hAnsi="Times New Roman"/>
          <w:sz w:val="18"/>
          <w:szCs w:val="18"/>
          <w:color w:val="auto"/>
        </w:rPr>
      </w:pPr>
    </w:p>
    <w:p>
      <w:pPr>
        <w:ind w:firstLine="1561"/>
        <w:spacing w:after="0" w:line="286" w:lineRule="auto"/>
        <w:tabs>
          <w:tab w:leader="none" w:pos="2401" w:val="left"/>
        </w:tabs>
        <w:numPr>
          <w:ilvl w:val="1"/>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i w:val="1"/>
          <w:iCs w:val="1"/>
          <w:color w:val="auto"/>
        </w:rPr>
        <w:t>Deferred Award</w:t>
      </w:r>
      <w:r>
        <w:rPr>
          <w:rFonts w:ascii="Times New Roman" w:cs="Times New Roman" w:eastAsia="Times New Roman" w:hAnsi="Times New Roman"/>
          <w:sz w:val="18"/>
          <w:szCs w:val="18"/>
          <w:color w:val="auto"/>
        </w:rPr>
        <w:t>. The Committee is authorized to grant “Deferred Awards,” which include Deferred Stock and Restricted</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Stock Unit Awards, to any Eligible Person on the following terms and conditions.</w:t>
      </w:r>
    </w:p>
    <w:p>
      <w:pPr>
        <w:spacing w:after="0" w:line="154" w:lineRule="exact"/>
        <w:rPr>
          <w:rFonts w:ascii="Times New Roman" w:cs="Times New Roman" w:eastAsia="Times New Roman" w:hAnsi="Times New Roman"/>
          <w:sz w:val="18"/>
          <w:szCs w:val="18"/>
          <w:color w:val="auto"/>
        </w:rPr>
      </w:pPr>
    </w:p>
    <w:p>
      <w:pPr>
        <w:jc w:val="both"/>
        <w:ind w:firstLine="2338"/>
        <w:spacing w:after="0" w:line="254" w:lineRule="auto"/>
        <w:tabs>
          <w:tab w:leader="none" w:pos="3148" w:val="left"/>
        </w:tabs>
        <w:numPr>
          <w:ilvl w:val="2"/>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i w:val="1"/>
          <w:iCs w:val="1"/>
          <w:color w:val="auto"/>
        </w:rPr>
        <w:t>Award and Restrictions</w:t>
      </w:r>
      <w:r>
        <w:rPr>
          <w:rFonts w:ascii="Times New Roman" w:cs="Times New Roman" w:eastAsia="Times New Roman" w:hAnsi="Times New Roman"/>
          <w:sz w:val="18"/>
          <w:szCs w:val="18"/>
          <w:color w:val="auto"/>
        </w:rPr>
        <w:t>. Satisfaction of a Deferred Award shall occur upon expiration of the deferral period</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specified for such Deferred Award by the Committee (or, if permitted by the Committee, as elected by the Participant in a manner that does not violate the requirements of Section 409A of the Code). In addition, a Restricted Stock Unit Award shall be subject to such restrictions (which may include a risk of forfeiture) as the Committee may impose, if any, which restrictions may lapse at the expiration of the deferral period or at earlier specified times (including based on achievement of performance goals and/or future service requirements), separately or in combination, in installments or otherwise, as the Committee may determine. A Deferred Award may be satisfied by delivery of Shares, cash equal to the Fair Market Value of the specified number of Shares covered by the Deferred Award, or a combination thereof, as determined by the Committee at the date of grant or thereafter. Prior to satisfaction of a Deferred Award, a Deferred Award carries no voting or dividend or other rights associated with Share ownership. Prior to satisfaction of a Deferred Award, except as otherwise provided in an Award Agreement and as permitted under Section 409A of the Code, a Deferred Award may not be sold, transferred, pledged, hypothecated, margined or otherwise encumbered by the Participant or any Beneficiary.</w:t>
      </w:r>
    </w:p>
    <w:p>
      <w:pPr>
        <w:spacing w:after="0" w:line="186" w:lineRule="exact"/>
        <w:rPr>
          <w:rFonts w:ascii="Times New Roman" w:cs="Times New Roman" w:eastAsia="Times New Roman" w:hAnsi="Times New Roman"/>
          <w:sz w:val="18"/>
          <w:szCs w:val="18"/>
          <w:color w:val="auto"/>
        </w:rPr>
      </w:pPr>
    </w:p>
    <w:p>
      <w:pPr>
        <w:jc w:val="both"/>
        <w:ind w:firstLine="2338"/>
        <w:spacing w:after="0" w:line="256" w:lineRule="auto"/>
        <w:tabs>
          <w:tab w:leader="none" w:pos="3198" w:val="left"/>
        </w:tabs>
        <w:numPr>
          <w:ilvl w:val="2"/>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i w:val="1"/>
          <w:iCs w:val="1"/>
          <w:color w:val="auto"/>
        </w:rPr>
        <w:t>Forfeiture</w:t>
      </w:r>
      <w:r>
        <w:rPr>
          <w:rFonts w:ascii="Times New Roman" w:cs="Times New Roman" w:eastAsia="Times New Roman" w:hAnsi="Times New Roman"/>
          <w:sz w:val="18"/>
          <w:szCs w:val="18"/>
          <w:color w:val="auto"/>
        </w:rPr>
        <w:t>. Except as otherwise determined by the Committee, upon termination of a Participant’s Continuous</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Service during the applicable deferral period or portion thereof to which forfeiture conditions apply (as provided in the Award Agreement evidencing the Restricted Stock Unit Award), the Participant’s Restricted Stock Unit Award that is at that time subject to a risk of forfeiture that has not lapsed or otherwise been satisfied shall be forfeited; provided that, subject to the limitations set forth in Section 7 hereof, the Committee may provide, by resolution or other action or in any Award Agreement, or may determine in any individual case, that forfeiture conditions relating to a Restricted Stock Unit Award shall be waived in whole or in part in the event of terminations resulting from specified causes, and, subject to the limitations in Section 6 hereof, the Committee may in other cases waive in whole or in part the forfeiture of any Restricted Stock Unit Award.</w:t>
      </w:r>
    </w:p>
    <w:p>
      <w:pPr>
        <w:spacing w:after="0" w:line="183" w:lineRule="exact"/>
        <w:rPr>
          <w:rFonts w:ascii="Times New Roman" w:cs="Times New Roman" w:eastAsia="Times New Roman" w:hAnsi="Times New Roman"/>
          <w:sz w:val="18"/>
          <w:szCs w:val="18"/>
          <w:color w:val="auto"/>
        </w:rPr>
      </w:pPr>
    </w:p>
    <w:p>
      <w:pPr>
        <w:jc w:val="both"/>
        <w:ind w:firstLine="2338"/>
        <w:spacing w:after="0" w:line="263" w:lineRule="auto"/>
        <w:tabs>
          <w:tab w:leader="none" w:pos="3248" w:val="left"/>
        </w:tabs>
        <w:numPr>
          <w:ilvl w:val="2"/>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i w:val="1"/>
          <w:iCs w:val="1"/>
          <w:color w:val="auto"/>
        </w:rPr>
        <w:t>Dividend Equivalents</w:t>
      </w:r>
      <w:r>
        <w:rPr>
          <w:rFonts w:ascii="Times New Roman" w:cs="Times New Roman" w:eastAsia="Times New Roman" w:hAnsi="Times New Roman"/>
          <w:sz w:val="18"/>
          <w:szCs w:val="18"/>
          <w:color w:val="auto"/>
        </w:rPr>
        <w:t>. Unless otherwise determined by the Committee at the date of grant, and except as</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otherwise provided in the last sentence of Section 7(h) hereof, any Dividend Equivalents that are granted with respect to any Deferred Award shall be either</w:t>
      </w:r>
    </w:p>
    <w:p>
      <w:pPr>
        <w:jc w:val="both"/>
        <w:ind w:firstLine="8"/>
        <w:spacing w:after="0" w:line="252" w:lineRule="auto"/>
        <w:tabs>
          <w:tab w:leader="none" w:pos="299"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paid with respect to such Deferred Award at the dividend payment date in cash or in Shares of unrestricted stock having a Fair Market Value equal to the amount of such dividends, or (B) deferred with respect to such Deferred Award and the amount or value thereof automatically deemed reinvested in additional Deferred Award, other Awards or other investment vehicles, as the Committee shall determine or permit the Participant to elect. The applicable Award Agreement shall specify whether any Dividend Equivalents shall be paid at the dividend payment date, deferred or deferred at the election of the Participant. If the Participant may elect to defer the Dividend Equivalents, such election shall be made within 30 days after the grant date of the Deferred Award, but in no event later than 12 months before the first date on which any portion of such Deferred Award vests (or at such other times prescribed by the Committee as shall not result in a violation of Section 409A of the Code).</w:t>
      </w:r>
    </w:p>
    <w:p>
      <w:pPr>
        <w:spacing w:after="0" w:line="185" w:lineRule="exact"/>
        <w:rPr>
          <w:rFonts w:ascii="Times New Roman" w:cs="Times New Roman" w:eastAsia="Times New Roman" w:hAnsi="Times New Roman"/>
          <w:sz w:val="18"/>
          <w:szCs w:val="18"/>
          <w:color w:val="auto"/>
        </w:rPr>
      </w:pPr>
    </w:p>
    <w:p>
      <w:pPr>
        <w:jc w:val="both"/>
        <w:ind w:firstLine="1561"/>
        <w:spacing w:after="0" w:line="259" w:lineRule="auto"/>
        <w:tabs>
          <w:tab w:leader="none" w:pos="2381" w:val="left"/>
        </w:tabs>
        <w:numPr>
          <w:ilvl w:val="1"/>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i w:val="1"/>
          <w:iCs w:val="1"/>
          <w:color w:val="auto"/>
        </w:rPr>
        <w:t>Bonus Stock and Awards in Lieu of Obligations</w:t>
      </w:r>
      <w:r>
        <w:rPr>
          <w:rFonts w:ascii="Times New Roman" w:cs="Times New Roman" w:eastAsia="Times New Roman" w:hAnsi="Times New Roman"/>
          <w:sz w:val="18"/>
          <w:szCs w:val="18"/>
          <w:color w:val="auto"/>
        </w:rPr>
        <w:t>. The Committee is authorized to grant Shares to any Eligible Persons as a</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bonus, or to grant Shares or other Awards in lieu of obligations to pay cash or deliver other property under the Plan or under other plans or compensatory arrangements, provided that, in the case of Eligible Persons subject to Section 16 of the Exchange Act, the amount of such grants remains within the discretion of the Committee to the extent necessary to ensure that acquisitions of Shares or other Awards are exempt from liability under Section 16(b) of the Exchange Act. Shares or Awards granted hereunder shall be subject to such other terms as shall be determined by the Committee.</w:t>
      </w:r>
    </w:p>
    <w:p>
      <w:pPr>
        <w:spacing w:after="0" w:line="179" w:lineRule="exact"/>
        <w:rPr>
          <w:rFonts w:ascii="Times New Roman" w:cs="Times New Roman" w:eastAsia="Times New Roman" w:hAnsi="Times New Roman"/>
          <w:sz w:val="18"/>
          <w:szCs w:val="18"/>
          <w:color w:val="auto"/>
        </w:rPr>
      </w:pPr>
    </w:p>
    <w:p>
      <w:pPr>
        <w:jc w:val="both"/>
        <w:ind w:firstLine="1561"/>
        <w:spacing w:after="0" w:line="268" w:lineRule="auto"/>
        <w:tabs>
          <w:tab w:leader="none" w:pos="2411" w:val="left"/>
        </w:tabs>
        <w:numPr>
          <w:ilvl w:val="1"/>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i w:val="1"/>
          <w:iCs w:val="1"/>
          <w:color w:val="auto"/>
        </w:rPr>
        <w:t>Dividend Equivalents</w:t>
      </w:r>
      <w:r>
        <w:rPr>
          <w:rFonts w:ascii="Times New Roman" w:cs="Times New Roman" w:eastAsia="Times New Roman" w:hAnsi="Times New Roman"/>
          <w:sz w:val="18"/>
          <w:szCs w:val="18"/>
          <w:color w:val="auto"/>
        </w:rPr>
        <w:t>. The Committee is authorized to grant Dividend Equivalents to any Eligible Person entitling the</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Eligible Person to receive cash, Shares, other Awards, or other property equal in value to the dividends paid with respect to a specified number of Shares, or other periodic payments. Dividend Equivalents may be awarded on a free-standing basis or in</w:t>
      </w:r>
    </w:p>
    <w:p>
      <w:pPr>
        <w:spacing w:after="0" w:line="39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210820</wp:posOffset>
            </wp:positionV>
            <wp:extent cx="7289165" cy="4254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553" w:right="239" w:bottom="1440" w:gutter="0" w:footer="0" w:header="0"/>
        </w:sectPr>
      </w:pPr>
    </w:p>
    <w:bookmarkStart w:id="15" w:name="page16"/>
    <w:bookmarkEnd w:id="15"/>
    <w:p>
      <w:pPr>
        <w:jc w:val="both"/>
        <w:spacing w:after="0" w:line="256" w:lineRule="auto"/>
        <w:rPr>
          <w:sz w:val="20"/>
          <w:szCs w:val="20"/>
          <w:color w:val="auto"/>
        </w:rPr>
      </w:pPr>
      <w:r>
        <w:rPr>
          <w:rFonts w:ascii="Times New Roman" w:cs="Times New Roman" w:eastAsia="Times New Roman" w:hAnsi="Times New Roman"/>
          <w:sz w:val="18"/>
          <w:szCs w:val="18"/>
          <w:color w:val="auto"/>
        </w:rPr>
        <w:t>connection with another Award. Except as otherwise provided in the last sentence of Section 7(h) hereof, the Committee may provide that Dividend Equivalents shall be paid or distributed when accrued or at some later date, or whether such Dividend Equivalents shall be deemed to have been reinvested in additional Shares, Awards, or other investment vehicles, and subject to such restrictions on transferability and risks of forfeiture, as the Committee may specify. Any such determination by the Committee shall be made at the grant date of the applicable Award. Notwithstanding the foregoing, Dividend Equivalents credited in connection with an Award that vests based on the achievement of performance goals shall be subject to restrictions and risk of forfeiture to the same extent as the Award with respect to which such Dividend Equivalents have been credited.</w:t>
      </w:r>
    </w:p>
    <w:p>
      <w:pPr>
        <w:spacing w:after="0" w:line="184" w:lineRule="exact"/>
        <w:rPr>
          <w:sz w:val="20"/>
          <w:szCs w:val="20"/>
          <w:color w:val="auto"/>
        </w:rPr>
      </w:pPr>
    </w:p>
    <w:p>
      <w:pPr>
        <w:jc w:val="both"/>
        <w:ind w:firstLine="1561"/>
        <w:spacing w:after="0" w:line="254" w:lineRule="auto"/>
        <w:tabs>
          <w:tab w:leader="none" w:pos="2411" w:val="left"/>
        </w:tabs>
        <w:numPr>
          <w:ilvl w:val="1"/>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i w:val="1"/>
          <w:iCs w:val="1"/>
          <w:color w:val="auto"/>
        </w:rPr>
        <w:t>Performance Awards</w:t>
      </w:r>
      <w:r>
        <w:rPr>
          <w:rFonts w:ascii="Times New Roman" w:cs="Times New Roman" w:eastAsia="Times New Roman" w:hAnsi="Times New Roman"/>
          <w:sz w:val="18"/>
          <w:szCs w:val="18"/>
          <w:color w:val="auto"/>
        </w:rPr>
        <w:t>. The Committee is authorized to grant Performance Awards to any Eligible Person payable in cash,</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Shares, or other Awards, on terms and conditions established by the Committee, subject to the provisions of Section 9 if and to the extent that the Committee shall, in its sole discretion, determine that an Award shall be subject to those provisions. The performance criteria to be achieved during any Performance Period and the length of the Performance Period shall be determined by the Committee upon the grant of each Performance Award. Except as provided in Section 10 or as may be provided in an Award Agreement, Performance Awards will be distributed only after the end of the relevant Performance Period. The performance goals to be achieved for each Performance Period shall be conclusively determined by the Committee and may be based upon the criteria set forth in Section 9(b), or in the case of an Award that the Committee determines shall not be subject to Section 9 hereof, any other criteria that the Committee, in its sole discretion, shall determine should be used for that purpose. The amount of the Award to be distributed shall be conclusively determined by the Committee. Performance Awards may be paid in a lump sum or in installments following the close of the Performance Period or, in accordance with procedures established by the Committee, on a deferred basis in a manner that does not violate the requirements of Section 409A of the Code.</w:t>
      </w:r>
    </w:p>
    <w:p>
      <w:pPr>
        <w:spacing w:after="0" w:line="186" w:lineRule="exact"/>
        <w:rPr>
          <w:rFonts w:ascii="Times New Roman" w:cs="Times New Roman" w:eastAsia="Times New Roman" w:hAnsi="Times New Roman"/>
          <w:sz w:val="18"/>
          <w:szCs w:val="18"/>
          <w:color w:val="auto"/>
        </w:rPr>
      </w:pPr>
    </w:p>
    <w:p>
      <w:pPr>
        <w:jc w:val="both"/>
        <w:ind w:firstLine="1561"/>
        <w:spacing w:after="0" w:line="255" w:lineRule="auto"/>
        <w:tabs>
          <w:tab w:leader="none" w:pos="2371" w:val="left"/>
        </w:tabs>
        <w:numPr>
          <w:ilvl w:val="1"/>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i w:val="1"/>
          <w:iCs w:val="1"/>
          <w:color w:val="auto"/>
        </w:rPr>
        <w:t>Other Stock-Based Awards</w:t>
      </w:r>
      <w:r>
        <w:rPr>
          <w:rFonts w:ascii="Times New Roman" w:cs="Times New Roman" w:eastAsia="Times New Roman" w:hAnsi="Times New Roman"/>
          <w:sz w:val="18"/>
          <w:szCs w:val="18"/>
          <w:color w:val="auto"/>
        </w:rPr>
        <w:t>. The Committee is authorized, subject to limitations under applicable law, to grant to any</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Eligible Person such other Awards that may be denominated or payable in, valued in whole or in part by reference to, or otherwise based on, or related to, Shares, as deemed by the Committee to be consistent with the purposes of the Plan. Other Stock-Based Awards may be granted to Participants either alone or in addition to other Awards granted under the Plan, and such Other Stock-Based Awards shall also be available as a form of payment in the settlement of other Awards granted under the Plan. Except as otherwise provided in the last sentence of Section 7(h) hereof, the Committee shall determine the terms and conditions of such Awards. Shares delivered pursuant to an Award in the nature of a purchase right granted under this Section 7(i) shall be purchased for such consideration, (including without limitation loans from the Company or a Related Entity provided that such loans are not in violation of the Sarbanes Oxley Act of 2002, or any rule or regulation adopted thereunder or any other applicable law) paid for at such times, by such methods, and in such forms, including, without limitation, cash, Shares, other Awards or other property, as the Committee shall determine.</w:t>
      </w:r>
    </w:p>
    <w:p>
      <w:pPr>
        <w:spacing w:after="0" w:line="181" w:lineRule="exact"/>
        <w:rPr>
          <w:rFonts w:ascii="Times New Roman" w:cs="Times New Roman" w:eastAsia="Times New Roman" w:hAnsi="Times New Roman"/>
          <w:sz w:val="18"/>
          <w:szCs w:val="18"/>
          <w:color w:val="auto"/>
        </w:rPr>
      </w:pPr>
    </w:p>
    <w:p>
      <w:pPr>
        <w:ind w:left="1560" w:hanging="775"/>
        <w:spacing w:after="0"/>
        <w:tabs>
          <w:tab w:leader="none" w:pos="156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i w:val="1"/>
          <w:iCs w:val="1"/>
          <w:color w:val="auto"/>
        </w:rPr>
        <w:t>Certain Provisions Applicable to Awards</w:t>
      </w:r>
      <w:r>
        <w:rPr>
          <w:rFonts w:ascii="Times New Roman" w:cs="Times New Roman" w:eastAsia="Times New Roman" w:hAnsi="Times New Roman"/>
          <w:sz w:val="18"/>
          <w:szCs w:val="18"/>
          <w:color w:val="auto"/>
        </w:rPr>
        <w:t>.</w:t>
      </w:r>
    </w:p>
    <w:p>
      <w:pPr>
        <w:spacing w:after="0" w:line="225" w:lineRule="exact"/>
        <w:rPr>
          <w:rFonts w:ascii="Times New Roman" w:cs="Times New Roman" w:eastAsia="Times New Roman" w:hAnsi="Times New Roman"/>
          <w:sz w:val="18"/>
          <w:szCs w:val="18"/>
          <w:color w:val="auto"/>
        </w:rPr>
      </w:pPr>
    </w:p>
    <w:p>
      <w:pPr>
        <w:jc w:val="both"/>
        <w:ind w:firstLine="1561"/>
        <w:spacing w:after="0" w:line="253" w:lineRule="auto"/>
        <w:tabs>
          <w:tab w:leader="none" w:pos="2401" w:val="left"/>
        </w:tabs>
        <w:numPr>
          <w:ilvl w:val="1"/>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i w:val="1"/>
          <w:iCs w:val="1"/>
          <w:color w:val="auto"/>
        </w:rPr>
        <w:t>Stand-Alone, Additional, Tandem, and Substitute Awards</w:t>
      </w:r>
      <w:r>
        <w:rPr>
          <w:rFonts w:ascii="Times New Roman" w:cs="Times New Roman" w:eastAsia="Times New Roman" w:hAnsi="Times New Roman"/>
          <w:sz w:val="18"/>
          <w:szCs w:val="18"/>
          <w:color w:val="auto"/>
        </w:rPr>
        <w:t>. Awards granted under the Plan may, in the discretion of the</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Committee, be granted either alone or in addition to, in tandem with, or in substitution or exchange for, any other Award or any award granted under another plan of the Company, any Related Entity, or any business entity to be acquired by the Company or a Related Entity, or any other right of a Participant to receive payment from the Company or any Related Entity. Such additional, tandem, and substitute or exchange Awards may be granted at any time. If an Award is granted in substitution or exchange for another Award or award, the Committee shall require the surrender of such other Award or award in consideration for the grant of the new Award. In addition, Awards may be granted in lieu of cash compensation, including in lieu of cash amounts payable under other plans of the Company or any Related Entity, in which the value of Stock subject to the Award is equivalent in value to the cash compensation (for example, Deferred Stock or Restricted Stock), or in which the exercise price, grant price or purchase price of the Award in the nature of a right that may be exercised is equal to the Fair Market Value of the underlying Shares minus the value of the cash compensation surrendered (for example, Options or Stock Appreciation Right granted with an exercise price or grant price “discounted” by the amount of the cash compensation surrendered), provided that any such determination to grant an Award in lieu of cash compensation must be made in a manner intended to be exempt from or comply with Section 409A of the Code.</w:t>
      </w:r>
    </w:p>
    <w:p>
      <w:pPr>
        <w:spacing w:after="0" w:line="190" w:lineRule="exact"/>
        <w:rPr>
          <w:rFonts w:ascii="Times New Roman" w:cs="Times New Roman" w:eastAsia="Times New Roman" w:hAnsi="Times New Roman"/>
          <w:sz w:val="18"/>
          <w:szCs w:val="18"/>
          <w:color w:val="auto"/>
        </w:rPr>
      </w:pPr>
    </w:p>
    <w:p>
      <w:pPr>
        <w:jc w:val="both"/>
        <w:ind w:firstLine="1561"/>
        <w:spacing w:after="0" w:line="268" w:lineRule="auto"/>
        <w:tabs>
          <w:tab w:leader="none" w:pos="2411" w:val="left"/>
        </w:tabs>
        <w:numPr>
          <w:ilvl w:val="1"/>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i w:val="1"/>
          <w:iCs w:val="1"/>
          <w:color w:val="auto"/>
        </w:rPr>
        <w:t>Term of Awards</w:t>
      </w:r>
      <w:r>
        <w:rPr>
          <w:rFonts w:ascii="Times New Roman" w:cs="Times New Roman" w:eastAsia="Times New Roman" w:hAnsi="Times New Roman"/>
          <w:sz w:val="18"/>
          <w:szCs w:val="18"/>
          <w:color w:val="auto"/>
        </w:rPr>
        <w:t>. The term of each Award shall be for such period as may be determined by the Committee; provided that in</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no event shall the term of any Option or Stock Appreciation Right exceed a period of ten years (or in the case of an Incentive Stock Option such shorter term as may be required under Section 422 of the Code).</w:t>
      </w:r>
    </w:p>
    <w:p>
      <w:pPr>
        <w:spacing w:after="0" w:line="170" w:lineRule="exact"/>
        <w:rPr>
          <w:rFonts w:ascii="Times New Roman" w:cs="Times New Roman" w:eastAsia="Times New Roman" w:hAnsi="Times New Roman"/>
          <w:sz w:val="18"/>
          <w:szCs w:val="18"/>
          <w:color w:val="auto"/>
        </w:rPr>
      </w:pPr>
    </w:p>
    <w:p>
      <w:pPr>
        <w:jc w:val="both"/>
        <w:ind w:firstLine="1561"/>
        <w:spacing w:after="0" w:line="257" w:lineRule="auto"/>
        <w:tabs>
          <w:tab w:leader="none" w:pos="2401" w:val="left"/>
        </w:tabs>
        <w:numPr>
          <w:ilvl w:val="1"/>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i w:val="1"/>
          <w:iCs w:val="1"/>
          <w:color w:val="auto"/>
        </w:rPr>
        <w:t>Form and Timing of Payment Under Awards; Deferrals</w:t>
      </w:r>
      <w:r>
        <w:rPr>
          <w:rFonts w:ascii="Times New Roman" w:cs="Times New Roman" w:eastAsia="Times New Roman" w:hAnsi="Times New Roman"/>
          <w:sz w:val="18"/>
          <w:szCs w:val="18"/>
          <w:color w:val="auto"/>
        </w:rPr>
        <w:t>. Subject to the terms of the Plan and any applicable Award</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Agreement, payments to be made by the Company or a Related Entity upon the exercise of an Option or other Award or settlement of an Award may be made in such forms as the Committee shall determine, including, without limitation, cash, Shares, other Awards or other property, and may be made in a single payment or transfer, in installments, or on a deferred basis, provided that any determination to pay in installments or on a deferred basis shall be made by the Committee at the date of grant. Any installment or deferral provided for in the preceding sentence shall, however, subject to the terms of the Plan, be subject to the Company’s compliance with the provisions</w:t>
      </w:r>
    </w:p>
    <w:p>
      <w:pPr>
        <w:spacing w:after="0" w:line="200" w:lineRule="exact"/>
        <w:rPr>
          <w:sz w:val="20"/>
          <w:szCs w:val="20"/>
          <w:color w:val="auto"/>
        </w:rPr>
      </w:pPr>
    </w:p>
    <w:p>
      <w:pPr>
        <w:spacing w:after="0" w:line="20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210820</wp:posOffset>
            </wp:positionV>
            <wp:extent cx="7289165" cy="4254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553" w:right="239" w:bottom="1440" w:gutter="0" w:footer="0" w:header="0"/>
        </w:sectPr>
      </w:pPr>
    </w:p>
    <w:bookmarkStart w:id="16" w:name="page17"/>
    <w:bookmarkEnd w:id="16"/>
    <w:p>
      <w:pPr>
        <w:jc w:val="both"/>
        <w:spacing w:after="0" w:line="254" w:lineRule="auto"/>
        <w:rPr>
          <w:sz w:val="20"/>
          <w:szCs w:val="20"/>
          <w:color w:val="auto"/>
        </w:rPr>
      </w:pPr>
      <w:r>
        <w:rPr>
          <w:rFonts w:ascii="Times New Roman" w:cs="Times New Roman" w:eastAsia="Times New Roman" w:hAnsi="Times New Roman"/>
          <w:sz w:val="18"/>
          <w:szCs w:val="18"/>
          <w:color w:val="auto"/>
        </w:rPr>
        <w:t>of the Sarbanes-Oxley Act of 2002, as amended, the rules and regulations adopted by the Securities and Exchange Commission thereunder, all applicable rules of the Listing Market and any other applicable law, and in a manner intended to be exempt from or otherwise satisfy the requirements of Section 409A of the Code. Any such settlement shall be at a value determined by the Committee in its sole discretion, which, without limitation, may in the case of an Option or Stock Appreciation Right be limited to the amount if any by which the Fair Market Value of a Share on the settlement date exceeds the exercise or grant price. Installment or deferred payments may be required by the Committee (subject to Section 11(e) of this Plan, including the consent provisions thereof in the case of any deferral of an outstanding Award not provided for in the original Award Agreement) or permitted at the election of the Participant on terms and conditions established by the Committee. Payments may include, without limitation, provisions for the payment or crediting of a reasonable interest rate on installment or deferred payments or the grant or crediting of Dividend Equivalents or other amounts in respect of installment or deferred payments denominated in Shares.</w:t>
      </w:r>
    </w:p>
    <w:p>
      <w:pPr>
        <w:spacing w:after="0" w:line="185" w:lineRule="exact"/>
        <w:rPr>
          <w:sz w:val="20"/>
          <w:szCs w:val="20"/>
          <w:color w:val="auto"/>
        </w:rPr>
      </w:pPr>
    </w:p>
    <w:p>
      <w:pPr>
        <w:jc w:val="both"/>
        <w:ind w:firstLine="1561"/>
        <w:spacing w:after="0" w:line="259" w:lineRule="auto"/>
        <w:tabs>
          <w:tab w:leader="none" w:pos="2411"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i w:val="1"/>
          <w:iCs w:val="1"/>
          <w:color w:val="auto"/>
        </w:rPr>
        <w:t>Exemptions from Section 16(b) Liability</w:t>
      </w:r>
      <w:r>
        <w:rPr>
          <w:rFonts w:ascii="Times New Roman" w:cs="Times New Roman" w:eastAsia="Times New Roman" w:hAnsi="Times New Roman"/>
          <w:sz w:val="18"/>
          <w:szCs w:val="18"/>
          <w:color w:val="auto"/>
        </w:rPr>
        <w:t>. It is the intent of the Company that the grant of any Awards to or other</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transaction by a Participant who is subject to Section 16 of the Exchange Act shall be exempt from Section 16 pursuant to an applicable exemption (except for transactions acknowledged in writing to be non-exempt by such Participant). Accordingly, if any provision of this Plan or any Award Agreement does not comply with the requirements of Rule 16b-3 then applicable to any such transaction, such provision shall be construed or deemed amended to the extent necessary to conform to the applicable requirements of Rule 16b-3 so that such Participant shall avoid liability under Section 16(b).</w:t>
      </w:r>
    </w:p>
    <w:p>
      <w:pPr>
        <w:spacing w:after="0" w:line="179" w:lineRule="exact"/>
        <w:rPr>
          <w:rFonts w:ascii="Times New Roman" w:cs="Times New Roman" w:eastAsia="Times New Roman" w:hAnsi="Times New Roman"/>
          <w:sz w:val="18"/>
          <w:szCs w:val="18"/>
          <w:color w:val="auto"/>
        </w:rPr>
      </w:pPr>
    </w:p>
    <w:p>
      <w:pPr>
        <w:ind w:firstLine="1561"/>
        <w:spacing w:after="0" w:line="286" w:lineRule="auto"/>
        <w:tabs>
          <w:tab w:leader="none" w:pos="2401"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i w:val="1"/>
          <w:iCs w:val="1"/>
          <w:color w:val="auto"/>
        </w:rPr>
        <w:t>Code Section 409A</w:t>
      </w:r>
      <w:r>
        <w:rPr>
          <w:rFonts w:ascii="Times New Roman" w:cs="Times New Roman" w:eastAsia="Times New Roman" w:hAnsi="Times New Roman"/>
          <w:sz w:val="18"/>
          <w:szCs w:val="18"/>
          <w:color w:val="auto"/>
        </w:rPr>
        <w:t>. The following provisions shall apply to any Award that is or may potentially be subject to the</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requirements of Section 409A of the Code.</w:t>
      </w:r>
    </w:p>
    <w:p>
      <w:pPr>
        <w:spacing w:after="0" w:line="158" w:lineRule="exact"/>
        <w:rPr>
          <w:rFonts w:ascii="Times New Roman" w:cs="Times New Roman" w:eastAsia="Times New Roman" w:hAnsi="Times New Roman"/>
          <w:sz w:val="18"/>
          <w:szCs w:val="18"/>
          <w:color w:val="auto"/>
        </w:rPr>
      </w:pPr>
    </w:p>
    <w:p>
      <w:pPr>
        <w:jc w:val="both"/>
        <w:ind w:firstLine="2338"/>
        <w:spacing w:after="0" w:line="258" w:lineRule="auto"/>
        <w:tabs>
          <w:tab w:leader="none" w:pos="3148" w:val="left"/>
        </w:tabs>
        <w:numPr>
          <w:ilvl w:val="1"/>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Award Agreement for any Award that the Committee reasonably determines to constitute a “non-qualified deferred compensation plan” under Section 409A of the Code (a “Section 409A Plan”), and the provisions of the Plan applicable to that Award, shall be construed in a manner consistent with, the applicable requirements of Section 409A of the Code, and the Committee, in its sole discretion and without the consent of any Participant, may amend any Award Agreement (and the provisions of the Plan applicable thereto) if and to the extent that the Committee determines that such amendment is necessary or appropriate to comply with the requirements of Section 409A of the Code.</w:t>
      </w:r>
    </w:p>
    <w:p>
      <w:pPr>
        <w:spacing w:after="0" w:line="183" w:lineRule="exact"/>
        <w:rPr>
          <w:rFonts w:ascii="Times New Roman" w:cs="Times New Roman" w:eastAsia="Times New Roman" w:hAnsi="Times New Roman"/>
          <w:sz w:val="18"/>
          <w:szCs w:val="18"/>
          <w:color w:val="auto"/>
        </w:rPr>
      </w:pPr>
    </w:p>
    <w:p>
      <w:pPr>
        <w:ind w:firstLine="2338"/>
        <w:spacing w:after="0" w:line="282" w:lineRule="auto"/>
        <w:tabs>
          <w:tab w:leader="none" w:pos="3198" w:val="left"/>
        </w:tabs>
        <w:numPr>
          <w:ilvl w:val="1"/>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any Award constitutes a Section 409A Plan, then the Award shall be subject to the following additional requirements, if and to the extent required to comply with Section 409A of the Code:</w:t>
      </w:r>
    </w:p>
    <w:p>
      <w:pPr>
        <w:spacing w:after="0" w:line="161" w:lineRule="exact"/>
        <w:rPr>
          <w:rFonts w:ascii="Times New Roman" w:cs="Times New Roman" w:eastAsia="Times New Roman" w:hAnsi="Times New Roman"/>
          <w:sz w:val="18"/>
          <w:szCs w:val="18"/>
          <w:color w:val="auto"/>
        </w:rPr>
      </w:pPr>
    </w:p>
    <w:p>
      <w:pPr>
        <w:jc w:val="both"/>
        <w:ind w:firstLine="3114"/>
        <w:spacing w:after="0" w:line="261" w:lineRule="auto"/>
        <w:tabs>
          <w:tab w:leader="none" w:pos="4004" w:val="left"/>
        </w:tabs>
        <w:numPr>
          <w:ilvl w:val="2"/>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Payments under the Section 409A Plan may be made only upon (u) the Participant’s “separation from service”, (v) the date the Participant becomes “disabled”, (w) the Participant’s death, (x) a “specified time (or pursuant to a fixed schedule)” specified in the Award Agreement at the date of the deferral of such compensation, (y) a “change in the ownership or effective control of the corporation, or in the ownership of a substantial portion of the assets” of the Company, or (z) the occurrence of an “unforeseeable emergency”;</w:t>
      </w:r>
    </w:p>
    <w:p>
      <w:pPr>
        <w:spacing w:after="0" w:line="180" w:lineRule="exact"/>
        <w:rPr>
          <w:rFonts w:ascii="Times New Roman" w:cs="Times New Roman" w:eastAsia="Times New Roman" w:hAnsi="Times New Roman"/>
          <w:sz w:val="18"/>
          <w:szCs w:val="18"/>
          <w:color w:val="auto"/>
        </w:rPr>
      </w:pPr>
    </w:p>
    <w:p>
      <w:pPr>
        <w:ind w:left="4000" w:hanging="886"/>
        <w:spacing w:after="0"/>
        <w:tabs>
          <w:tab w:leader="none" w:pos="4000" w:val="left"/>
        </w:tabs>
        <w:numPr>
          <w:ilvl w:val="2"/>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time or schedule for any payment of the deferred compensation may not be accelerated, except to</w:t>
      </w:r>
    </w:p>
    <w:p>
      <w:pPr>
        <w:spacing w:after="0" w:line="27" w:lineRule="exact"/>
        <w:rPr>
          <w:rFonts w:ascii="Times New Roman" w:cs="Times New Roman" w:eastAsia="Times New Roman" w:hAnsi="Times New Roman"/>
          <w:sz w:val="18"/>
          <w:szCs w:val="18"/>
          <w:color w:val="auto"/>
        </w:rPr>
      </w:pPr>
    </w:p>
    <w:p>
      <w:pPr>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extent provided in applicable Treasury Regulations or other applicable guidance issued by the Internal Revenue Service;</w:t>
      </w:r>
    </w:p>
    <w:p>
      <w:pPr>
        <w:spacing w:after="0" w:line="206" w:lineRule="exact"/>
        <w:rPr>
          <w:rFonts w:ascii="Times New Roman" w:cs="Times New Roman" w:eastAsia="Times New Roman" w:hAnsi="Times New Roman"/>
          <w:sz w:val="18"/>
          <w:szCs w:val="18"/>
          <w:color w:val="auto"/>
        </w:rPr>
      </w:pPr>
    </w:p>
    <w:p>
      <w:pPr>
        <w:ind w:left="4000" w:hanging="886"/>
        <w:spacing w:after="0"/>
        <w:tabs>
          <w:tab w:leader="none" w:pos="4000" w:val="left"/>
        </w:tabs>
        <w:numPr>
          <w:ilvl w:val="2"/>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elections with respect to the deferral of such compensation or the time and form of distribution of</w:t>
      </w:r>
    </w:p>
    <w:p>
      <w:pPr>
        <w:spacing w:after="0" w:line="27" w:lineRule="exact"/>
        <w:rPr>
          <w:rFonts w:ascii="Times New Roman" w:cs="Times New Roman" w:eastAsia="Times New Roman" w:hAnsi="Times New Roman"/>
          <w:sz w:val="18"/>
          <w:szCs w:val="18"/>
          <w:color w:val="auto"/>
        </w:rPr>
      </w:pPr>
    </w:p>
    <w:p>
      <w:pPr>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such deferred compensation shall comply with the requirements of Section 409A(a)(4) of the Code; and</w:t>
      </w:r>
    </w:p>
    <w:p>
      <w:pPr>
        <w:spacing w:after="0" w:line="206" w:lineRule="exact"/>
        <w:rPr>
          <w:rFonts w:ascii="Times New Roman" w:cs="Times New Roman" w:eastAsia="Times New Roman" w:hAnsi="Times New Roman"/>
          <w:sz w:val="18"/>
          <w:szCs w:val="18"/>
          <w:color w:val="auto"/>
        </w:rPr>
      </w:pPr>
    </w:p>
    <w:p>
      <w:pPr>
        <w:jc w:val="both"/>
        <w:ind w:firstLine="3114"/>
        <w:spacing w:after="0" w:line="266" w:lineRule="auto"/>
        <w:tabs>
          <w:tab w:leader="none" w:pos="4004" w:val="left"/>
        </w:tabs>
        <w:numPr>
          <w:ilvl w:val="2"/>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the case of any Participant who is “specified employee”, a distribution on account of a “separation from service” may not be made before the date which is six months after the date of the Participant’s “separation from service” (or, if earlier, the date of the Participant’s death).</w:t>
      </w:r>
    </w:p>
    <w:p>
      <w:pPr>
        <w:spacing w:after="0" w:line="176"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For purposes of the foregoing, the terms in quotations shall have the same meanings as those terms have for purposes of Section 409A of the Code, and the limitations set forth herein shall be applied in such manner (and only to the extent) as shall be necessary to comply with any requirements of Section 409A of the Code that are applicable to the Award.</w:t>
      </w:r>
    </w:p>
    <w:p>
      <w:pPr>
        <w:spacing w:after="0" w:line="176" w:lineRule="exact"/>
        <w:rPr>
          <w:sz w:val="20"/>
          <w:szCs w:val="20"/>
          <w:color w:val="auto"/>
        </w:rPr>
      </w:pPr>
    </w:p>
    <w:p>
      <w:pPr>
        <w:jc w:val="both"/>
        <w:ind w:firstLine="2338"/>
        <w:spacing w:after="0" w:line="256" w:lineRule="auto"/>
        <w:tabs>
          <w:tab w:leader="none" w:pos="3248"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Notwithstanding the foregoing, or any provision of this Plan or any Award Agreement, the Company does not make any representation to any Participant or Beneficiary that any Awards made pursuant to this Plan are exempt from, or satisfy, the requirements of Section 409A of the Code, and the Company shall have no liability or other obligation to indemnify or hold harmless the Participant or any Beneficiary for any tax, additional tax, interest or penalties that the Participant or any Beneficiary may incur in the event that any provision of this Plan, or any Award Agreement, or any amendment or modification thereof, or any other action taken with respect thereto, is deemed to violate any of the requirements of Section 409A of the Code.</w:t>
      </w:r>
    </w:p>
    <w:p>
      <w:pPr>
        <w:spacing w:after="0" w:line="200" w:lineRule="exact"/>
        <w:rPr>
          <w:sz w:val="20"/>
          <w:szCs w:val="20"/>
          <w:color w:val="auto"/>
        </w:rPr>
      </w:pPr>
    </w:p>
    <w:p>
      <w:pPr>
        <w:spacing w:after="0" w:line="20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210820</wp:posOffset>
            </wp:positionV>
            <wp:extent cx="7289165" cy="4254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553" w:right="239" w:bottom="1440" w:gutter="0" w:footer="0" w:header="0"/>
        </w:sectPr>
      </w:pPr>
    </w:p>
    <w:bookmarkStart w:id="17" w:name="page18"/>
    <w:bookmarkEnd w:id="17"/>
    <w:p>
      <w:pPr>
        <w:ind w:left="2380" w:hanging="819"/>
        <w:spacing w:after="0"/>
        <w:tabs>
          <w:tab w:leader="none" w:pos="2380" w:val="left"/>
        </w:tabs>
        <w:numPr>
          <w:ilvl w:val="2"/>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i w:val="1"/>
          <w:iCs w:val="1"/>
          <w:color w:val="auto"/>
        </w:rPr>
        <w:t>Clawback of Certain Compensation and Benefits</w:t>
      </w:r>
      <w:r>
        <w:rPr>
          <w:rFonts w:ascii="Times New Roman" w:cs="Times New Roman" w:eastAsia="Times New Roman" w:hAnsi="Times New Roman"/>
          <w:sz w:val="18"/>
          <w:szCs w:val="18"/>
          <w:color w:val="auto"/>
        </w:rPr>
        <w:t>.</w:t>
      </w:r>
    </w:p>
    <w:p>
      <w:pPr>
        <w:spacing w:after="0" w:line="229" w:lineRule="exact"/>
        <w:rPr>
          <w:rFonts w:ascii="Times New Roman" w:cs="Times New Roman" w:eastAsia="Times New Roman" w:hAnsi="Times New Roman"/>
          <w:sz w:val="18"/>
          <w:szCs w:val="18"/>
          <w:color w:val="auto"/>
        </w:rPr>
      </w:pPr>
    </w:p>
    <w:p>
      <w:pPr>
        <w:jc w:val="both"/>
        <w:ind w:firstLine="2338"/>
        <w:spacing w:after="0" w:line="254" w:lineRule="auto"/>
        <w:tabs>
          <w:tab w:leader="none" w:pos="3220" w:val="left"/>
        </w:tabs>
        <w:numPr>
          <w:ilvl w:val="3"/>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Company may (A) cause the cancellation of any Award, (B) require reimbursement of any Award by a Participant or Beneficiary, and (C) effect any other right of recoupment of equity or other compensation provided under this Plan or otherwise in accordance with any Company policies that currently exist or that may from time to time be adopted or modified in the future by the Company and/or applicable law (each, a “Clawback Policy”). In addition, a Participant may be required to repay to the Company certain previously paid compensation, whether provided under this Plan or an Award Agreement or otherwise, in accordance with any Clawback Policy. By accepting an Award, a Participant is also agreeing to be bound by any existing or future Clawback Policy adopted by the Company, or any amendments that may from time to time be made to the Clawback Policy in the future by the Company in its discretion (including without limitation any Clawback Policy adopted or amended to comply with applicable laws or stock exchange requirements) and is further agreeing that all of the Participant’s Award Agreements (and/or awards issued under the Prior Plans) may be unilaterally amended by the Company, without the Participant’s consent, to the extent that the Company in its discretion determines to be necessary or appropriate to comply with any Clawback Policy.</w:t>
      </w:r>
    </w:p>
    <w:p>
      <w:pPr>
        <w:spacing w:after="0" w:line="186" w:lineRule="exact"/>
        <w:rPr>
          <w:rFonts w:ascii="Times New Roman" w:cs="Times New Roman" w:eastAsia="Times New Roman" w:hAnsi="Times New Roman"/>
          <w:sz w:val="18"/>
          <w:szCs w:val="18"/>
          <w:color w:val="auto"/>
        </w:rPr>
      </w:pPr>
    </w:p>
    <w:p>
      <w:pPr>
        <w:jc w:val="both"/>
        <w:ind w:firstLine="2338"/>
        <w:spacing w:after="0" w:line="255" w:lineRule="auto"/>
        <w:tabs>
          <w:tab w:leader="none" w:pos="3198" w:val="left"/>
        </w:tabs>
        <w:numPr>
          <w:ilvl w:val="3"/>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the Participant, without the consent of the Company, while employed by or providing services to the Company or any Subsidiary or after termination of such employment or service, violates a non-competition, non-solicitation or non-disclosure covenant or agreement or otherwise engages in activity that is in conflict with or adverse to the interest of the Company or any Subsidiary, as determined by the Committee in its sole discretion, then (i) any outstanding, vested or unvested, earned or unearned portion of the Award may, at the Committee’s discretion, be canceled and (ii) the Committee, in its discretion, may require the Participant or other person to whom any payment has been made or Shares or other property have been transferred in connection with the Award to forfeit and pay over to the Company, on demand, all or any portion of the gain (whether or not taxable) realized upon the exercise of any Option or Stock Appreciation Right and the value realized (whether or not taxable) on the vesting or payment of any other Award during the time period specified in the Award Agreement or otherwise specified by the Committee.</w:t>
      </w:r>
    </w:p>
    <w:p>
      <w:pPr>
        <w:spacing w:after="0" w:line="181" w:lineRule="exact"/>
        <w:rPr>
          <w:rFonts w:ascii="Times New Roman" w:cs="Times New Roman" w:eastAsia="Times New Roman" w:hAnsi="Times New Roman"/>
          <w:sz w:val="18"/>
          <w:szCs w:val="18"/>
          <w:color w:val="auto"/>
        </w:rPr>
      </w:pPr>
    </w:p>
    <w:p>
      <w:pPr>
        <w:ind w:left="1560" w:hanging="775"/>
        <w:spacing w:after="0"/>
        <w:tabs>
          <w:tab w:leader="none" w:pos="1560" w:val="left"/>
        </w:tabs>
        <w:numPr>
          <w:ilvl w:val="1"/>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i w:val="1"/>
          <w:iCs w:val="1"/>
          <w:color w:val="auto"/>
        </w:rPr>
        <w:t>Code Section 162(m) Provisions</w:t>
      </w:r>
      <w:r>
        <w:rPr>
          <w:rFonts w:ascii="Times New Roman" w:cs="Times New Roman" w:eastAsia="Times New Roman" w:hAnsi="Times New Roman"/>
          <w:sz w:val="18"/>
          <w:szCs w:val="18"/>
          <w:color w:val="auto"/>
        </w:rPr>
        <w:t>.</w:t>
      </w:r>
    </w:p>
    <w:p>
      <w:pPr>
        <w:spacing w:after="0" w:line="225" w:lineRule="exact"/>
        <w:rPr>
          <w:rFonts w:ascii="Times New Roman" w:cs="Times New Roman" w:eastAsia="Times New Roman" w:hAnsi="Times New Roman"/>
          <w:sz w:val="18"/>
          <w:szCs w:val="18"/>
          <w:color w:val="auto"/>
        </w:rPr>
      </w:pPr>
    </w:p>
    <w:p>
      <w:pPr>
        <w:jc w:val="both"/>
        <w:ind w:firstLine="1561"/>
        <w:spacing w:after="0" w:line="268" w:lineRule="auto"/>
        <w:tabs>
          <w:tab w:leader="none" w:pos="2401" w:val="left"/>
        </w:tabs>
        <w:numPr>
          <w:ilvl w:val="2"/>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i w:val="1"/>
          <w:iCs w:val="1"/>
          <w:color w:val="auto"/>
        </w:rPr>
        <w:t>Covered Employees</w:t>
      </w:r>
      <w:r>
        <w:rPr>
          <w:rFonts w:ascii="Times New Roman" w:cs="Times New Roman" w:eastAsia="Times New Roman" w:hAnsi="Times New Roman"/>
          <w:sz w:val="18"/>
          <w:szCs w:val="18"/>
          <w:color w:val="auto"/>
        </w:rPr>
        <w:t>. The Committee, in its discretion, may determine at the time an Award is granted to an Eligible Person</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who is, or is likely to be, as of the end of the tax year in which the Company would claim a tax deduction in connection with such Award, a Covered Employee, that the provisions of this Section 9 shall be applicable to such Award.</w:t>
      </w:r>
    </w:p>
    <w:p>
      <w:pPr>
        <w:spacing w:after="0" w:line="170" w:lineRule="exact"/>
        <w:rPr>
          <w:rFonts w:ascii="Times New Roman" w:cs="Times New Roman" w:eastAsia="Times New Roman" w:hAnsi="Times New Roman"/>
          <w:sz w:val="18"/>
          <w:szCs w:val="18"/>
          <w:color w:val="auto"/>
        </w:rPr>
      </w:pPr>
    </w:p>
    <w:p>
      <w:pPr>
        <w:jc w:val="both"/>
        <w:ind w:firstLine="1561"/>
        <w:spacing w:after="0" w:line="254" w:lineRule="auto"/>
        <w:tabs>
          <w:tab w:leader="none" w:pos="2411" w:val="left"/>
        </w:tabs>
        <w:numPr>
          <w:ilvl w:val="2"/>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i w:val="1"/>
          <w:iCs w:val="1"/>
          <w:color w:val="auto"/>
        </w:rPr>
        <w:t>Performance Criteria</w:t>
      </w:r>
      <w:r>
        <w:rPr>
          <w:rFonts w:ascii="Times New Roman" w:cs="Times New Roman" w:eastAsia="Times New Roman" w:hAnsi="Times New Roman"/>
          <w:sz w:val="18"/>
          <w:szCs w:val="18"/>
          <w:color w:val="auto"/>
        </w:rPr>
        <w:t>. If an Award is subject to this Section 9, then the payment or distribution thereof or lapsing of</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restrictions thereon and the distribution of cash, Shares or other property pursuant thereto, as applicable, shall be contingent upon achievement of one or more objective performance goals. Performance goals shall be objective and shall otherwise meet the requirements of Section 162(m) of the Code and regulations thereunder including the requirement that the level or levels of performance targeted by the Committee result in the achievement of performance goals being “substantially uncertain.” One or more of the following business criteria for the Company, on a consolidated basis, and/or for Related Entities, or for business or geographical units of the Company and/or a Related Entity (except with respect to the total shareholder return and earnings per share criteria), shall be used by the Committee in establishing performance goals for such Awards: (1) earnings per share; (2) revenues or margins; (3) cash flow; (4) operating margin;</w:t>
      </w:r>
    </w:p>
    <w:p>
      <w:pPr>
        <w:spacing w:after="0" w:line="1" w:lineRule="exact"/>
        <w:rPr>
          <w:rFonts w:ascii="Times New Roman" w:cs="Times New Roman" w:eastAsia="Times New Roman" w:hAnsi="Times New Roman"/>
          <w:sz w:val="18"/>
          <w:szCs w:val="18"/>
          <w:color w:val="auto"/>
        </w:rPr>
      </w:pPr>
    </w:p>
    <w:p>
      <w:pPr>
        <w:jc w:val="both"/>
        <w:ind w:firstLine="8"/>
        <w:spacing w:after="0" w:line="251" w:lineRule="auto"/>
        <w:tabs>
          <w:tab w:leader="none" w:pos="272"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return on net assets, investment, capital, or equity; (6) economic value added; (7) direct contribution; (8) net income; pretax earnings; earnings before interest and taxes; earnings before interest, taxes, depreciation and amortization; earnings after interest expense and before extraordinary or special items; operating income or income from operations; income before interest income or expense, unusual items and income taxes, local, state or federal and excluding budgeted and actual bonuses which might be paid under any ongoing bonus plans of the Company; (9) working capital; (10) management of fixed costs or variable costs; (11) identification or consummation of investment opportunities or completion of specified projects in accordance with corporate business plans, including strategic mergers, acquisitions or divestitures; (12) total shareholder return; (13) debt reduction; and/or (14) the Fair Market Value of a Share. Any of the above goals may be determined on an absolute or relative basis or as compared to the performance of a published or special index deemed applicable by the Committee including, but not limited to, the Standard &amp; Poor’s 500 Stock Index or a group of companies that are comparable to the Company. Except as otherwise specified by the Committee at the time the goals are set, the Committee shall exclude the impact of: (i) restructurings, discontinued operations, extraordinary items, and other unusual or non-recurring charges, (ii) an event either not directly related to the operations of the Company or not within the reasonable control of the Company’s management, (iii) a change in accounting standards required by generally accepted accounting principles, or (iv) any other item or event specified by the Committee at the time the goals are set.</w:t>
      </w:r>
    </w:p>
    <w:p>
      <w:pPr>
        <w:spacing w:after="0" w:line="189" w:lineRule="exact"/>
        <w:rPr>
          <w:rFonts w:ascii="Times New Roman" w:cs="Times New Roman" w:eastAsia="Times New Roman" w:hAnsi="Times New Roman"/>
          <w:sz w:val="18"/>
          <w:szCs w:val="18"/>
          <w:color w:val="auto"/>
        </w:rPr>
      </w:pPr>
    </w:p>
    <w:p>
      <w:pPr>
        <w:jc w:val="both"/>
        <w:ind w:firstLine="1561"/>
        <w:spacing w:after="0" w:line="259" w:lineRule="auto"/>
        <w:tabs>
          <w:tab w:leader="none" w:pos="2401" w:val="left"/>
        </w:tabs>
        <w:numPr>
          <w:ilvl w:val="2"/>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i w:val="1"/>
          <w:iCs w:val="1"/>
          <w:color w:val="auto"/>
        </w:rPr>
        <w:t>Performance Period; Timing For Establishing Performance Goals</w:t>
      </w:r>
      <w:r>
        <w:rPr>
          <w:rFonts w:ascii="Times New Roman" w:cs="Times New Roman" w:eastAsia="Times New Roman" w:hAnsi="Times New Roman"/>
          <w:sz w:val="18"/>
          <w:szCs w:val="18"/>
          <w:color w:val="auto"/>
        </w:rPr>
        <w:t>. Achievement of performance goals in respect of such</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Performance Awards subject to this Section 9 shall be measured over a Performance Period no shorter than 12 months and no longer than 5 years, as specified by the Committee. Performance goals shall be established not later than 90 days after the beginning of any Performance Period applicable to Performance Awards, subject to this Section 9, or at such other date as may be required or permitted for “performance-based compensation” under Section 162(m) of the Code.</w:t>
      </w:r>
    </w:p>
    <w:p>
      <w:pPr>
        <w:spacing w:after="0" w:line="40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210820</wp:posOffset>
            </wp:positionV>
            <wp:extent cx="7289165" cy="4254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549" w:right="239" w:bottom="1440" w:gutter="0" w:footer="0" w:header="0"/>
        </w:sectPr>
      </w:pPr>
    </w:p>
    <w:bookmarkStart w:id="18" w:name="page19"/>
    <w:bookmarkEnd w:id="18"/>
    <w:p>
      <w:pPr>
        <w:jc w:val="both"/>
        <w:ind w:firstLine="1561"/>
        <w:spacing w:after="0" w:line="262" w:lineRule="auto"/>
        <w:tabs>
          <w:tab w:leader="none" w:pos="2411" w:val="left"/>
        </w:tabs>
        <w:numPr>
          <w:ilvl w:val="1"/>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i w:val="1"/>
          <w:iCs w:val="1"/>
          <w:color w:val="auto"/>
        </w:rPr>
        <w:t>Adjustments</w:t>
      </w:r>
      <w:r>
        <w:rPr>
          <w:rFonts w:ascii="Times New Roman" w:cs="Times New Roman" w:eastAsia="Times New Roman" w:hAnsi="Times New Roman"/>
          <w:sz w:val="18"/>
          <w:szCs w:val="18"/>
          <w:color w:val="auto"/>
        </w:rPr>
        <w:t>. The Committee may, in its discretion, reduce the amount of a settlement otherwise to be made in connection</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with Awards subject to this Section 9, but may not exercise discretion to increase any such amount payable to a Covered Employee in respect of an Award subject to this Section 9. The Committee shall specify the circumstances in which such Awards shall be paid or forfeited in the event of termination of Continuous Service by the Participant prior to the end of a Performance Period or settlement of Awards.</w:t>
      </w:r>
    </w:p>
    <w:p>
      <w:pPr>
        <w:spacing w:after="0" w:line="176" w:lineRule="exact"/>
        <w:rPr>
          <w:rFonts w:ascii="Times New Roman" w:cs="Times New Roman" w:eastAsia="Times New Roman" w:hAnsi="Times New Roman"/>
          <w:sz w:val="18"/>
          <w:szCs w:val="18"/>
          <w:color w:val="auto"/>
        </w:rPr>
      </w:pPr>
    </w:p>
    <w:p>
      <w:pPr>
        <w:jc w:val="both"/>
        <w:ind w:firstLine="1561"/>
        <w:spacing w:after="0" w:line="262" w:lineRule="auto"/>
        <w:tabs>
          <w:tab w:leader="none" w:pos="2401" w:val="left"/>
        </w:tabs>
        <w:numPr>
          <w:ilvl w:val="1"/>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i w:val="1"/>
          <w:iCs w:val="1"/>
          <w:color w:val="auto"/>
        </w:rPr>
        <w:t>Committee Certification</w:t>
      </w:r>
      <w:r>
        <w:rPr>
          <w:rFonts w:ascii="Times New Roman" w:cs="Times New Roman" w:eastAsia="Times New Roman" w:hAnsi="Times New Roman"/>
          <w:sz w:val="18"/>
          <w:szCs w:val="18"/>
          <w:color w:val="auto"/>
        </w:rPr>
        <w:t>. No Participant shall receive any payment under the Plan that is subject to this Section 9 unless the</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Committee has certified, by resolution or other appropriate action in writing, that the performance criteria and any other material terms previously established by the Committee or set forth in the Plan, have been satisfied to the extent necessary to qualify as “performance based compensation” under Section 162(m) of the Code.</w:t>
      </w:r>
    </w:p>
    <w:p>
      <w:pPr>
        <w:spacing w:after="0" w:line="176" w:lineRule="exact"/>
        <w:rPr>
          <w:rFonts w:ascii="Times New Roman" w:cs="Times New Roman" w:eastAsia="Times New Roman" w:hAnsi="Times New Roman"/>
          <w:sz w:val="18"/>
          <w:szCs w:val="18"/>
          <w:color w:val="auto"/>
        </w:rPr>
      </w:pPr>
    </w:p>
    <w:p>
      <w:pPr>
        <w:ind w:left="1660" w:hanging="875"/>
        <w:spacing w:after="0"/>
        <w:tabs>
          <w:tab w:leader="none" w:pos="1660"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i w:val="1"/>
          <w:iCs w:val="1"/>
          <w:color w:val="auto"/>
        </w:rPr>
        <w:t>Change in Control</w:t>
      </w:r>
      <w:r>
        <w:rPr>
          <w:rFonts w:ascii="Times New Roman" w:cs="Times New Roman" w:eastAsia="Times New Roman" w:hAnsi="Times New Roman"/>
          <w:sz w:val="18"/>
          <w:szCs w:val="18"/>
          <w:color w:val="auto"/>
        </w:rPr>
        <w:t>.</w:t>
      </w:r>
    </w:p>
    <w:p>
      <w:pPr>
        <w:spacing w:after="0" w:line="225" w:lineRule="exact"/>
        <w:rPr>
          <w:rFonts w:ascii="Times New Roman" w:cs="Times New Roman" w:eastAsia="Times New Roman" w:hAnsi="Times New Roman"/>
          <w:sz w:val="18"/>
          <w:szCs w:val="18"/>
          <w:color w:val="auto"/>
        </w:rPr>
      </w:pPr>
    </w:p>
    <w:p>
      <w:pPr>
        <w:jc w:val="both"/>
        <w:ind w:firstLine="1561"/>
        <w:spacing w:after="0" w:line="252" w:lineRule="auto"/>
        <w:tabs>
          <w:tab w:leader="none" w:pos="2401" w:val="left"/>
        </w:tabs>
        <w:numPr>
          <w:ilvl w:val="1"/>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i w:val="1"/>
          <w:iCs w:val="1"/>
          <w:color w:val="auto"/>
        </w:rPr>
        <w:t>Effect of “Change in Control”</w:t>
      </w:r>
      <w:r>
        <w:rPr>
          <w:rFonts w:ascii="Times New Roman" w:cs="Times New Roman" w:eastAsia="Times New Roman" w:hAnsi="Times New Roman"/>
          <w:sz w:val="18"/>
          <w:szCs w:val="18"/>
          <w:color w:val="auto"/>
        </w:rPr>
        <w:t>. Unless otherwise provided in any employment or other agreement between the Participant</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and the Company or any Related Entity, or in any Award Agreement, or to the extent otherwise determined by the Committee in effect immediately preceding the Change in Control, in its sole discretion and without any requirement that each Participant be treated consistently, in the event of a Change in Control and within 6 months before or 18 months after the Change in Control, the Participant’s Continuous Service is terminated by the Company or any Related Entity without Justifiable Cause or by the Participant for Good Reason, or there is a termination of Continuous Service because of the Participant’s death or Disability, the following shall occur: (i) if the portion of the Participant’s Award(s) or any award(s) that is substituted therefor that is subject only to time-based vesting has not previously been vested or paid to the Participant, then such portion shall immediately vest (in the case of any Award or substitute therefor that is subject to vesting) and any cash payable as a result of such vesting shall be paid to the Participant, as soon as practicable (but in no event more than 5 business days) after the later of the Change in Control or the termination of the Participant’s Continuous Service; and (ii) if the portion of the Participant’s Award(s) or any award(s) that is substituted therefor that is subject to performance-based vesting has not previously been vested or paid to the Participant, then the pro-rata portion for the time elapsed in the ongoing performance period(s) of the Award or substitute therefor, shall immediately vest and any cash payable as a result of such vesting shall be paid to the Participant, as soon as practicable (but in no event more than 5 business days) after the later of the Change in Control or the termination of the Participant’s Continuous Service. Each Share that is received upon the exercise, vesting or settlement of an Award or substitute therefor that vests pursuant to this Section 10(b) shall be immediately redeemed by the Company (or its successor) for cash payable by the Company (or its successor) in an amount (the “Redemption Price Per Share”) equal to, as applicable, (x) if the Shares have not been cancelled, exchanged or converted into other securities or property as a result of the Change in Control and are publicly-traded, the Fair Market Value of a Share on the date of the termination of the Participant’s Continuous Service, or (y) if the Shares have been cancelled, exchanged or converted into other securities or property as a result of the Change in Control, the greater of (i) the fair market value per Share of the consideration received pursuant to the Change in Control by the holders of Shares on the date of the Change in Control and (ii) if the consideration received by the holders of Shares pursuant to the Change in Control consisted, in whole or in part, of other securities which are publicly traded, the sum of (A) the fair market value of the number of such securities received for each Share pursuant to the Change in Control on the date of the termination of the Participant’s Continuous Service and (B) the fair market value of any other consideration received for each Share pursuant to the Change of Control. Each Option that vests pursuant to this Section 10(b) shall be immediately cancelled in exchange for cash payable by the Company for each Share subject to the cancelled Option equal to the amount, if any, by which the Redemption Price Per Share exceeds the exercise price per Share of the Option.</w:t>
      </w:r>
    </w:p>
    <w:p>
      <w:pPr>
        <w:spacing w:after="0" w:line="186" w:lineRule="exact"/>
        <w:rPr>
          <w:rFonts w:ascii="Times New Roman" w:cs="Times New Roman" w:eastAsia="Times New Roman" w:hAnsi="Times New Roman"/>
          <w:sz w:val="18"/>
          <w:szCs w:val="18"/>
          <w:color w:val="auto"/>
        </w:rPr>
      </w:pPr>
    </w:p>
    <w:p>
      <w:pPr>
        <w:ind w:firstLine="1561"/>
        <w:spacing w:after="0" w:line="286" w:lineRule="auto"/>
        <w:tabs>
          <w:tab w:leader="none" w:pos="2411" w:val="left"/>
        </w:tabs>
        <w:numPr>
          <w:ilvl w:val="1"/>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i w:val="1"/>
          <w:iCs w:val="1"/>
          <w:color w:val="auto"/>
        </w:rPr>
        <w:t>Definition of “Change in Control”</w:t>
      </w:r>
      <w:r>
        <w:rPr>
          <w:rFonts w:ascii="Times New Roman" w:cs="Times New Roman" w:eastAsia="Times New Roman" w:hAnsi="Times New Roman"/>
          <w:sz w:val="18"/>
          <w:szCs w:val="18"/>
          <w:color w:val="auto"/>
        </w:rPr>
        <w:t>. Unless otherwise specified in any employment or other agreement for services between</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the Participant and the Company or any Subsidiary, or in an Award Agreement, a “Change in Control” shall mean the occurrence of any of the following:</w:t>
      </w:r>
    </w:p>
    <w:p>
      <w:pPr>
        <w:spacing w:after="0" w:line="158" w:lineRule="exact"/>
        <w:rPr>
          <w:rFonts w:ascii="Times New Roman" w:cs="Times New Roman" w:eastAsia="Times New Roman" w:hAnsi="Times New Roman"/>
          <w:sz w:val="18"/>
          <w:szCs w:val="18"/>
          <w:color w:val="auto"/>
        </w:rPr>
      </w:pPr>
    </w:p>
    <w:p>
      <w:pPr>
        <w:jc w:val="both"/>
        <w:ind w:firstLine="2338"/>
        <w:spacing w:after="0" w:line="255" w:lineRule="auto"/>
        <w:tabs>
          <w:tab w:leader="none" w:pos="3148" w:val="left"/>
        </w:tabs>
        <w:numPr>
          <w:ilvl w:val="2"/>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acquisition by any Person of Beneficial Ownership (within the meaning of Rule 13d-3 promulgated under the Exchange Act) of more than fifty percent (50%) of either (A) the value of then outstanding equity securities of the Company (the “Outstanding Company Stock”) or (B) the combined voting power of the then outstanding voting securities of the Company entitled to vote generally in the election of directors (the “Outstanding Company Voting Securities) (the foregoing Beneficial Ownership hereinafter being referred to as a “Controlling Interest”); provided, however, that for purposes of this Section 10(b), the following acquisitions shall not constitute or result in a Change in Control: (v) any acquisition directly from the Company; (w) any acquisition by the Company; (x) any acquisition by any Person that as of the Effective Date owns Beneficial Ownership of a Controlling Interest; (y) any acquisition by any employee benefit plan (or related trust) sponsored or maintained by the Company or any Subsidiary; or (z) any acquisition by any entity pursuant to a transaction which complies with clauses (1), (2) and (3) of subsection (iii) below; or</w:t>
      </w:r>
    </w:p>
    <w:p>
      <w:pPr>
        <w:spacing w:after="0" w:line="185" w:lineRule="exact"/>
        <w:rPr>
          <w:rFonts w:ascii="Times New Roman" w:cs="Times New Roman" w:eastAsia="Times New Roman" w:hAnsi="Times New Roman"/>
          <w:sz w:val="18"/>
          <w:szCs w:val="18"/>
          <w:color w:val="auto"/>
        </w:rPr>
      </w:pPr>
    </w:p>
    <w:p>
      <w:pPr>
        <w:ind w:left="3200" w:hanging="862"/>
        <w:spacing w:after="0"/>
        <w:tabs>
          <w:tab w:leader="none" w:pos="3200" w:val="left"/>
        </w:tabs>
        <w:numPr>
          <w:ilvl w:val="2"/>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During any period of two (2) consecutive years (not including any period prior to the Effective Date) individuals</w:t>
      </w:r>
    </w:p>
    <w:p>
      <w:pPr>
        <w:spacing w:after="0" w:line="27" w:lineRule="exact"/>
        <w:rPr>
          <w:rFonts w:ascii="Times New Roman" w:cs="Times New Roman" w:eastAsia="Times New Roman" w:hAnsi="Times New Roman"/>
          <w:sz w:val="18"/>
          <w:szCs w:val="18"/>
          <w:color w:val="auto"/>
        </w:rPr>
      </w:pPr>
    </w:p>
    <w:p>
      <w:pPr>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who constitute the Board on the Effective Date (the “Incumbent Board”) cease for any reason to constitute at least a majority</w:t>
      </w:r>
    </w:p>
    <w:p>
      <w:pPr>
        <w:spacing w:after="0" w:line="200" w:lineRule="exact"/>
        <w:rPr>
          <w:sz w:val="20"/>
          <w:szCs w:val="20"/>
          <w:color w:val="auto"/>
        </w:rPr>
      </w:pPr>
    </w:p>
    <w:p>
      <w:pPr>
        <w:spacing w:after="0" w:line="22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210820</wp:posOffset>
            </wp:positionV>
            <wp:extent cx="7289165" cy="4254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549" w:right="239" w:bottom="1440" w:gutter="0" w:footer="0" w:header="0"/>
        </w:sectPr>
      </w:pPr>
    </w:p>
    <w:bookmarkStart w:id="19" w:name="page20"/>
    <w:bookmarkEnd w:id="19"/>
    <w:p>
      <w:pPr>
        <w:jc w:val="both"/>
        <w:spacing w:after="0" w:line="258" w:lineRule="auto"/>
        <w:rPr>
          <w:sz w:val="20"/>
          <w:szCs w:val="20"/>
          <w:color w:val="auto"/>
        </w:rPr>
      </w:pPr>
      <w:r>
        <w:rPr>
          <w:rFonts w:ascii="Times New Roman" w:cs="Times New Roman" w:eastAsia="Times New Roman" w:hAnsi="Times New Roman"/>
          <w:sz w:val="18"/>
          <w:szCs w:val="18"/>
          <w:color w:val="auto"/>
        </w:rPr>
        <w:t>of the Board; provided, however, that any individual becoming a director subsequent to the Effective Date whose election, or nomination for election by the Company’s shareholders, was approved by a vote of at least a majority of the directors then comprising the Incumbent Board shall be considered as though such individual were a member of the Incumbent Board, but excluding, for this purpose, any such individual whose initial assumption of office occurs as a result of an actual or threatened election contest with respect to the election or removal of directors or other actual or threatened solicitation of proxies or consents by or on behalf of a Person other than the Board; or</w:t>
      </w:r>
    </w:p>
    <w:p>
      <w:pPr>
        <w:spacing w:after="0" w:line="184" w:lineRule="exact"/>
        <w:rPr>
          <w:sz w:val="20"/>
          <w:szCs w:val="20"/>
          <w:color w:val="auto"/>
        </w:rPr>
      </w:pPr>
    </w:p>
    <w:p>
      <w:pPr>
        <w:jc w:val="both"/>
        <w:ind w:firstLine="2338"/>
        <w:spacing w:after="0" w:line="252" w:lineRule="auto"/>
        <w:tabs>
          <w:tab w:leader="none" w:pos="3248" w:val="left"/>
        </w:tabs>
        <w:numPr>
          <w:ilvl w:val="2"/>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Consummation of (A) a reorganization, merger, statutory share exchange or consolidation or similar transaction involving (x) the Company or (y) or any of its Subsidiaries, or (B) a sale or other disposition of all or substantially all of the assets of the Company, or the acquisition of assets or equity securities of another entity by the Company or any of its Subsidiaries (each an “Asset Sale”), in each case, unless, following such Business Combination, (1) all or substantially all of the individuals and entities who were the Beneficial Owners, respectively, of the Outstanding Company Stock and Outstanding Company Voting Securities immediately prior to such Business Combination beneficially own, directly or indirectly, more than fifty percent (50%) of the value of the then outstanding equity securities and the combined voting power of the then outstanding voting securities entitled to vote generally in the election of members of the board of directors (or comparable governing body of an entity that does not have such a board), as the case may be, of the entity resulting from such Business Combination (including, without limitation, an entity which as a result of such transaction owns the Company or all or substantially all of the Company’s assets either directly or through one or more subsidiaries) in substantially the same proportions as their ownership, immediately prior to such Business Combination, of the Outstanding Company Stock and Outstanding Company Voting Securities, as the case may be (2) no Person (excluding any employee benefit plan (or related trust) of the Company or such entity resulting from such Business Combination or any Person that as of the Effective Date owns Beneficial Ownership of a Controlling Interest) beneficially owns, directly or indirectly, fifty percent (50%) or more of the value of the then outstanding equity securities of the entity resulting from such Business Combination or the combined voting power of the then outstanding voting securities of such entity resulting from such Business Combination except to the extent that such ownership existed prior to the Business Combination and (3) at least a majority of the members of the Board of Directors or other governing body of the entity resulting from such Business Combination were members of the Incumbent Board at the time of the execution of the initial agreement, or of the action of the Board, providing for such Business Combination; or</w:t>
      </w:r>
    </w:p>
    <w:p>
      <w:pPr>
        <w:spacing w:after="0" w:line="194" w:lineRule="exact"/>
        <w:rPr>
          <w:rFonts w:ascii="Times New Roman" w:cs="Times New Roman" w:eastAsia="Times New Roman" w:hAnsi="Times New Roman"/>
          <w:sz w:val="18"/>
          <w:szCs w:val="18"/>
          <w:color w:val="auto"/>
        </w:rPr>
      </w:pPr>
    </w:p>
    <w:p>
      <w:pPr>
        <w:ind w:left="3240" w:hanging="902"/>
        <w:spacing w:after="0"/>
        <w:tabs>
          <w:tab w:leader="none" w:pos="3240" w:val="left"/>
        </w:tabs>
        <w:numPr>
          <w:ilvl w:val="2"/>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Approval by the shareholders of the Company of a complete liquidation or dissolution of the Company.</w:t>
      </w:r>
    </w:p>
    <w:p>
      <w:pPr>
        <w:spacing w:after="0" w:line="221" w:lineRule="exact"/>
        <w:rPr>
          <w:rFonts w:ascii="Times New Roman" w:cs="Times New Roman" w:eastAsia="Times New Roman" w:hAnsi="Times New Roman"/>
          <w:sz w:val="18"/>
          <w:szCs w:val="18"/>
          <w:color w:val="auto"/>
        </w:rPr>
      </w:pPr>
    </w:p>
    <w:p>
      <w:pPr>
        <w:ind w:left="1660" w:hanging="875"/>
        <w:spacing w:after="0"/>
        <w:tabs>
          <w:tab w:leader="none" w:pos="1660" w:val="left"/>
        </w:tabs>
        <w:numPr>
          <w:ilvl w:val="0"/>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i w:val="1"/>
          <w:iCs w:val="1"/>
          <w:color w:val="auto"/>
        </w:rPr>
        <w:t>General Provisions</w:t>
      </w:r>
      <w:r>
        <w:rPr>
          <w:rFonts w:ascii="Times New Roman" w:cs="Times New Roman" w:eastAsia="Times New Roman" w:hAnsi="Times New Roman"/>
          <w:sz w:val="18"/>
          <w:szCs w:val="18"/>
          <w:color w:val="auto"/>
        </w:rPr>
        <w:t>.</w:t>
      </w:r>
    </w:p>
    <w:p>
      <w:pPr>
        <w:spacing w:after="0" w:line="225" w:lineRule="exact"/>
        <w:rPr>
          <w:rFonts w:ascii="Times New Roman" w:cs="Times New Roman" w:eastAsia="Times New Roman" w:hAnsi="Times New Roman"/>
          <w:sz w:val="18"/>
          <w:szCs w:val="18"/>
          <w:color w:val="auto"/>
        </w:rPr>
      </w:pPr>
    </w:p>
    <w:p>
      <w:pPr>
        <w:jc w:val="both"/>
        <w:ind w:firstLine="1561"/>
        <w:spacing w:after="0" w:line="256" w:lineRule="auto"/>
        <w:tabs>
          <w:tab w:leader="none" w:pos="2401" w:val="left"/>
        </w:tabs>
        <w:numPr>
          <w:ilvl w:val="1"/>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i w:val="1"/>
          <w:iCs w:val="1"/>
          <w:color w:val="auto"/>
        </w:rPr>
        <w:t>Compliance With Legal and Other Requirements</w:t>
      </w:r>
      <w:r>
        <w:rPr>
          <w:rFonts w:ascii="Times New Roman" w:cs="Times New Roman" w:eastAsia="Times New Roman" w:hAnsi="Times New Roman"/>
          <w:sz w:val="18"/>
          <w:szCs w:val="18"/>
          <w:color w:val="auto"/>
        </w:rPr>
        <w:t>. The Company may, to the extent deemed necessary or advisable by the</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Committee, postpone the issuance or delivery of Shares or payment of other benefits under any Award until completion of such registration or qualification of such Shares or other required action under any federal or state law, rule or regulation, listing or other required action with respect to the Listing Market, or compliance with any other obligation of the Company, as the Committee, may consider appropriate, and may require any Participant to make such representations, furnish such information and comply with or be subject to such other conditions as it may consider appropriate in connection with the issuance or delivery of Shares or payment of other benefits in compliance with applicable laws, rules, and regulations, listing requirements, or other obligations.</w:t>
      </w:r>
    </w:p>
    <w:p>
      <w:pPr>
        <w:spacing w:after="0" w:line="183" w:lineRule="exact"/>
        <w:rPr>
          <w:rFonts w:ascii="Times New Roman" w:cs="Times New Roman" w:eastAsia="Times New Roman" w:hAnsi="Times New Roman"/>
          <w:sz w:val="18"/>
          <w:szCs w:val="18"/>
          <w:color w:val="auto"/>
        </w:rPr>
      </w:pPr>
    </w:p>
    <w:p>
      <w:pPr>
        <w:jc w:val="both"/>
        <w:ind w:firstLine="1561"/>
        <w:spacing w:after="0" w:line="252" w:lineRule="auto"/>
        <w:tabs>
          <w:tab w:leader="none" w:pos="2411" w:val="left"/>
        </w:tabs>
        <w:numPr>
          <w:ilvl w:val="1"/>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i w:val="1"/>
          <w:iCs w:val="1"/>
          <w:color w:val="auto"/>
        </w:rPr>
        <w:t>Limits on Transferability; Beneficiaries</w:t>
      </w:r>
      <w:r>
        <w:rPr>
          <w:rFonts w:ascii="Times New Roman" w:cs="Times New Roman" w:eastAsia="Times New Roman" w:hAnsi="Times New Roman"/>
          <w:sz w:val="18"/>
          <w:szCs w:val="18"/>
          <w:color w:val="auto"/>
        </w:rPr>
        <w:t>. No Award or other right or interest granted under the Plan shall be pledged,</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hypothecated or otherwise encumbered or subject to any lien, obligation or liability of such Participant to any party, or assigned or transferred by such Participant otherwise than by will or the laws of descent and distribution or to a Beneficiary upon the death of a Participant, and such Awards or rights that may be exercisable shall be exercised during the lifetime of the Participant only by the Participant or his or her guardian or legal representative, except that Awards and other rights (other than Incentive Stock Options and Stock Appreciation Rights in tandem therewith) may be transferred to one or more Beneficiaries or other transferees during the lifetime of the Participant, and may be exercised by such transferees in accordance with the terms of such Award, but only if and to the extent such transfers are permitted by the Committee pursuant to the express terms of an Award Agreement (subject to any terms and conditions which the Committee may impose thereon), are by gift or pursuant to a domestic relations order, and are to a “Permitted Assignee” that is a permissible transferee under the applicable rules of the Securities and Exchange Commission for registration of shares of stock on a Form S-8 registration statement. For this purpose, a Permitted Assignee shall mean (i) the Participant’s spouse, children or grandchildren (including any adopted and step children or grandchildren), parents, grandparents or siblings, (ii) a trust for the benefit of one or more of the Participant or the persons referred to in clause (i), (iii) a partnership, limited liability company or corporation in which the Participant or the persons referred to in clause (i) are the only partners, members or shareholders, or (iv) a foundation in which any person or entity designated in clauses (i), (ii) or (iii) above control the management of assets. A Beneficiary, transferee, or other person claiming any rights under the Plan from or through any Participant shall be subject to all terms and conditions of the Plan and any Award Agreement applicable to such Participant, except as otherwise determined by the Committee, and to any additional terms and conditions deemed necessary or appropriate by the Committee.</w:t>
      </w:r>
    </w:p>
    <w:p>
      <w:pPr>
        <w:spacing w:after="0" w:line="200" w:lineRule="exact"/>
        <w:rPr>
          <w:sz w:val="20"/>
          <w:szCs w:val="20"/>
          <w:color w:val="auto"/>
        </w:rPr>
      </w:pPr>
    </w:p>
    <w:p>
      <w:pPr>
        <w:spacing w:after="0" w:line="21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210820</wp:posOffset>
            </wp:positionV>
            <wp:extent cx="7289165" cy="4254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553" w:right="239" w:bottom="1440" w:gutter="0" w:footer="0" w:header="0"/>
        </w:sectPr>
      </w:pPr>
    </w:p>
    <w:bookmarkStart w:id="20" w:name="page21"/>
    <w:bookmarkEnd w:id="20"/>
    <w:p>
      <w:pPr>
        <w:ind w:left="2400" w:hanging="839"/>
        <w:spacing w:after="0"/>
        <w:tabs>
          <w:tab w:leader="none" w:pos="2400" w:val="left"/>
        </w:tabs>
        <w:numPr>
          <w:ilvl w:val="0"/>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i w:val="1"/>
          <w:iCs w:val="1"/>
          <w:color w:val="auto"/>
        </w:rPr>
        <w:t>Adjustments</w:t>
      </w:r>
      <w:r>
        <w:rPr>
          <w:rFonts w:ascii="Times New Roman" w:cs="Times New Roman" w:eastAsia="Times New Roman" w:hAnsi="Times New Roman"/>
          <w:sz w:val="18"/>
          <w:szCs w:val="18"/>
          <w:color w:val="auto"/>
        </w:rPr>
        <w:t>.</w:t>
      </w:r>
    </w:p>
    <w:p>
      <w:pPr>
        <w:spacing w:after="0" w:line="225" w:lineRule="exact"/>
        <w:rPr>
          <w:rFonts w:ascii="Times New Roman" w:cs="Times New Roman" w:eastAsia="Times New Roman" w:hAnsi="Times New Roman"/>
          <w:sz w:val="18"/>
          <w:szCs w:val="18"/>
          <w:color w:val="auto"/>
        </w:rPr>
      </w:pPr>
    </w:p>
    <w:p>
      <w:pPr>
        <w:jc w:val="both"/>
        <w:ind w:firstLine="2338"/>
        <w:spacing w:after="0" w:line="252" w:lineRule="auto"/>
        <w:tabs>
          <w:tab w:leader="none" w:pos="3148" w:val="left"/>
        </w:tabs>
        <w:numPr>
          <w:ilvl w:val="1"/>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i w:val="1"/>
          <w:iCs w:val="1"/>
          <w:color w:val="auto"/>
        </w:rPr>
        <w:t>Adjustments to Awards</w:t>
      </w:r>
      <w:r>
        <w:rPr>
          <w:rFonts w:ascii="Times New Roman" w:cs="Times New Roman" w:eastAsia="Times New Roman" w:hAnsi="Times New Roman"/>
          <w:sz w:val="18"/>
          <w:szCs w:val="18"/>
          <w:color w:val="auto"/>
        </w:rPr>
        <w:t>. In the event that any extraordinary dividend or other distribution (whether in the form of</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cash, Shares, or other property), recapitalization, forward or reverse split, reorganization, merger, consolidation, spin-off, combination, repurchase, share exchange, liquidation, dissolution or other similar corporate transaction or event affects the Shares and/or such other securities of the Company or any other issuer, then the Committee shall, in such manner as it may deem appropriate and equitable, substitute, exchange or adjust any or all of (A) the number and kind of Shares which may be delivered in connection with Awards granted thereafter, (B) the number and kind of Shares by which annual per-person Award limitations are measured under Section 5 hereof, (C) the number and kind of Shares subject to or deliverable in respect of outstanding Awards, (D) the exercise price, grant price or purchase price relating to any Award and/or make provision for payment of cash or other property in respect of any outstanding Award, and (E) any other aspect of any Award that the Committee determines to be appropriate in order to prevent the reduction or enlargement of benefits under any Award. Notwithstanding the foregoing, in the case of any “equity restructuring” (within the meaning of Financial Accounting Standards Board Accounting Standards Codification Topic 718, Compensation - Stock Compensation, formerly known as Financial Accounting Standards Board Statement of Financial Accounting Standards No. 123 (revised 2004) or any other applicable accounting standard), the Committee shall make such adjustments to Awards on account of such equity restructuring as shall be necessary in order that the “fair value” of the adjusted Award immediately following the equity restructuring shall be equal to the “fair value” of the original Award immediately prior to the equity restructuring, based on the Share price and other pertinent factors on the effective date of the equity restructuring. For purposes of the preceding sentence, “fair value” shall be determined in accordance with the provisions of Financial Accounting Standards Board Accounting Standards Codification Topic 718, Compensation - Stock Compensation or any other applicable accounting standard.</w:t>
      </w:r>
    </w:p>
    <w:p>
      <w:pPr>
        <w:spacing w:after="0" w:line="196" w:lineRule="exact"/>
        <w:rPr>
          <w:rFonts w:ascii="Times New Roman" w:cs="Times New Roman" w:eastAsia="Times New Roman" w:hAnsi="Times New Roman"/>
          <w:sz w:val="18"/>
          <w:szCs w:val="18"/>
          <w:color w:val="auto"/>
        </w:rPr>
      </w:pPr>
    </w:p>
    <w:p>
      <w:pPr>
        <w:ind w:left="3200" w:hanging="862"/>
        <w:spacing w:after="0"/>
        <w:tabs>
          <w:tab w:leader="none" w:pos="3200" w:val="left"/>
        </w:tabs>
        <w:numPr>
          <w:ilvl w:val="1"/>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i w:val="1"/>
          <w:iCs w:val="1"/>
          <w:color w:val="auto"/>
        </w:rPr>
        <w:t>Adjustments in Case of Certain Transactions</w:t>
      </w:r>
      <w:r>
        <w:rPr>
          <w:rFonts w:ascii="Times New Roman" w:cs="Times New Roman" w:eastAsia="Times New Roman" w:hAnsi="Times New Roman"/>
          <w:sz w:val="18"/>
          <w:szCs w:val="18"/>
          <w:color w:val="auto"/>
        </w:rPr>
        <w:t>.</w:t>
      </w:r>
    </w:p>
    <w:p>
      <w:pPr>
        <w:spacing w:after="0" w:line="229" w:lineRule="exact"/>
        <w:rPr>
          <w:rFonts w:ascii="Times New Roman" w:cs="Times New Roman" w:eastAsia="Times New Roman" w:hAnsi="Times New Roman"/>
          <w:sz w:val="18"/>
          <w:szCs w:val="18"/>
          <w:color w:val="auto"/>
        </w:rPr>
      </w:pPr>
    </w:p>
    <w:p>
      <w:pPr>
        <w:jc w:val="both"/>
        <w:ind w:firstLine="3114"/>
        <w:spacing w:after="0" w:line="252" w:lineRule="auto"/>
        <w:tabs>
          <w:tab w:leader="none" w:pos="4004" w:val="left"/>
        </w:tabs>
        <w:numPr>
          <w:ilvl w:val="2"/>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the event of any merger, consolidation or other reorganization in which the Company does not survive, or in the event of any Change in Control (and subject to the provisions of Section 10 of this Plan relating to the vesting of Awards in the event of any Change in Control), any outstanding Awards may be dealt with in accordance with any of the following approaches, without the requirement of obtaining any consent or agreement of a Participant as such, as determined by the agreement effectuating the transaction or, if and to the extent not so determined, as determined by the Committee: (1) the continuation of the outstanding Awards by the Company, if the Company is a surviving entity, (2) the assumption or substitution for, as those terms are defined below, the outstanding Awards by the surviving entity or its parent or subsidiary, (3) full exercisability or vesting and accelerated expiration of the outstanding Awards, or (4) settlement of the value of the outstanding Awards in cash or cash equivalents or other property followed by cancellation of such Awards (which value, in the case of Options or Stock Appreciation Rights, shall be measured by the amount, if any, by which the Fair Market Value of a Share exceeds the exercise or grant price of the Option or Stock Appreciation Right as of the effective date of the transaction). The Committee shall give written notice of any proposed transaction referred to in this Section 11(c)(ii) a reasonable period of time prior to the closing date for such transaction (which notice may be given either before or after the approval of such transaction), in order that Participants may have a reasonable period of time prior to the closing date of such transaction within which to exercise any Awards that are then exercisable (including any Awards that may become exercisable upon the closing date of such transaction). A Participant may condition his exercise of any Awards upon the consummation of the transaction.</w:t>
      </w:r>
    </w:p>
    <w:p>
      <w:pPr>
        <w:spacing w:after="0" w:line="198" w:lineRule="exact"/>
        <w:rPr>
          <w:rFonts w:ascii="Times New Roman" w:cs="Times New Roman" w:eastAsia="Times New Roman" w:hAnsi="Times New Roman"/>
          <w:sz w:val="18"/>
          <w:szCs w:val="18"/>
          <w:color w:val="auto"/>
        </w:rPr>
      </w:pPr>
    </w:p>
    <w:p>
      <w:pPr>
        <w:jc w:val="both"/>
        <w:ind w:firstLine="3114"/>
        <w:spacing w:after="0" w:line="253" w:lineRule="auto"/>
        <w:tabs>
          <w:tab w:leader="none" w:pos="3994" w:val="left"/>
        </w:tabs>
        <w:numPr>
          <w:ilvl w:val="2"/>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For purposes of this Section 11(c)(ii), an Option, Stock Appreciation Right, Restricted Stock Award, Deferred Award or Other Stock-Based Award shall be considered assumed or substituted for if following the Change in Control the Award confers the right to purchase or receive, for each Share subject to the Option, Stock Appreciation Right, Restricted Stock Award, Deferred Award or Other Stock-Based Award immediately prior to the Change in Control, on substantially the same vesting and other terms and conditions as were applicable to the Award immediately prior to the Change in Control, the consideration (whether stock, cash or other securities or property) received in the transaction constituting a Change in Control by holders of Shares for each Share held on the effective date of such transaction (and if holders were offered a choice of consideration, the type of consideration chosen by the holders of a majority of the outstanding shares); provided, however, that if such consideration received in the transaction constituting a Change in Control is not solely common stock of the successor company or its parent or subsidiary, the Committee may, with the consent of the successor company or its parent or subsidiary, provide that the consideration to be received upon the exercise or vesting of an Option, Stock Appreciation Right, Restricted Stock Award, Deferred Award or Other Stock-Based Award, for each Share subject thereto, will be solely common stock of the successor company or its parent or subsidiary substantially equal in fair market value to the per share consideration received by holders of Shares in the transaction constituting a Change in Control. The determination of such substantial equality of value of consideration shall be made by the Committee in its sole discretion and its determination shall be conclusive and binding.</w:t>
      </w:r>
    </w:p>
    <w:p>
      <w:pPr>
        <w:spacing w:after="0" w:line="184" w:lineRule="exact"/>
        <w:rPr>
          <w:rFonts w:ascii="Times New Roman" w:cs="Times New Roman" w:eastAsia="Times New Roman" w:hAnsi="Times New Roman"/>
          <w:sz w:val="18"/>
          <w:szCs w:val="18"/>
          <w:color w:val="auto"/>
        </w:rPr>
      </w:pPr>
    </w:p>
    <w:p>
      <w:pPr>
        <w:jc w:val="both"/>
        <w:ind w:firstLine="2338"/>
        <w:spacing w:after="0" w:line="268" w:lineRule="auto"/>
        <w:tabs>
          <w:tab w:leader="none" w:pos="3248" w:val="left"/>
        </w:tabs>
        <w:numPr>
          <w:ilvl w:val="1"/>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i w:val="1"/>
          <w:iCs w:val="1"/>
          <w:color w:val="auto"/>
        </w:rPr>
        <w:t>Other Adjustments</w:t>
      </w:r>
      <w:r>
        <w:rPr>
          <w:rFonts w:ascii="Times New Roman" w:cs="Times New Roman" w:eastAsia="Times New Roman" w:hAnsi="Times New Roman"/>
          <w:sz w:val="18"/>
          <w:szCs w:val="18"/>
          <w:color w:val="auto"/>
        </w:rPr>
        <w:t>. The Committee (and the Board if and only to the extent such authority is not required to be</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exercised by the Committee to comply with Section 162(m) of the Code) is authorized to make adjustments in the terms and conditions of, and the criteria included in, Awards (including Performance Awards, or performance goals relating thereto) in</w:t>
      </w:r>
    </w:p>
    <w:p>
      <w:pPr>
        <w:spacing w:after="0" w:line="39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210820</wp:posOffset>
            </wp:positionV>
            <wp:extent cx="7289165" cy="4254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549" w:right="239" w:bottom="1440" w:gutter="0" w:footer="0" w:header="0"/>
        </w:sectPr>
      </w:pPr>
    </w:p>
    <w:bookmarkStart w:id="21" w:name="page22"/>
    <w:bookmarkEnd w:id="21"/>
    <w:p>
      <w:pPr>
        <w:jc w:val="both"/>
        <w:spacing w:after="0" w:line="255" w:lineRule="auto"/>
        <w:rPr>
          <w:sz w:val="20"/>
          <w:szCs w:val="20"/>
          <w:color w:val="auto"/>
        </w:rPr>
      </w:pPr>
      <w:r>
        <w:rPr>
          <w:rFonts w:ascii="Times New Roman" w:cs="Times New Roman" w:eastAsia="Times New Roman" w:hAnsi="Times New Roman"/>
          <w:sz w:val="18"/>
          <w:szCs w:val="18"/>
          <w:color w:val="auto"/>
        </w:rPr>
        <w:t>recognition of unusual or nonrecurring events (including, without limitation, acquisitions and dispositions of businesses and assets) affecting the Company, any Related Entity or any business unit, or the financial statements of the Company or any Related Entity, or in response to changes in applicable laws, regulations, accounting principles, tax rates and regulations or business conditions or in view of the Committee’s assessment of the business strategy of the Company, any Related Entity or business unit thereof, performance of comparable organizations, economic and business conditions, personal performance of a Participant, and any other circumstances deemed relevant, provided that no such adjustment shall be authorized or made if and to the extent that such authority or the making of such adjustment would cause Options, Stock Appreciation Rights, Performance Awards granted pursuant to Section 9(b) hereof to Participants designated by the Committee as Covered Employees and intended to qualify as “performance-based compensation” under Code Section 162(m) and the regulations thereunder to otherwise fail to qualify as “performance-based compensation” under Code Section 162(m) and regulations thereunder.</w:t>
      </w:r>
    </w:p>
    <w:p>
      <w:pPr>
        <w:spacing w:after="0" w:line="181" w:lineRule="exact"/>
        <w:rPr>
          <w:sz w:val="20"/>
          <w:szCs w:val="20"/>
          <w:color w:val="auto"/>
        </w:rPr>
      </w:pPr>
    </w:p>
    <w:p>
      <w:pPr>
        <w:jc w:val="both"/>
        <w:ind w:firstLine="1561"/>
        <w:spacing w:after="0" w:line="256" w:lineRule="auto"/>
        <w:tabs>
          <w:tab w:leader="none" w:pos="2411" w:val="left"/>
        </w:tabs>
        <w:numPr>
          <w:ilvl w:val="0"/>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i w:val="1"/>
          <w:iCs w:val="1"/>
          <w:color w:val="auto"/>
        </w:rPr>
        <w:t>Award Agreements</w:t>
      </w:r>
      <w:r>
        <w:rPr>
          <w:rFonts w:ascii="Times New Roman" w:cs="Times New Roman" w:eastAsia="Times New Roman" w:hAnsi="Times New Roman"/>
          <w:sz w:val="18"/>
          <w:szCs w:val="18"/>
          <w:color w:val="auto"/>
        </w:rPr>
        <w:t>. Each Award Agreement shall either be (i) in writing in a form approved by the Committee and</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executed by the Company by an officer duly authorized to act on its behalf, or (ii) an electronic notice in a form approved by the Committee and recorded by the Company (or its designee) in an electronic recordkeeping system used for the purpose of tracking one or more types of Awards as the Committee may provide; in each case and if required by the Committee, the Award Agreement shall be executed or otherwise electronically accepted by the recipient of the Award in such form and manner as the Committee may require. The Committee may authorize any officer of the Company to execute any or all Award Agreements on behalf of the Company. The Award Agreement shall set forth the material terms and conditions of the Award as established by the Committee consistent with the provisions of the Plan.</w:t>
      </w:r>
    </w:p>
    <w:p>
      <w:pPr>
        <w:spacing w:after="0" w:line="183" w:lineRule="exact"/>
        <w:rPr>
          <w:rFonts w:ascii="Times New Roman" w:cs="Times New Roman" w:eastAsia="Times New Roman" w:hAnsi="Times New Roman"/>
          <w:sz w:val="18"/>
          <w:szCs w:val="18"/>
          <w:color w:val="auto"/>
        </w:rPr>
      </w:pPr>
    </w:p>
    <w:p>
      <w:pPr>
        <w:jc w:val="both"/>
        <w:ind w:firstLine="1561"/>
        <w:spacing w:after="0" w:line="255" w:lineRule="auto"/>
        <w:tabs>
          <w:tab w:leader="none" w:pos="2401" w:val="left"/>
        </w:tabs>
        <w:numPr>
          <w:ilvl w:val="0"/>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i w:val="1"/>
          <w:iCs w:val="1"/>
          <w:color w:val="auto"/>
        </w:rPr>
        <w:t>Taxes</w:t>
      </w:r>
      <w:r>
        <w:rPr>
          <w:rFonts w:ascii="Times New Roman" w:cs="Times New Roman" w:eastAsia="Times New Roman" w:hAnsi="Times New Roman"/>
          <w:sz w:val="18"/>
          <w:szCs w:val="18"/>
          <w:color w:val="auto"/>
        </w:rPr>
        <w:t>. The Company and any Related Entity are authorized to withhold from any Award granted, any payment relating to</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an Award under the Plan, including from a distribution of Shares, or any payroll or other payment to a Participant, amounts of withholding and other taxes due or potentially payable in connection with any transaction involving an Award, and to take such other action as the Committee may deem advisable to enable the Company or any Related Entity and Participants to satisfy obligations for the payment of withholding taxes and other tax obligations relating to any Award. This authority shall include authority to withhold or receive Shares or other property and to make cash payments equal in value to the Shares withheld or received from the Participant in satisfaction of a Participant’s tax obligations, either on a mandatory or elective basis in the discretion of the Committee. The amount of withholding tax paid with respect to an Award by the withholding of Shares otherwise deliverable pursuant to the Award or by delivering Shares already owned shall not exceed the minimum statutory withholding required with respect to that Award.</w:t>
      </w:r>
    </w:p>
    <w:p>
      <w:pPr>
        <w:spacing w:after="0" w:line="185" w:lineRule="exact"/>
        <w:rPr>
          <w:rFonts w:ascii="Times New Roman" w:cs="Times New Roman" w:eastAsia="Times New Roman" w:hAnsi="Times New Roman"/>
          <w:sz w:val="18"/>
          <w:szCs w:val="18"/>
          <w:color w:val="auto"/>
        </w:rPr>
      </w:pPr>
    </w:p>
    <w:p>
      <w:pPr>
        <w:jc w:val="both"/>
        <w:ind w:firstLine="1561"/>
        <w:spacing w:after="0" w:line="255" w:lineRule="auto"/>
        <w:tabs>
          <w:tab w:leader="none" w:pos="2381" w:val="left"/>
        </w:tabs>
        <w:numPr>
          <w:ilvl w:val="0"/>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i w:val="1"/>
          <w:iCs w:val="1"/>
          <w:color w:val="auto"/>
        </w:rPr>
        <w:t>Changes to the Plan and Awards</w:t>
      </w:r>
      <w:r>
        <w:rPr>
          <w:rFonts w:ascii="Times New Roman" w:cs="Times New Roman" w:eastAsia="Times New Roman" w:hAnsi="Times New Roman"/>
          <w:sz w:val="18"/>
          <w:szCs w:val="18"/>
          <w:color w:val="auto"/>
        </w:rPr>
        <w:t>. The Board may amend, alter, suspend, discontinue or terminate the Plan, or the</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Committee’s authority to grant Awards under the Plan, without the consent of shareholders or Participants, except that any amendment or alteration to the Plan shall be subject to the approval of the Company’s shareholders not later than the annual meeting next following such Board action if such shareholder approval is required by any federal or state law or regulation (including, without limitation, Rule 16b-3 or Code Section 162(m)) or the rules of the Listing Market, and the Board may otherwise, in its discretion, determine to submit other such changes to the Plan to shareholders for approval; provided that, without the consent of an affected Participant, no such Board action may materially and adversely affect the rights of such Participant under any previously granted and outstanding Award. The Committee may waive any conditions or rights under, or amend, alter, suspend, discontinue or terminate any Award theretofore granted and any Award Agreement relating thereto, except as otherwise provided in the Plan; provided that, without the consent of an affected Participant, no such Committee or the Board action may materially and adversely affect the rights of such Participant under such Award.</w:t>
      </w:r>
    </w:p>
    <w:p>
      <w:pPr>
        <w:spacing w:after="0" w:line="181" w:lineRule="exact"/>
        <w:rPr>
          <w:rFonts w:ascii="Times New Roman" w:cs="Times New Roman" w:eastAsia="Times New Roman" w:hAnsi="Times New Roman"/>
          <w:sz w:val="18"/>
          <w:szCs w:val="18"/>
          <w:color w:val="auto"/>
        </w:rPr>
      </w:pPr>
    </w:p>
    <w:p>
      <w:pPr>
        <w:jc w:val="both"/>
        <w:ind w:firstLine="1561"/>
        <w:spacing w:after="0" w:line="253" w:lineRule="auto"/>
        <w:tabs>
          <w:tab w:leader="none" w:pos="2411" w:val="left"/>
        </w:tabs>
        <w:numPr>
          <w:ilvl w:val="0"/>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i w:val="1"/>
          <w:iCs w:val="1"/>
          <w:color w:val="auto"/>
        </w:rPr>
        <w:t>Limitation on Rights Conferred Under Plan</w:t>
      </w:r>
      <w:r>
        <w:rPr>
          <w:rFonts w:ascii="Times New Roman" w:cs="Times New Roman" w:eastAsia="Times New Roman" w:hAnsi="Times New Roman"/>
          <w:sz w:val="18"/>
          <w:szCs w:val="18"/>
          <w:color w:val="auto"/>
        </w:rPr>
        <w:t>. Neither the Plan nor any action taken hereunder or under any Award shall be</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construed as (i) giving any Eligible Person or Participant the right to continue as an Eligible Person or Participant or in the employ or service of the Company or a Related Entity; (ii) interfering in any way with the right of the Company or a Related Entity to terminate any Eligible Person’s or Participant’s Continuous Service at any time, (iii) giving an Eligible Person or Participant any claim to be granted any Award under the Plan or to be treated uniformly with other Participants and Employees, or (iv) conferring on a Participant any of the rights of a shareholder of the Company or any Related Entity including, without limitation, any right to receive dividends or distributions, any right to vote or act by written consent, any right to attend meetings of shareholders or any right to receive any information concerning the Company’s or any Related Entity’s business, financial condition, results of operation or prospects, unless and until such time as the Participant is duly issued Shares on the stock books of the Company or any Related Entity’s in accordance with the terms of an Award. None of the Company, its officers or its directors shall have any fiduciary obligation to the Participant with respect to any Shares awarded pursuant to this Plan unless and until the Participant is duly issued Shares pursuant to the Award on the stock books of the Company in accordance with the terms of an Award. Neither the Company, nor any Related Entity, nor any of their respective officers, directors, representatives or agents are granting any rights under the Plan to the Participant whatsoever, oral or written, express or implied, other than those rights expressly set forth in this Plan or the Award Agreement.</w:t>
      </w:r>
    </w:p>
    <w:p>
      <w:pPr>
        <w:spacing w:after="0" w:line="200" w:lineRule="exact"/>
        <w:rPr>
          <w:sz w:val="20"/>
          <w:szCs w:val="20"/>
          <w:color w:val="auto"/>
        </w:rPr>
      </w:pPr>
    </w:p>
    <w:p>
      <w:pPr>
        <w:spacing w:after="0" w:line="21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210820</wp:posOffset>
            </wp:positionV>
            <wp:extent cx="7289165" cy="4254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553" w:right="239" w:bottom="1440" w:gutter="0" w:footer="0" w:header="0"/>
        </w:sectPr>
      </w:pPr>
    </w:p>
    <w:bookmarkStart w:id="22" w:name="page23"/>
    <w:bookmarkEnd w:id="22"/>
    <w:p>
      <w:pPr>
        <w:jc w:val="both"/>
        <w:ind w:firstLine="1561"/>
        <w:spacing w:after="0" w:line="256" w:lineRule="auto"/>
        <w:tabs>
          <w:tab w:leader="none" w:pos="2411" w:val="left"/>
        </w:tabs>
        <w:numPr>
          <w:ilvl w:val="0"/>
          <w:numId w:val="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i w:val="1"/>
          <w:iCs w:val="1"/>
          <w:color w:val="auto"/>
        </w:rPr>
        <w:t>Unfunded Status of Awards; Creation of Trusts</w:t>
      </w:r>
      <w:r>
        <w:rPr>
          <w:rFonts w:ascii="Times New Roman" w:cs="Times New Roman" w:eastAsia="Times New Roman" w:hAnsi="Times New Roman"/>
          <w:sz w:val="18"/>
          <w:szCs w:val="18"/>
          <w:color w:val="auto"/>
        </w:rPr>
        <w:t>. The Plan is intended to constitute an “unfunded” plan for incentive and</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deferred compensation. With respect to any payments not yet made to a Participant or obligation to deliver Shares pursuant to an Award, nothing contained in the Plan or any Award Agreement shall give any such Participant any rights that are greater than those of a general creditor of the Company; provided that the Committee may authorize the creation of trusts and deposit therein cash, Shares, other Awards or other property, or make other arrangements to meet the Company’s obligations under the Plan. Such trusts or other arrangements shall be consistent with the “unfunded” status of the Plan unless the Committee otherwise determines with the consent of each affected Participant. The trustee of such trusts may be authorized to dispose of trust assets and reinvest the proceeds in alternative investments, subject to such terms and conditions as the Committee may specify and in accordance with applicable law.</w:t>
      </w:r>
    </w:p>
    <w:p>
      <w:pPr>
        <w:spacing w:after="0" w:line="183" w:lineRule="exact"/>
        <w:rPr>
          <w:rFonts w:ascii="Times New Roman" w:cs="Times New Roman" w:eastAsia="Times New Roman" w:hAnsi="Times New Roman"/>
          <w:sz w:val="18"/>
          <w:szCs w:val="18"/>
          <w:color w:val="auto"/>
        </w:rPr>
      </w:pPr>
    </w:p>
    <w:p>
      <w:pPr>
        <w:jc w:val="both"/>
        <w:ind w:firstLine="1561"/>
        <w:spacing w:after="0" w:line="268" w:lineRule="auto"/>
        <w:tabs>
          <w:tab w:leader="none" w:pos="2371" w:val="left"/>
        </w:tabs>
        <w:numPr>
          <w:ilvl w:val="0"/>
          <w:numId w:val="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i w:val="1"/>
          <w:iCs w:val="1"/>
          <w:color w:val="auto"/>
        </w:rPr>
        <w:t>Nonexclusivity of the Plan</w:t>
      </w:r>
      <w:r>
        <w:rPr>
          <w:rFonts w:ascii="Times New Roman" w:cs="Times New Roman" w:eastAsia="Times New Roman" w:hAnsi="Times New Roman"/>
          <w:sz w:val="18"/>
          <w:szCs w:val="18"/>
          <w:color w:val="auto"/>
        </w:rPr>
        <w:t>. Neither the adoption of the Plan by the Board nor its submission to the shareholders of the</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Company for approval shall be construed as creating any limitations on the power of the Board or a committee thereof to adopt such other incentive arrangements as it may deem desirable including incentive arrangements and awards which do not qualify under Section 162(m) of the Code.</w:t>
      </w:r>
    </w:p>
    <w:p>
      <w:pPr>
        <w:spacing w:after="0" w:line="170" w:lineRule="exact"/>
        <w:rPr>
          <w:rFonts w:ascii="Times New Roman" w:cs="Times New Roman" w:eastAsia="Times New Roman" w:hAnsi="Times New Roman"/>
          <w:sz w:val="18"/>
          <w:szCs w:val="18"/>
          <w:color w:val="auto"/>
        </w:rPr>
      </w:pPr>
    </w:p>
    <w:p>
      <w:pPr>
        <w:jc w:val="both"/>
        <w:ind w:firstLine="1561"/>
        <w:spacing w:after="0" w:line="259" w:lineRule="auto"/>
        <w:tabs>
          <w:tab w:leader="none" w:pos="2371" w:val="left"/>
        </w:tabs>
        <w:numPr>
          <w:ilvl w:val="0"/>
          <w:numId w:val="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i w:val="1"/>
          <w:iCs w:val="1"/>
          <w:color w:val="auto"/>
        </w:rPr>
        <w:t>Payments in the Event of Forfeitures; Fractional Shares</w:t>
      </w:r>
      <w:r>
        <w:rPr>
          <w:rFonts w:ascii="Times New Roman" w:cs="Times New Roman" w:eastAsia="Times New Roman" w:hAnsi="Times New Roman"/>
          <w:sz w:val="18"/>
          <w:szCs w:val="18"/>
          <w:color w:val="auto"/>
        </w:rPr>
        <w:t>. Unless otherwise determined by the Committee, in the event of a</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forfeiture of an Award with respect to which a Participant paid cash or other consideration, the Participant shall be repaid the amount of such cash or other consideration. No fractional Shares shall be issued or delivered pursuant to the Plan or any Award. The Committee shall determine whether cash, other Awards or other property shall be issued or paid in lieu of such fractional shares or whether such fractional shares or any rights thereto shall be forfeited or otherwise eliminated.</w:t>
      </w:r>
    </w:p>
    <w:p>
      <w:pPr>
        <w:spacing w:after="0" w:line="179" w:lineRule="exact"/>
        <w:rPr>
          <w:rFonts w:ascii="Times New Roman" w:cs="Times New Roman" w:eastAsia="Times New Roman" w:hAnsi="Times New Roman"/>
          <w:sz w:val="18"/>
          <w:szCs w:val="18"/>
          <w:color w:val="auto"/>
        </w:rPr>
      </w:pPr>
    </w:p>
    <w:p>
      <w:pPr>
        <w:jc w:val="both"/>
        <w:ind w:firstLine="1561"/>
        <w:spacing w:after="0" w:line="268" w:lineRule="auto"/>
        <w:tabs>
          <w:tab w:leader="none" w:pos="2411" w:val="left"/>
        </w:tabs>
        <w:numPr>
          <w:ilvl w:val="0"/>
          <w:numId w:val="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i w:val="1"/>
          <w:iCs w:val="1"/>
          <w:color w:val="auto"/>
        </w:rPr>
        <w:t>Governing Law</w:t>
      </w:r>
      <w:r>
        <w:rPr>
          <w:rFonts w:ascii="Times New Roman" w:cs="Times New Roman" w:eastAsia="Times New Roman" w:hAnsi="Times New Roman"/>
          <w:sz w:val="18"/>
          <w:szCs w:val="18"/>
          <w:color w:val="auto"/>
        </w:rPr>
        <w:t>. Except as otherwise provided in any Award Agreement, the validity, construction and effect of the Plan,</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any rules and regulations under the Plan, and any Award Agreement shall be determined in accordance with the laws of the State of Delaware without giving effect to principles of conflict of laws, and applicable federal law.</w:t>
      </w:r>
    </w:p>
    <w:p>
      <w:pPr>
        <w:spacing w:after="0" w:line="170" w:lineRule="exact"/>
        <w:rPr>
          <w:rFonts w:ascii="Times New Roman" w:cs="Times New Roman" w:eastAsia="Times New Roman" w:hAnsi="Times New Roman"/>
          <w:sz w:val="18"/>
          <w:szCs w:val="18"/>
          <w:color w:val="auto"/>
        </w:rPr>
      </w:pPr>
    </w:p>
    <w:p>
      <w:pPr>
        <w:jc w:val="both"/>
        <w:ind w:firstLine="1561"/>
        <w:spacing w:after="0" w:line="268" w:lineRule="auto"/>
        <w:tabs>
          <w:tab w:leader="none" w:pos="2371" w:val="left"/>
        </w:tabs>
        <w:numPr>
          <w:ilvl w:val="0"/>
          <w:numId w:val="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i w:val="1"/>
          <w:iCs w:val="1"/>
          <w:color w:val="auto"/>
        </w:rPr>
        <w:t>Non-U.S. Laws</w:t>
      </w:r>
      <w:r>
        <w:rPr>
          <w:rFonts w:ascii="Times New Roman" w:cs="Times New Roman" w:eastAsia="Times New Roman" w:hAnsi="Times New Roman"/>
          <w:sz w:val="18"/>
          <w:szCs w:val="18"/>
          <w:color w:val="auto"/>
        </w:rPr>
        <w:t>. The Committee shall have the authority to adopt such modifications, procedures, and subplans as may be</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necessary or desirable to comply with provisions of the laws of foreign countries in which the Company or its Subsidiaries may operate to assure the viability of the benefits from Awards granted to Participants performing services in such countries and to meet the objectives of the Plan.</w:t>
      </w:r>
    </w:p>
    <w:p>
      <w:pPr>
        <w:spacing w:after="0" w:line="170" w:lineRule="exact"/>
        <w:rPr>
          <w:rFonts w:ascii="Times New Roman" w:cs="Times New Roman" w:eastAsia="Times New Roman" w:hAnsi="Times New Roman"/>
          <w:sz w:val="18"/>
          <w:szCs w:val="18"/>
          <w:color w:val="auto"/>
        </w:rPr>
      </w:pPr>
    </w:p>
    <w:p>
      <w:pPr>
        <w:jc w:val="both"/>
        <w:ind w:firstLine="1561"/>
        <w:spacing w:after="0" w:line="255" w:lineRule="auto"/>
        <w:tabs>
          <w:tab w:leader="none" w:pos="2461" w:val="left"/>
        </w:tabs>
        <w:numPr>
          <w:ilvl w:val="0"/>
          <w:numId w:val="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i w:val="1"/>
          <w:iCs w:val="1"/>
          <w:color w:val="auto"/>
        </w:rPr>
        <w:t>Plan Effective Date and Shareholder Approval; Termination of Plan</w:t>
      </w:r>
      <w:r>
        <w:rPr>
          <w:rFonts w:ascii="Times New Roman" w:cs="Times New Roman" w:eastAsia="Times New Roman" w:hAnsi="Times New Roman"/>
          <w:sz w:val="18"/>
          <w:szCs w:val="18"/>
          <w:color w:val="auto"/>
        </w:rPr>
        <w:t>. The Plan shall become effective on the Effective</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Date which is the date the Plan was approved by shareholders of the Company eligible to vote in the election of directors, by a vote sufficient to meet the requirements of Code Sections 162(m) (if applicable) and 422, Rule 16b-3 under the Exchange Act (if applicable), applicable requirements under the rules of any stock exchange or automated quotation system on which the Shares may be listed or quoted, and other laws, regulations, and obligations of the Company applicable to the Plan. Awards may be granted subject to shareholder approval, but may not be exercised or otherwise settled in the event the shareholder approval is not obtained. The Plan shall terminate at the earliest of (a) such time as no Shares remain available for issuance under the Plan, (b) termination of this Plan by the Board, or (c) the tenth anniversary of the Effective Date. Awards outstanding upon expiration of the Plan shall remain in effect until they have been exercised or terminated, or have expired.</w:t>
      </w:r>
    </w:p>
    <w:p>
      <w:pPr>
        <w:spacing w:after="0" w:line="185" w:lineRule="exact"/>
        <w:rPr>
          <w:rFonts w:ascii="Times New Roman" w:cs="Times New Roman" w:eastAsia="Times New Roman" w:hAnsi="Times New Roman"/>
          <w:sz w:val="18"/>
          <w:szCs w:val="18"/>
          <w:color w:val="auto"/>
        </w:rPr>
      </w:pPr>
    </w:p>
    <w:p>
      <w:pPr>
        <w:jc w:val="both"/>
        <w:ind w:firstLine="1561"/>
        <w:spacing w:after="0" w:line="268" w:lineRule="auto"/>
        <w:tabs>
          <w:tab w:leader="none" w:pos="2411" w:val="left"/>
        </w:tabs>
        <w:numPr>
          <w:ilvl w:val="0"/>
          <w:numId w:val="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i w:val="1"/>
          <w:iCs w:val="1"/>
          <w:color w:val="auto"/>
        </w:rPr>
        <w:t>Construction and Interpretation</w:t>
      </w:r>
      <w:r>
        <w:rPr>
          <w:rFonts w:ascii="Times New Roman" w:cs="Times New Roman" w:eastAsia="Times New Roman" w:hAnsi="Times New Roman"/>
          <w:sz w:val="18"/>
          <w:szCs w:val="18"/>
          <w:color w:val="auto"/>
        </w:rPr>
        <w:t>. Whenever used herein, nouns in the singular shall include the plural, and the masculine</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pronoun shall include the feminine gender. Headings of Articles and Sections hereof are inserted for convenience and reference and constitute no part of the Plan.</w:t>
      </w:r>
    </w:p>
    <w:p>
      <w:pPr>
        <w:spacing w:after="0" w:line="170" w:lineRule="exact"/>
        <w:rPr>
          <w:rFonts w:ascii="Times New Roman" w:cs="Times New Roman" w:eastAsia="Times New Roman" w:hAnsi="Times New Roman"/>
          <w:sz w:val="18"/>
          <w:szCs w:val="18"/>
          <w:color w:val="auto"/>
        </w:rPr>
      </w:pPr>
    </w:p>
    <w:p>
      <w:pPr>
        <w:jc w:val="both"/>
        <w:ind w:firstLine="1561"/>
        <w:spacing w:after="0" w:line="268" w:lineRule="auto"/>
        <w:tabs>
          <w:tab w:leader="none" w:pos="2411" w:val="left"/>
        </w:tabs>
        <w:numPr>
          <w:ilvl w:val="0"/>
          <w:numId w:val="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i w:val="1"/>
          <w:iCs w:val="1"/>
          <w:color w:val="auto"/>
        </w:rPr>
        <w:t>Severability</w:t>
      </w:r>
      <w:r>
        <w:rPr>
          <w:rFonts w:ascii="Times New Roman" w:cs="Times New Roman" w:eastAsia="Times New Roman" w:hAnsi="Times New Roman"/>
          <w:sz w:val="18"/>
          <w:szCs w:val="18"/>
          <w:color w:val="auto"/>
        </w:rPr>
        <w:t>. If any provision of the Plan or any Award Agreement shall be determined to be illegal or unenforceable by any</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court of law in any jurisdiction, the remaining provisions hereof and thereof shall be severable and enforceable in accordance with their terms, and all provisions shall remain enforceable in any other jurisdiction.</w:t>
      </w:r>
    </w:p>
    <w:p>
      <w:pPr>
        <w:spacing w:after="0" w:line="39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17</w:t>
      </w:r>
    </w:p>
    <w:sectPr>
      <w:pgSz w:w="11900" w:h="16838" w:orient="portrait"/>
      <w:cols w:equalWidth="0" w:num="1">
        <w:col w:w="11420"/>
      </w:cols>
      <w:pgMar w:left="240" w:top="549" w:right="2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4E6AFB66"/>
    <w:multiLevelType w:val="hybridMultilevel"/>
    <w:lvl w:ilvl="0">
      <w:lvlJc w:val="left"/>
      <w:lvlText w:val="☐"/>
      <w:numFmt w:val="bullet"/>
      <w:start w:val="1"/>
    </w:lvl>
  </w:abstractNum>
  <w:abstractNum w:abstractNumId="1">
    <w:nsid w:val="25E45D32"/>
    <w:multiLevelType w:val="hybridMultilevel"/>
    <w:lvl w:ilvl="0">
      <w:lvlJc w:val="left"/>
      <w:lvlText w:val="%1."/>
      <w:numFmt w:val="decimal"/>
      <w:start w:val="1"/>
    </w:lvl>
    <w:lvl w:ilvl="1">
      <w:lvlJc w:val="left"/>
      <w:lvlText w:val="(%2)"/>
      <w:numFmt w:val="lowerLetter"/>
      <w:start w:val="1"/>
    </w:lvl>
  </w:abstractNum>
  <w:abstractNum w:abstractNumId="2">
    <w:nsid w:val="519B500D"/>
    <w:multiLevelType w:val="hybridMultilevel"/>
    <w:lvl w:ilvl="0">
      <w:lvlJc w:val="left"/>
      <w:lvlText w:val="(%1)"/>
      <w:numFmt w:val="lowerLetter"/>
      <w:start w:val="11"/>
    </w:lvl>
  </w:abstractNum>
  <w:abstractNum w:abstractNumId="3">
    <w:nsid w:val="431BD7B7"/>
    <w:multiLevelType w:val="hybridMultilevel"/>
    <w:lvl w:ilvl="0">
      <w:lvlJc w:val="left"/>
      <w:lvlText w:val="(%1)"/>
      <w:numFmt w:val="lowerLetter"/>
      <w:start w:val="24"/>
    </w:lvl>
  </w:abstractNum>
  <w:abstractNum w:abstractNumId="4">
    <w:nsid w:val="3F2DBA31"/>
    <w:multiLevelType w:val="hybridMultilevel"/>
    <w:lvl w:ilvl="0">
      <w:lvlJc w:val="left"/>
      <w:lvlText w:val="(%1)"/>
      <w:numFmt w:val="lowerLetter"/>
      <w:start w:val="27"/>
    </w:lvl>
  </w:abstractNum>
  <w:abstractNum w:abstractNumId="5">
    <w:nsid w:val="7C83E458"/>
    <w:multiLevelType w:val="hybridMultilevel"/>
    <w:lvl w:ilvl="0">
      <w:lvlJc w:val="left"/>
      <w:lvlText w:val="%1"/>
      <w:numFmt w:val="decimal"/>
      <w:start w:val="1"/>
    </w:lvl>
    <w:lvl w:ilvl="1">
      <w:lvlJc w:val="left"/>
      <w:lvlText w:val="(%2)"/>
      <w:numFmt w:val="lowerLetter"/>
      <w:start w:val="36"/>
    </w:lvl>
  </w:abstractNum>
  <w:abstractNum w:abstractNumId="6">
    <w:nsid w:val="257130A3"/>
    <w:multiLevelType w:val="hybridMultilevel"/>
    <w:lvl w:ilvl="0">
      <w:lvlJc w:val="left"/>
      <w:lvlText w:val="%1."/>
      <w:numFmt w:val="decimal"/>
      <w:start w:val="3"/>
    </w:lvl>
    <w:lvl w:ilvl="1">
      <w:lvlJc w:val="left"/>
      <w:lvlText w:val="%2"/>
      <w:numFmt w:val="lowerLetter"/>
      <w:start w:val="1"/>
    </w:lvl>
  </w:abstractNum>
  <w:abstractNum w:abstractNumId="7">
    <w:nsid w:val="62BBD95A"/>
    <w:multiLevelType w:val="hybridMultilevel"/>
    <w:lvl w:ilvl="0">
      <w:lvlJc w:val="left"/>
      <w:lvlText w:val="%1"/>
      <w:numFmt w:val="decimal"/>
      <w:start w:val="1"/>
    </w:lvl>
    <w:lvl w:ilvl="1">
      <w:lvlJc w:val="left"/>
      <w:lvlText w:val="(%2)"/>
      <w:numFmt w:val="lowerLetter"/>
      <w:start w:val="1"/>
    </w:lvl>
    <w:lvl w:ilvl="2">
      <w:lvlJc w:val="left"/>
      <w:lvlText w:val="%3"/>
      <w:numFmt w:val="lowerLetter"/>
      <w:start w:val="1"/>
    </w:lvl>
  </w:abstractNum>
  <w:abstractNum w:abstractNumId="8">
    <w:nsid w:val="436C6125"/>
    <w:multiLevelType w:val="hybridMultilevel"/>
    <w:lvl w:ilvl="0">
      <w:lvlJc w:val="left"/>
      <w:lvlText w:val="%1."/>
      <w:numFmt w:val="decimal"/>
      <w:start w:val="4"/>
    </w:lvl>
    <w:lvl w:ilvl="1">
      <w:lvlJc w:val="left"/>
      <w:lvlText w:val="(%2)"/>
      <w:numFmt w:val="lowerLetter"/>
      <w:start w:val="1"/>
    </w:lvl>
    <w:lvl w:ilvl="2">
      <w:lvlJc w:val="left"/>
      <w:lvlText w:val="(%3)"/>
      <w:numFmt w:val="lowerLetter"/>
      <w:start w:val="9"/>
    </w:lvl>
  </w:abstractNum>
  <w:abstractNum w:abstractNumId="9">
    <w:nsid w:val="628C895D"/>
    <w:multiLevelType w:val="hybridMultilevel"/>
    <w:lvl w:ilvl="0">
      <w:lvlJc w:val="left"/>
      <w:lvlText w:val="%1"/>
      <w:numFmt w:val="decimal"/>
      <w:start w:val="1"/>
    </w:lvl>
    <w:lvl w:ilvl="1">
      <w:lvlJc w:val="left"/>
      <w:lvlText w:val="%2"/>
      <w:numFmt w:val="lowerLetter"/>
      <w:start w:val="1"/>
    </w:lvl>
    <w:lvl w:ilvl="2">
      <w:lvlJc w:val="left"/>
      <w:lvlText w:val="(%3)"/>
      <w:numFmt w:val="lowerRoman"/>
      <w:start w:val="2"/>
    </w:lvl>
  </w:abstractNum>
  <w:abstractNum w:abstractNumId="10">
    <w:nsid w:val="333AB105"/>
    <w:multiLevelType w:val="hybridMultilevel"/>
    <w:lvl w:ilvl="0">
      <w:lvlJc w:val="left"/>
      <w:lvlText w:val="%1"/>
      <w:numFmt w:val="decimal"/>
      <w:start w:val="1"/>
    </w:lvl>
    <w:lvl w:ilvl="1">
      <w:lvlJc w:val="left"/>
      <w:lvlText w:val="(%2)"/>
      <w:numFmt w:val="lowerLetter"/>
      <w:start w:val="4"/>
    </w:lvl>
    <w:lvl w:ilvl="2">
      <w:lvlJc w:val="left"/>
      <w:lvlText w:val="%3"/>
      <w:numFmt w:val="lowerRoman"/>
      <w:start w:val="1"/>
    </w:lvl>
  </w:abstractNum>
  <w:abstractNum w:abstractNumId="11">
    <w:nsid w:val="721DA317"/>
    <w:multiLevelType w:val="hybridMultilevel"/>
    <w:lvl w:ilvl="0">
      <w:lvlJc w:val="left"/>
      <w:lvlText w:val="%1."/>
      <w:numFmt w:val="decimal"/>
      <w:start w:val="5"/>
    </w:lvl>
    <w:lvl w:ilvl="1">
      <w:lvlJc w:val="left"/>
      <w:lvlText w:val="(%2)"/>
      <w:numFmt w:val="lowerLetter"/>
      <w:start w:val="1"/>
    </w:lvl>
    <w:lvl w:ilvl="2">
      <w:lvlJc w:val="left"/>
      <w:lvlText w:val="%3"/>
      <w:numFmt w:val="lowerRoman"/>
      <w:start w:val="1"/>
    </w:lvl>
  </w:abstractNum>
  <w:abstractNum w:abstractNumId="12">
    <w:nsid w:val="2443A858"/>
    <w:multiLevelType w:val="hybridMultilevel"/>
    <w:lvl w:ilvl="0">
      <w:lvlJc w:val="left"/>
      <w:lvlText w:val="(%1)"/>
      <w:numFmt w:val="lowerLetter"/>
      <w:start w:val="2"/>
    </w:lvl>
    <w:lvl w:ilvl="1">
      <w:lvlJc w:val="left"/>
      <w:lvlText w:val="(%2)"/>
      <w:numFmt w:val="lowerRoman"/>
      <w:start w:val="1"/>
    </w:lvl>
    <w:lvl w:ilvl="2">
      <w:lvlJc w:val="left"/>
      <w:lvlText w:val="(%3)"/>
      <w:numFmt w:val="upperLetter"/>
      <w:start w:val="1"/>
    </w:lvl>
  </w:abstractNum>
  <w:abstractNum w:abstractNumId="13">
    <w:nsid w:val="2D1D5AE9"/>
    <w:multiLevelType w:val="hybridMultilevel"/>
    <w:lvl w:ilvl="0">
      <w:lvlJc w:val="left"/>
      <w:lvlText w:val="%1"/>
      <w:numFmt w:val="lowerLetter"/>
      <w:start w:val="1"/>
    </w:lvl>
    <w:lvl w:ilvl="1">
      <w:lvlJc w:val="left"/>
      <w:lvlText w:val="%2"/>
      <w:numFmt w:val="lowerRoman"/>
      <w:start w:val="1"/>
    </w:lvl>
    <w:lvl w:ilvl="2">
      <w:lvlJc w:val="left"/>
      <w:lvlText w:val="(%3)"/>
      <w:numFmt w:val="upperLetter"/>
      <w:start w:val="3"/>
    </w:lvl>
  </w:abstractNum>
  <w:abstractNum w:abstractNumId="14">
    <w:nsid w:val="6763845E"/>
    <w:multiLevelType w:val="hybridMultilevel"/>
    <w:lvl w:ilvl="0">
      <w:lvlJc w:val="left"/>
      <w:lvlText w:val="(%1)"/>
      <w:numFmt w:val="lowerLetter"/>
      <w:start w:val="3"/>
    </w:lvl>
    <w:lvl w:ilvl="1">
      <w:lvlJc w:val="left"/>
      <w:lvlText w:val="(%2)"/>
      <w:numFmt w:val="lowerRoman"/>
      <w:start w:val="1"/>
    </w:lvl>
    <w:lvl w:ilvl="2">
      <w:lvlJc w:val="left"/>
      <w:lvlText w:val="%3"/>
      <w:numFmt w:val="upperLetter"/>
      <w:start w:val="1"/>
    </w:lvl>
  </w:abstractNum>
  <w:abstractNum w:abstractNumId="15">
    <w:nsid w:val="75A2A8D4"/>
    <w:multiLevelType w:val="hybridMultilevel"/>
    <w:lvl w:ilvl="0">
      <w:lvlJc w:val="left"/>
      <w:lvlText w:val="%1"/>
      <w:numFmt w:val="upperLetter"/>
      <w:start w:val="1"/>
    </w:lvl>
    <w:lvl w:ilvl="1">
      <w:lvlJc w:val="left"/>
      <w:lvlText w:val="%2"/>
      <w:numFmt w:val="lowerLetter"/>
      <w:start w:val="1"/>
    </w:lvl>
    <w:lvl w:ilvl="2">
      <w:lvlJc w:val="left"/>
      <w:lvlText w:val="(%3)"/>
      <w:numFmt w:val="lowerRoman"/>
      <w:start w:val="4"/>
    </w:lvl>
  </w:abstractNum>
  <w:abstractNum w:abstractNumId="16">
    <w:nsid w:val="8EDBDAB"/>
    <w:multiLevelType w:val="hybridMultilevel"/>
    <w:lvl w:ilvl="0">
      <w:lvlJc w:val="left"/>
      <w:lvlText w:val="%1"/>
      <w:numFmt w:val="upperLetter"/>
      <w:start w:val="1"/>
    </w:lvl>
    <w:lvl w:ilvl="1">
      <w:lvlJc w:val="left"/>
      <w:lvlText w:val="(%2)"/>
      <w:numFmt w:val="lowerLetter"/>
      <w:start w:val="5"/>
    </w:lvl>
    <w:lvl w:ilvl="2">
      <w:lvlJc w:val="left"/>
      <w:lvlText w:val="(%3)"/>
      <w:numFmt w:val="lowerRoman"/>
      <w:start w:val="1"/>
    </w:lvl>
  </w:abstractNum>
  <w:abstractNum w:abstractNumId="17">
    <w:nsid w:val="79838CB2"/>
    <w:multiLevelType w:val="hybridMultilevel"/>
    <w:lvl w:ilvl="0">
      <w:lvlJc w:val="left"/>
      <w:lvlText w:val="(%1)"/>
      <w:numFmt w:val="upperLetter"/>
      <w:start w:val="1"/>
    </w:lvl>
    <w:lvl w:ilvl="1">
      <w:lvlJc w:val="left"/>
      <w:lvlText w:val="(%2)"/>
      <w:numFmt w:val="lowerLetter"/>
      <w:start w:val="6"/>
    </w:lvl>
    <w:lvl w:ilvl="2">
      <w:lvlJc w:val="left"/>
      <w:lvlText w:val="%3"/>
      <w:numFmt w:val="lowerRoman"/>
      <w:start w:val="1"/>
    </w:lvl>
  </w:abstractNum>
  <w:abstractNum w:abstractNumId="18">
    <w:nsid w:val="4353D0CD"/>
    <w:multiLevelType w:val="hybridMultilevel"/>
    <w:lvl w:ilvl="0">
      <w:lvlJc w:val="left"/>
      <w:lvlText w:val="%1"/>
      <w:numFmt w:val="decimal"/>
      <w:start w:val="1"/>
    </w:lvl>
    <w:lvl w:ilvl="1">
      <w:lvlJc w:val="left"/>
      <w:lvlText w:val="(%2)"/>
      <w:numFmt w:val="lowerLetter"/>
      <w:start w:val="8"/>
    </w:lvl>
  </w:abstractNum>
  <w:abstractNum w:abstractNumId="19">
    <w:nsid w:val="B03E0C6"/>
    <w:multiLevelType w:val="hybridMultilevel"/>
    <w:lvl w:ilvl="0">
      <w:lvlJc w:val="left"/>
      <w:lvlText w:val="%1."/>
      <w:numFmt w:val="decimal"/>
      <w:start w:val="8"/>
    </w:lvl>
    <w:lvl w:ilvl="1">
      <w:lvlJc w:val="left"/>
      <w:lvlText w:val="(%2)"/>
      <w:numFmt w:val="lowerLetter"/>
      <w:start w:val="1"/>
    </w:lvl>
  </w:abstractNum>
  <w:abstractNum w:abstractNumId="20">
    <w:nsid w:val="189A769B"/>
    <w:multiLevelType w:val="hybridMultilevel"/>
    <w:lvl w:ilvl="0">
      <w:lvlJc w:val="left"/>
      <w:lvlText w:val="(%1)"/>
      <w:numFmt w:val="lowerLetter"/>
      <w:start w:val="4"/>
    </w:lvl>
    <w:lvl w:ilvl="1">
      <w:lvlJc w:val="left"/>
      <w:lvlText w:val="(%2)"/>
      <w:numFmt w:val="lowerRoman"/>
      <w:start w:val="1"/>
    </w:lvl>
    <w:lvl w:ilvl="2">
      <w:lvlJc w:val="left"/>
      <w:lvlText w:val="(%3)"/>
      <w:numFmt w:val="upperLetter"/>
      <w:start w:val="1"/>
    </w:lvl>
  </w:abstractNum>
  <w:abstractNum w:abstractNumId="21">
    <w:nsid w:val="54E49EB4"/>
    <w:multiLevelType w:val="hybridMultilevel"/>
    <w:lvl w:ilvl="0">
      <w:lvlJc w:val="left"/>
      <w:lvlText w:val="(%1)"/>
      <w:numFmt w:val="lowerRoman"/>
      <w:start w:val="3"/>
    </w:lvl>
  </w:abstractNum>
  <w:abstractNum w:abstractNumId="22">
    <w:nsid w:val="71F32454"/>
    <w:multiLevelType w:val="hybridMultilevel"/>
    <w:lvl w:ilvl="0">
      <w:lvlJc w:val="left"/>
      <w:lvlText w:val="%1"/>
      <w:numFmt w:val="decimal"/>
      <w:start w:val="1"/>
    </w:lvl>
    <w:lvl w:ilvl="1">
      <w:lvlJc w:val="left"/>
      <w:lvlText w:val="%2"/>
      <w:numFmt w:val="decimal"/>
      <w:start w:val="1"/>
    </w:lvl>
    <w:lvl w:ilvl="2">
      <w:lvlJc w:val="left"/>
      <w:lvlText w:val="(%3)"/>
      <w:numFmt w:val="lowerLetter"/>
      <w:start w:val="6"/>
    </w:lvl>
    <w:lvl w:ilvl="3">
      <w:lvlJc w:val="left"/>
      <w:lvlText w:val="(%4)"/>
      <w:numFmt w:val="lowerRoman"/>
      <w:start w:val="1"/>
    </w:lvl>
  </w:abstractNum>
  <w:abstractNum w:abstractNumId="23">
    <w:nsid w:val="2CA88611"/>
    <w:multiLevelType w:val="hybridMultilevel"/>
    <w:lvl w:ilvl="0">
      <w:lvlJc w:val="left"/>
      <w:lvlText w:val="%1"/>
      <w:numFmt w:val="decimal"/>
      <w:start w:val="1"/>
    </w:lvl>
    <w:lvl w:ilvl="1">
      <w:lvlJc w:val="left"/>
      <w:lvlText w:val="%2."/>
      <w:numFmt w:val="decimal"/>
      <w:start w:val="9"/>
    </w:lvl>
    <w:lvl w:ilvl="2">
      <w:lvlJc w:val="left"/>
      <w:lvlText w:val="(%3)"/>
      <w:numFmt w:val="lowerLetter"/>
      <w:start w:val="1"/>
    </w:lvl>
    <w:lvl w:ilvl="3">
      <w:lvlJc w:val="left"/>
      <w:lvlText w:val="%4"/>
      <w:numFmt w:val="lowerRoman"/>
      <w:start w:val="1"/>
    </w:lvl>
  </w:abstractNum>
  <w:abstractNum w:abstractNumId="24">
    <w:nsid w:val="836C40E"/>
    <w:multiLevelType w:val="hybridMultilevel"/>
    <w:lvl w:ilvl="0">
      <w:lvlJc w:val="left"/>
      <w:lvlText w:val="(%1)"/>
      <w:numFmt w:val="decimal"/>
      <w:start w:val="5"/>
    </w:lvl>
    <w:lvl w:ilvl="1">
      <w:lvlJc w:val="left"/>
      <w:lvlText w:val="%2"/>
      <w:numFmt w:val="decimal"/>
      <w:start w:val="1"/>
    </w:lvl>
    <w:lvl w:ilvl="2">
      <w:lvlJc w:val="left"/>
      <w:lvlText w:val="(%3)"/>
      <w:numFmt w:val="lowerLetter"/>
      <w:start w:val="3"/>
    </w:lvl>
    <w:lvl w:ilvl="3">
      <w:lvlJc w:val="left"/>
      <w:lvlText w:val="%4"/>
      <w:numFmt w:val="lowerRoman"/>
      <w:start w:val="1"/>
    </w:lvl>
  </w:abstractNum>
  <w:abstractNum w:abstractNumId="25">
    <w:nsid w:val="2901D82"/>
    <w:multiLevelType w:val="hybridMultilevel"/>
    <w:lvl w:ilvl="0">
      <w:lvlJc w:val="left"/>
      <w:lvlText w:val="%1"/>
      <w:numFmt w:val="decimal"/>
      <w:start w:val="1"/>
    </w:lvl>
    <w:lvl w:ilvl="1">
      <w:lvlJc w:val="left"/>
      <w:lvlText w:val="(%2)"/>
      <w:numFmt w:val="lowerLetter"/>
      <w:start w:val="4"/>
    </w:lvl>
    <w:lvl w:ilvl="2">
      <w:lvlJc w:val="left"/>
      <w:lvlText w:val="%3"/>
      <w:numFmt w:val="lowerRoman"/>
      <w:start w:val="1"/>
    </w:lvl>
  </w:abstractNum>
  <w:abstractNum w:abstractNumId="26">
    <w:nsid w:val="3A95F874"/>
    <w:multiLevelType w:val="hybridMultilevel"/>
    <w:lvl w:ilvl="0">
      <w:lvlJc w:val="left"/>
      <w:lvlText w:val="%1."/>
      <w:numFmt w:val="decimal"/>
      <w:start w:val="10"/>
    </w:lvl>
    <w:lvl w:ilvl="1">
      <w:lvlJc w:val="left"/>
      <w:lvlText w:val="(%2)"/>
      <w:numFmt w:val="lowerLetter"/>
      <w:start w:val="1"/>
    </w:lvl>
    <w:lvl w:ilvl="2">
      <w:lvlJc w:val="left"/>
      <w:lvlText w:val="(%3)"/>
      <w:numFmt w:val="lowerRoman"/>
      <w:start w:val="1"/>
    </w:lvl>
  </w:abstractNum>
  <w:abstractNum w:abstractNumId="27">
    <w:nsid w:val="8138641"/>
    <w:multiLevelType w:val="hybridMultilevel"/>
    <w:lvl w:ilvl="0">
      <w:lvlJc w:val="left"/>
      <w:lvlText w:val="%1"/>
      <w:numFmt w:val="decimal"/>
      <w:start w:val="1"/>
    </w:lvl>
    <w:lvl w:ilvl="1">
      <w:lvlJc w:val="left"/>
      <w:lvlText w:val="%2"/>
      <w:numFmt w:val="lowerLetter"/>
      <w:start w:val="1"/>
    </w:lvl>
    <w:lvl w:ilvl="2">
      <w:lvlJc w:val="left"/>
      <w:lvlText w:val="(%3)"/>
      <w:numFmt w:val="lowerRoman"/>
      <w:start w:val="3"/>
    </w:lvl>
  </w:abstractNum>
  <w:abstractNum w:abstractNumId="28">
    <w:nsid w:val="1E7FF521"/>
    <w:multiLevelType w:val="hybridMultilevel"/>
    <w:lvl w:ilvl="0">
      <w:lvlJc w:val="left"/>
      <w:lvlText w:val="%1."/>
      <w:numFmt w:val="decimal"/>
      <w:start w:val="11"/>
    </w:lvl>
    <w:lvl w:ilvl="1">
      <w:lvlJc w:val="left"/>
      <w:lvlText w:val="(%2)"/>
      <w:numFmt w:val="lowerLetter"/>
      <w:start w:val="1"/>
    </w:lvl>
    <w:lvl w:ilvl="2">
      <w:lvlJc w:val="left"/>
      <w:lvlText w:val="%3"/>
      <w:numFmt w:val="lowerRoman"/>
      <w:start w:val="1"/>
    </w:lvl>
  </w:abstractNum>
  <w:abstractNum w:abstractNumId="29">
    <w:nsid w:val="7C3DBD3D"/>
    <w:multiLevelType w:val="hybridMultilevel"/>
    <w:lvl w:ilvl="0">
      <w:lvlJc w:val="left"/>
      <w:lvlText w:val="(%1)"/>
      <w:numFmt w:val="lowerLetter"/>
      <w:start w:val="3"/>
    </w:lvl>
    <w:lvl w:ilvl="1">
      <w:lvlJc w:val="left"/>
      <w:lvlText w:val="(%2)"/>
      <w:numFmt w:val="lowerRoman"/>
      <w:start w:val="1"/>
    </w:lvl>
    <w:lvl w:ilvl="2">
      <w:lvlJc w:val="left"/>
      <w:lvlText w:val="(%3)"/>
      <w:numFmt w:val="upperLetter"/>
      <w:start w:val="1"/>
    </w:lvl>
  </w:abstractNum>
  <w:abstractNum w:abstractNumId="30">
    <w:nsid w:val="737B8DDC"/>
    <w:multiLevelType w:val="hybridMultilevel"/>
    <w:lvl w:ilvl="0">
      <w:lvlJc w:val="left"/>
      <w:lvlText w:val="(%1)"/>
      <w:numFmt w:val="lowerLetter"/>
      <w:start w:val="4"/>
    </w:lvl>
  </w:abstractNum>
  <w:abstractNum w:abstractNumId="31">
    <w:nsid w:val="6CEAF087"/>
    <w:multiLevelType w:val="hybridMultilevel"/>
    <w:lvl w:ilvl="0">
      <w:lvlJc w:val="left"/>
      <w:lvlText w:val="(%1)"/>
      <w:numFmt w:val="lowerLetter"/>
      <w:start w:val="8"/>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2019-12-28T07:01:41Z</dcterms:created>
  <dcterms:modified xsi:type="dcterms:W3CDTF">2019-12-28T07:01:41Z</dcterms:modified>
</cp:coreProperties>
</file>