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Presser Mitchell</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05/01/2007</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54"/>
        <w:spacing w:after="0" w:line="268" w:lineRule="auto"/>
        <w:rPr>
          <w:sz w:val="20"/>
          <w:szCs w:val="20"/>
          <w:color w:val="auto"/>
        </w:rPr>
      </w:pPr>
      <w:r>
        <w:rPr>
          <w:rFonts w:ascii="Arial" w:cs="Arial" w:eastAsia="Arial" w:hAnsi="Arial"/>
          <w:sz w:val="18"/>
          <w:szCs w:val="18"/>
          <w:color w:val="0000FF"/>
        </w:rPr>
        <w:t>C/O CASUAL MALE RETAIL GROUP,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Confirming Statement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Dennis R. Hernreich, Attorney- </w:t>
      </w:r>
      <w:r>
        <w:rPr>
          <w:rFonts w:ascii="Arial" w:cs="Arial" w:eastAsia="Arial" w:hAnsi="Arial"/>
          <w:sz w:val="35"/>
          <w:szCs w:val="35"/>
          <w:color w:val="0000FF"/>
          <w:vertAlign w:val="subscript"/>
        </w:rPr>
        <w:t>05/02/2007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Mitchell Presser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28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87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Mitchell Presser,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 2007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MITCHELL PRESSER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MITCHELL PRESSER</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97393"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2019-12-16T04:58:49Z</dcterms:created>
  <dcterms:modified xsi:type="dcterms:W3CDTF">2019-12-16T04:58:49Z</dcterms:modified>
</cp:coreProperties>
</file>