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August 21, 2003</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48"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21" w:lineRule="exact"/>
        <w:rPr>
          <w:sz w:val="24"/>
          <w:szCs w:val="24"/>
          <w:color w:val="auto"/>
        </w:rPr>
      </w:pPr>
    </w:p>
    <w:p>
      <w:pPr>
        <w:sectPr>
          <w:pgSz w:w="11900" w:h="16848"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pacing w:after="0" w:line="22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ectPr>
          <w:pgSz w:w="11900" w:h="16848" w:orient="portrait"/>
          <w:cols w:equalWidth="0" w:num="1">
            <w:col w:w="10219"/>
          </w:cols>
          <w:pgMar w:left="240" w:top="447" w:right="1440" w:bottom="0" w:gutter="0" w:footer="0" w:header="0"/>
          <w:type w:val="continuous"/>
        </w:sectPr>
      </w:pP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(c) Exhibits</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Exhibit No.</w:t>
      </w:r>
    </w:p>
    <w:p>
      <w:pPr>
        <w:ind w:left="860"/>
        <w:spacing w:after="0" w:line="238" w:lineRule="auto"/>
        <w:rPr>
          <w:sz w:val="20"/>
          <w:szCs w:val="20"/>
          <w:color w:val="auto"/>
        </w:rPr>
      </w:pPr>
      <w:r>
        <w:rPr>
          <w:rFonts w:ascii="Courier New" w:cs="Courier New" w:eastAsia="Courier New" w:hAnsi="Courier New"/>
          <w:sz w:val="18"/>
          <w:szCs w:val="18"/>
          <w:color w:val="auto"/>
        </w:rPr>
        <w:t>99.1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announcing Casual Male Retail Group,</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Inc.'s Second Quarter Fiscal 2004 Results.</w:t>
      </w:r>
    </w:p>
    <w:p>
      <w:pPr>
        <w:spacing w:after="0" w:line="200" w:lineRule="exact"/>
        <w:rPr>
          <w:sz w:val="24"/>
          <w:szCs w:val="24"/>
          <w:color w:val="auto"/>
        </w:rPr>
      </w:pPr>
    </w:p>
    <w:p>
      <w:pPr>
        <w:sectPr>
          <w:pgSz w:w="11900" w:h="16848" w:orient="portrait"/>
          <w:cols w:equalWidth="0" w:num="2">
            <w:col w:w="2120" w:space="420"/>
            <w:col w:w="7679"/>
          </w:cols>
          <w:pgMar w:left="240" w:top="447" w:right="1440" w:bottom="0" w:gutter="0" w:footer="0" w:header="0"/>
          <w:type w:val="continuous"/>
        </w:sectPr>
      </w:pPr>
    </w:p>
    <w:p>
      <w:pPr>
        <w:spacing w:after="0" w:line="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 August 21, 2003, Casual Male Retail Group, Inc. (the "Company") issued</w:t>
      </w:r>
    </w:p>
    <w:p>
      <w:pPr>
        <w:spacing w:after="0" w:line="4"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 press release announcing, among other things, results for the second quarter of the Company's fiscal 2004. A copy of the press release is attached hereto as Exhibit 99.1 and is incorporated by reference herein.</w:t>
      </w:r>
    </w:p>
    <w:p>
      <w:pPr>
        <w:spacing w:after="0" w:line="209" w:lineRule="exact"/>
        <w:rPr>
          <w:sz w:val="24"/>
          <w:szCs w:val="24"/>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Company's press release, in addition to containing results that are determined in accordance with accounting principles generally accepted in the United States of America, also contains pro forma financial information, as</w:t>
      </w:r>
    </w:p>
    <w:p>
      <w:pPr>
        <w:spacing w:after="0" w:line="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Company operated its Casual Male business for the second quarter and six months ended August 3, 2002. On May 14, 2002, during the second quarter of the prior fiscal year, the Company completed the acquisition of substantially all of the assets of Casual Male Corp. and certain of its subsidiaries for a purchase price of approximately $170 million, plus the assumption of certain operating liabilities. In view of the significance of the Casual Male acquisition to the growth and future identity of the Company, pro forma financial information for the Casual Male business is included in the Company's press release.</w:t>
      </w:r>
    </w:p>
    <w:p>
      <w:pPr>
        <w:sectPr>
          <w:pgSz w:w="11900" w:h="16848" w:orient="portrait"/>
          <w:cols w:equalWidth="0" w:num="1">
            <w:col w:w="10219"/>
          </w:cols>
          <w:pgMar w:left="240" w:top="447" w:right="1440"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21, 2003</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A. Levin</w:t>
      </w:r>
    </w:p>
    <w:p>
      <w:pPr>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7" w:lineRule="auto"/>
        <w:rPr>
          <w:sz w:val="20"/>
          <w:szCs w:val="20"/>
          <w:color w:val="auto"/>
        </w:rPr>
      </w:pPr>
      <w:r>
        <w:rPr>
          <w:rFonts w:ascii="Courier New" w:cs="Courier New" w:eastAsia="Courier New" w:hAnsi="Courier New"/>
          <w:sz w:val="18"/>
          <w:szCs w:val="18"/>
          <w:color w:val="auto"/>
        </w:rPr>
        <w:t>(781) 828-9300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Dennis R. Hernreich</w:t>
      </w:r>
    </w:p>
    <w:p>
      <w:pPr>
        <w:spacing w:after="0" w:line="238" w:lineRule="auto"/>
        <w:rPr>
          <w:sz w:val="20"/>
          <w:szCs w:val="20"/>
          <w:color w:val="auto"/>
        </w:rPr>
      </w:pPr>
      <w:r>
        <w:rPr>
          <w:rFonts w:ascii="Courier New" w:cs="Courier New" w:eastAsia="Courier New" w:hAnsi="Courier New"/>
          <w:sz w:val="18"/>
          <w:szCs w:val="18"/>
          <w:color w:val="auto"/>
        </w:rPr>
        <w:t>Executive Vice President, COO/CFO</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7" w:lineRule="auto"/>
        <w:rPr>
          <w:sz w:val="20"/>
          <w:szCs w:val="20"/>
          <w:color w:val="auto"/>
        </w:rPr>
      </w:pPr>
      <w:r>
        <w:rPr>
          <w:rFonts w:ascii="Courier New" w:cs="Courier New" w:eastAsia="Courier New" w:hAnsi="Courier New"/>
          <w:sz w:val="18"/>
          <w:szCs w:val="18"/>
          <w:color w:val="auto"/>
        </w:rPr>
        <w:t>(781) 828-9300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w:t>
      </w:r>
    </w:p>
    <w:p>
      <w:pPr>
        <w:spacing w:after="0" w:line="238" w:lineRule="auto"/>
        <w:rPr>
          <w:sz w:val="20"/>
          <w:szCs w:val="20"/>
          <w:color w:val="auto"/>
        </w:rPr>
      </w:pPr>
      <w:r>
        <w:rPr>
          <w:rFonts w:ascii="Courier New" w:cs="Courier New" w:eastAsia="Courier New" w:hAnsi="Courier New"/>
          <w:sz w:val="18"/>
          <w:szCs w:val="18"/>
          <w:color w:val="auto"/>
        </w:rPr>
        <w:t>Vice President of Investor Relations</w:t>
      </w:r>
    </w:p>
    <w:p>
      <w:pPr>
        <w:spacing w:after="0"/>
        <w:rPr>
          <w:sz w:val="20"/>
          <w:szCs w:val="20"/>
          <w:color w:val="auto"/>
        </w:rPr>
      </w:pPr>
      <w:r>
        <w:rPr>
          <w:rFonts w:ascii="Courier New" w:cs="Courier New" w:eastAsia="Courier New" w:hAnsi="Courier New"/>
          <w:sz w:val="18"/>
          <w:szCs w:val="18"/>
          <w:color w:val="auto"/>
        </w:rPr>
        <w:t>Casual Male Retail Group, Inc.</w:t>
      </w:r>
    </w:p>
    <w:p>
      <w:pPr>
        <w:ind w:left="740" w:hanging="732"/>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514-0115</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CASUAL MALE RETAIL GROUP INC. ANNOUNCES SECOND QUARTER</w:t>
      </w:r>
    </w:p>
    <w:p>
      <w:pPr>
        <w:ind w:left="3060"/>
        <w:spacing w:after="0" w:line="238" w:lineRule="auto"/>
        <w:rPr>
          <w:sz w:val="20"/>
          <w:szCs w:val="20"/>
          <w:color w:val="auto"/>
        </w:rPr>
      </w:pPr>
      <w:r>
        <w:rPr>
          <w:rFonts w:ascii="Courier New" w:cs="Courier New" w:eastAsia="Courier New" w:hAnsi="Courier New"/>
          <w:sz w:val="18"/>
          <w:szCs w:val="18"/>
          <w:color w:val="auto"/>
        </w:rPr>
        <w:t>FISCAL 2004 RESULTS</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CANTON, MA (August 21, 2003) -- Casual Male Retail Group, Inc. (NASDAQ/NMS: "CMRG"), retail brand operator of Casual Male Big &amp; Tall, Levi's(r)/Dockers(r) Outlet by Designs, EcKo Unltd.(r) outlet stores and the George Foreman Signature Collection and Comfort Zone, today announced its operating results for the second quarter and six months ended August 2, 2003. The results include the results of the Company's acquisition of its Casual Male business since May 14, 2002.</w:t>
      </w:r>
    </w:p>
    <w:p>
      <w:pPr>
        <w:spacing w:after="0" w:line="21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On a consolidated basis, for the second quarter of fiscal 2004, the Company reported net income of approximately $0.7 million, or $0.02 per diluted share, as compared to a net loss of $12.9 million, or $0.80 per diluted share, for the second quarter of fiscal 2003. For the six months ended August 2, 2003, the Company reported a net loss of $2.0 million, or $0.06 per diluted share, as compared to a net loss of $14.7 million, or $0.95 per diluted share for the comparable period last year. The prior year results for the second quarter and six months ended August 3, 2002 include restructuring charges totaling $11.1 million related to its Levi's(r)/Dockers(r) business.</w:t>
      </w:r>
    </w:p>
    <w:p>
      <w:pPr>
        <w:spacing w:after="0" w:line="184"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The Company's Casual Male business reported operating income for the second quarter of fiscal 2004 of approximately $4.2 million. On a pro forma basis, as if the Company owned Casual Male for the full second quarter of the prior year, the Casual Male business had operating income of approximately $3.5 million. For the six months ended August 2, 2003, the Casual Male business reported operating income of approximately $6.7 million as compared to $3.1 million on a pro forma basis for the corresponding period of the prior year. This improvement in operating income was achieved primarily through lower operating expenses notwithstanding a decrease in total sales from the Casual Male business on a pro forma basis of 3.0% and 5.0% for the three and six months ended August 2, 2003. Similarly on a pro forma basis, the Casual Male business reported comparable store sales decreases of 2.3% for the second quarter of fiscal 2004 and 3.6% for the six months ended August 2, 2003.</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Other Branded Apparel business, which includes its Levi's(r)/Dockers(r) outlet stores and its growing EcKo Unltd.(r) outlet stores, reported an operating loss for the second quarter of fiscal 2004 of $0.5 million as compared to an operating loss of $9.6 million for the second quarter of fiscal 2003. For the six months ended August 2, 2003, the Company's Other Branded Apparel business reported an operating loss of $2.8 million as compared to an operating loss of $11.7 million for the six months ended August 3, 2002. As mentioned, the prior year results for the three</w:t>
      </w:r>
    </w:p>
    <w:p>
      <w:pPr>
        <w:spacing w:after="0" w:line="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and six months ended August 3, 2002 include $11.1 million in restructuring charges of which $7.3 million relate to the continuing operations of the Company's Other Branded Apparel. The remaining $3.8 million of the charge was for stores which subsequently have closed and therefore is reflected within discontinued operations on the Company's results of operations for the three and six months ended August 3, 2002.</w:t>
      </w:r>
    </w:p>
    <w:p>
      <w:pPr>
        <w:spacing w:after="0" w:line="210" w:lineRule="exact"/>
        <w:rPr>
          <w:sz w:val="20"/>
          <w:szCs w:val="20"/>
          <w:color w:val="auto"/>
        </w:rPr>
      </w:pPr>
    </w:p>
    <w:p>
      <w:pPr>
        <w:ind w:right="2419"/>
        <w:spacing w:after="0" w:line="270" w:lineRule="auto"/>
        <w:rPr>
          <w:sz w:val="20"/>
          <w:szCs w:val="20"/>
          <w:color w:val="auto"/>
        </w:rPr>
      </w:pPr>
      <w:r>
        <w:rPr>
          <w:rFonts w:ascii="Courier New" w:cs="Courier New" w:eastAsia="Courier New" w:hAnsi="Courier New"/>
          <w:sz w:val="16"/>
          <w:szCs w:val="16"/>
          <w:color w:val="auto"/>
        </w:rPr>
        <w:t>The table below reflects actual results from continuing operations for the Company for the second quarter and six months ended August 2, 2003 and is compared to pro forma results for the second quarter and six months ended August 3, 2002 assuming that the Company's Casual Male acquisition had occurred on February 3, 2002. The Company has included in the table the historical operating results of the Casual Male business prior to the Company's acquisition. These results have been prepared on a consistent basis with the pro forma information presented in the Company's recent Form 10-K and Form 10-Q filings. The prior year pro forma results do not include any adjustments for the expected annual $20 to $25 million of cost</w:t>
      </w:r>
    </w:p>
    <w:p>
      <w:pPr>
        <w:sectPr>
          <w:pgSz w:w="11900" w:h="16838" w:orient="portrait"/>
          <w:cols w:equalWidth="0" w:num="1">
            <w:col w:w="10219"/>
          </w:cols>
          <w:pgMar w:left="240" w:top="541" w:right="1440" w:bottom="0" w:gutter="0" w:footer="0" w:header="0"/>
        </w:sectPr>
      </w:pPr>
    </w:p>
    <w:bookmarkStart w:id="3" w:name="page4"/>
    <w:bookmarkEnd w:id="3"/>
    <w:p>
      <w:pPr>
        <w:spacing w:after="0"/>
        <w:tabs>
          <w:tab w:leader="none" w:pos="6000" w:val="left"/>
        </w:tabs>
        <w:rPr>
          <w:sz w:val="20"/>
          <w:szCs w:val="20"/>
          <w:color w:val="auto"/>
        </w:rPr>
      </w:pPr>
      <w:r>
        <w:rPr>
          <w:rFonts w:ascii="Courier New" w:cs="Courier New" w:eastAsia="Courier New" w:hAnsi="Courier New"/>
          <w:sz w:val="18"/>
          <w:szCs w:val="18"/>
          <w:color w:val="auto"/>
        </w:rPr>
        <w:t>savings and synergies for periods after the prior year.</w:t>
      </w:r>
      <w:r>
        <w:rPr>
          <w:sz w:val="20"/>
          <w:szCs w:val="20"/>
          <w:color w:val="auto"/>
        </w:rPr>
        <w:tab/>
      </w:r>
      <w:r>
        <w:rPr>
          <w:rFonts w:ascii="Courier New" w:cs="Courier New" w:eastAsia="Courier New" w:hAnsi="Courier New"/>
          <w:sz w:val="16"/>
          <w:szCs w:val="16"/>
          <w:color w:val="auto"/>
        </w:rPr>
        <w:t>The operating</w:t>
      </w:r>
    </w:p>
    <w:p>
      <w:pPr>
        <w:spacing w:after="0" w:line="238" w:lineRule="auto"/>
        <w:rPr>
          <w:sz w:val="20"/>
          <w:szCs w:val="20"/>
          <w:color w:val="auto"/>
        </w:rPr>
      </w:pPr>
      <w:r>
        <w:rPr>
          <w:rFonts w:ascii="Courier New" w:cs="Courier New" w:eastAsia="Courier New" w:hAnsi="Courier New"/>
          <w:sz w:val="18"/>
          <w:szCs w:val="18"/>
          <w:color w:val="auto"/>
        </w:rPr>
        <w:t>results of the Company's Other Branded Apparel business on a continuing</w:t>
      </w:r>
    </w:p>
    <w:p>
      <w:pPr>
        <w:spacing w:after="0"/>
        <w:rPr>
          <w:sz w:val="20"/>
          <w:szCs w:val="20"/>
          <w:color w:val="auto"/>
        </w:rPr>
      </w:pPr>
      <w:r>
        <w:rPr>
          <w:rFonts w:ascii="Courier New" w:cs="Courier New" w:eastAsia="Courier New" w:hAnsi="Courier New"/>
          <w:sz w:val="18"/>
          <w:szCs w:val="18"/>
          <w:color w:val="auto"/>
        </w:rPr>
        <w:t>basis, exclusive of discontinued operations, which includes its EcKo Unltd.(r)</w:t>
      </w:r>
    </w:p>
    <w:p>
      <w:pPr>
        <w:spacing w:after="0" w:line="237" w:lineRule="auto"/>
        <w:rPr>
          <w:sz w:val="20"/>
          <w:szCs w:val="20"/>
          <w:color w:val="auto"/>
        </w:rPr>
      </w:pPr>
      <w:r>
        <w:rPr>
          <w:rFonts w:ascii="Courier New" w:cs="Courier New" w:eastAsia="Courier New" w:hAnsi="Courier New"/>
          <w:sz w:val="18"/>
          <w:szCs w:val="18"/>
          <w:color w:val="auto"/>
        </w:rPr>
        <w:t>outlet stores, primarily reflects the operating loss associated with the</w:t>
      </w:r>
    </w:p>
    <w:p>
      <w:pPr>
        <w:spacing w:after="0" w:line="238" w:lineRule="auto"/>
        <w:rPr>
          <w:sz w:val="20"/>
          <w:szCs w:val="20"/>
          <w:color w:val="auto"/>
        </w:rPr>
      </w:pPr>
      <w:r>
        <w:rPr>
          <w:rFonts w:ascii="Courier New" w:cs="Courier New" w:eastAsia="Courier New" w:hAnsi="Courier New"/>
          <w:sz w:val="18"/>
          <w:szCs w:val="18"/>
          <w:color w:val="auto"/>
        </w:rPr>
        <w:t>Levi's(r)/Dockers(r) outlet stores which the Company is in the process of</w:t>
      </w:r>
    </w:p>
    <w:p>
      <w:pPr>
        <w:spacing w:after="0"/>
        <w:rPr>
          <w:sz w:val="20"/>
          <w:szCs w:val="20"/>
          <w:color w:val="auto"/>
        </w:rPr>
      </w:pPr>
      <w:r>
        <w:rPr>
          <w:rFonts w:ascii="Courier New" w:cs="Courier New" w:eastAsia="Courier New" w:hAnsi="Courier New"/>
          <w:sz w:val="18"/>
          <w:szCs w:val="18"/>
          <w:color w:val="auto"/>
        </w:rPr>
        <w:t>exiting: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by Business Segment, exclusive of discontinued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gridSpan w:val="3"/>
          </w:tcPr>
          <w:p>
            <w:pPr>
              <w:spacing w:after="0"/>
              <w:rPr>
                <w:sz w:val="20"/>
                <w:szCs w:val="20"/>
                <w:color w:val="auto"/>
              </w:rPr>
            </w:pPr>
            <w:r>
              <w:rPr>
                <w:rFonts w:ascii="Courier New" w:cs="Courier New" w:eastAsia="Courier New" w:hAnsi="Courier New"/>
                <w:sz w:val="18"/>
                <w:szCs w:val="18"/>
                <w:color w:val="auto"/>
              </w:rPr>
              <w:t>For the three months ended:</w:t>
            </w:r>
          </w:p>
        </w:tc>
        <w:tc>
          <w:tcPr>
            <w:tcW w:w="260" w:type="dxa"/>
            <w:vAlign w:val="bottom"/>
          </w:tcPr>
          <w:p>
            <w:pPr>
              <w:spacing w:after="0"/>
              <w:rPr>
                <w:sz w:val="17"/>
                <w:szCs w:val="17"/>
                <w:color w:val="auto"/>
              </w:rPr>
            </w:pPr>
          </w:p>
        </w:tc>
        <w:tc>
          <w:tcPr>
            <w:tcW w:w="190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August 2, 2003</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0" w:type="dxa"/>
            <w:vAlign w:val="bottom"/>
            <w:gridSpan w:val="4"/>
          </w:tcPr>
          <w:p>
            <w:pPr>
              <w:jc w:val="right"/>
              <w:ind w:right="452"/>
              <w:spacing w:after="0"/>
              <w:rPr>
                <w:sz w:val="20"/>
                <w:szCs w:val="20"/>
                <w:color w:val="auto"/>
              </w:rPr>
            </w:pPr>
            <w:r>
              <w:rPr>
                <w:rFonts w:ascii="Courier New" w:cs="Courier New" w:eastAsia="Courier New" w:hAnsi="Courier New"/>
                <w:sz w:val="18"/>
                <w:szCs w:val="18"/>
                <w:color w:val="auto"/>
                <w:w w:val="95"/>
              </w:rPr>
              <w:t>August 3, 2002</w:t>
            </w:r>
          </w:p>
        </w:tc>
      </w:tr>
      <w:tr>
        <w:trPr>
          <w:trHeight w:val="203"/>
        </w:trPr>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(pro-forma)</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Other</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Other</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Branded</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Branded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Casual Male</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Apparel</w:t>
            </w:r>
          </w:p>
        </w:tc>
        <w:tc>
          <w:tcPr>
            <w:tcW w:w="1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Combined</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Casual Male</w:t>
            </w: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Apparel</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190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business</w:t>
            </w:r>
          </w:p>
        </w:tc>
        <w:tc>
          <w:tcPr>
            <w:tcW w:w="1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Company</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business</w:t>
            </w: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business</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Company</w:t>
            </w:r>
          </w:p>
        </w:tc>
      </w:tr>
      <w:tr>
        <w:trPr>
          <w:trHeight w:val="203"/>
        </w:trPr>
        <w:tc>
          <w:tcPr>
            <w:tcW w:w="1900" w:type="dxa"/>
            <w:vAlign w:val="bottom"/>
          </w:tcPr>
          <w:p>
            <w:pPr>
              <w:spacing w:after="0"/>
              <w:rPr>
                <w:sz w:val="17"/>
                <w:szCs w:val="17"/>
                <w:color w:val="auto"/>
              </w:rPr>
            </w:pPr>
          </w:p>
        </w:tc>
        <w:tc>
          <w:tcPr>
            <w:tcW w:w="3380" w:type="dxa"/>
            <w:vAlign w:val="bottom"/>
            <w:gridSpan w:val="6"/>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31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78.9</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33.1</w:t>
            </w:r>
          </w:p>
        </w:tc>
        <w:tc>
          <w:tcPr>
            <w:tcW w:w="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112.0</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81.3</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36.6</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$ 117.9</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Gross margin, net of</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54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32.2</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w:t>
            </w:r>
          </w:p>
        </w:tc>
        <w:tc>
          <w:tcPr>
            <w:tcW w:w="28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40.1</w:t>
            </w:r>
          </w:p>
        </w:tc>
        <w:tc>
          <w:tcPr>
            <w:tcW w:w="4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34.2</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Gross margin rate</w:t>
            </w:r>
          </w:p>
        </w:tc>
        <w:tc>
          <w:tcPr>
            <w:tcW w:w="5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40.8%</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23.9%</w:t>
            </w:r>
          </w:p>
        </w:tc>
        <w:tc>
          <w:tcPr>
            <w:tcW w:w="2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35.8%</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42.1%</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54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26.4</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w:t>
            </w:r>
          </w:p>
        </w:tc>
        <w:tc>
          <w:tcPr>
            <w:tcW w:w="28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w:t>
            </w:r>
          </w:p>
        </w:tc>
        <w:tc>
          <w:tcPr>
            <w:tcW w:w="4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28.8</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impairment of</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assets, store closings</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severance</w:t>
            </w:r>
          </w:p>
        </w:tc>
        <w:tc>
          <w:tcPr>
            <w:tcW w:w="54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54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w:t>
            </w:r>
          </w:p>
        </w:tc>
        <w:tc>
          <w:tcPr>
            <w:tcW w:w="28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c>
          <w:tcPr>
            <w:tcW w:w="4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9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(loss)</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(0.5)</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19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120" w:type="dxa"/>
            <w:vAlign w:val="bottom"/>
            <w:gridSpan w:val="3"/>
          </w:tcPr>
          <w:p>
            <w:pPr>
              <w:spacing w:after="0"/>
              <w:rPr>
                <w:sz w:val="20"/>
                <w:szCs w:val="20"/>
                <w:color w:val="auto"/>
              </w:rPr>
            </w:pPr>
            <w:r>
              <w:rPr>
                <w:rFonts w:ascii="Courier New" w:cs="Courier New" w:eastAsia="Courier New" w:hAnsi="Courier New"/>
                <w:sz w:val="18"/>
                <w:szCs w:val="18"/>
                <w:color w:val="auto"/>
              </w:rPr>
              <w:t>For the six months ended:</w:t>
            </w:r>
          </w:p>
        </w:tc>
        <w:tc>
          <w:tcPr>
            <w:tcW w:w="260" w:type="dxa"/>
            <w:vAlign w:val="bottom"/>
          </w:tcPr>
          <w:p>
            <w:pPr>
              <w:spacing w:after="0"/>
              <w:rPr>
                <w:sz w:val="24"/>
                <w:szCs w:val="24"/>
                <w:color w:val="auto"/>
              </w:rPr>
            </w:pPr>
          </w:p>
        </w:tc>
        <w:tc>
          <w:tcPr>
            <w:tcW w:w="19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August 2, 2003</w:t>
            </w:r>
          </w:p>
        </w:tc>
        <w:tc>
          <w:tcPr>
            <w:tcW w:w="42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August 3, 2002</w:t>
            </w:r>
          </w:p>
        </w:tc>
        <w:tc>
          <w:tcPr>
            <w:tcW w:w="74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(pro-forma)</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Other</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Other</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Branded</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Branded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Casual Male</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Apparel</w:t>
            </w:r>
          </w:p>
        </w:tc>
        <w:tc>
          <w:tcPr>
            <w:tcW w:w="1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Combined</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Casual Male</w:t>
            </w: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Apparel</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190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business</w:t>
            </w:r>
          </w:p>
        </w:tc>
        <w:tc>
          <w:tcPr>
            <w:tcW w:w="1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Company</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business</w:t>
            </w: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business</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Company</w:t>
            </w:r>
          </w:p>
        </w:tc>
      </w:tr>
      <w:tr>
        <w:trPr>
          <w:trHeight w:val="203"/>
        </w:trPr>
        <w:tc>
          <w:tcPr>
            <w:tcW w:w="1900" w:type="dxa"/>
            <w:vAlign w:val="bottom"/>
          </w:tcPr>
          <w:p>
            <w:pPr>
              <w:spacing w:after="0"/>
              <w:rPr>
                <w:sz w:val="17"/>
                <w:szCs w:val="17"/>
                <w:color w:val="auto"/>
              </w:rPr>
            </w:pPr>
          </w:p>
        </w:tc>
        <w:tc>
          <w:tcPr>
            <w:tcW w:w="3380" w:type="dxa"/>
            <w:vAlign w:val="bottom"/>
            <w:gridSpan w:val="6"/>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31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$ 115.7</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59.8</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211.5</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$ 159.7</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68.6</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$ 228.3</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Gross margin, net of</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5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62.4</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13.1</w:t>
            </w:r>
          </w:p>
        </w:tc>
        <w:tc>
          <w:tcPr>
            <w:tcW w:w="2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75.5</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67.4</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82.2</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Gross margin rate</w:t>
            </w: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w:t>
            </w:r>
          </w:p>
        </w:tc>
        <w:tc>
          <w:tcPr>
            <w:tcW w:w="2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42.2%</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5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14.7</w:t>
            </w:r>
          </w:p>
        </w:tc>
        <w:tc>
          <w:tcPr>
            <w:tcW w:w="2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67.3</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60.1</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impairment of</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assets, store closings</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severance</w:t>
            </w:r>
          </w:p>
        </w:tc>
        <w:tc>
          <w:tcPr>
            <w:tcW w:w="54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5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w:t>
            </w:r>
          </w:p>
        </w:tc>
        <w:tc>
          <w:tcPr>
            <w:tcW w:w="2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19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(loss)</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(11.7)</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19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Dennis R. Hernreich, Executive Vice-President and Chief Financial Officer</w:t>
      </w:r>
    </w:p>
    <w:p>
      <w:pPr>
        <w:spacing w:after="0" w:line="238" w:lineRule="auto"/>
        <w:rPr>
          <w:sz w:val="20"/>
          <w:szCs w:val="20"/>
          <w:color w:val="auto"/>
        </w:rPr>
      </w:pPr>
      <w:r>
        <w:rPr>
          <w:rFonts w:ascii="Courier New" w:cs="Courier New" w:eastAsia="Courier New" w:hAnsi="Courier New"/>
          <w:sz w:val="18"/>
          <w:szCs w:val="18"/>
          <w:color w:val="auto"/>
        </w:rPr>
        <w:t>commented, "Although Casual Male's sales performance in the first half of this</w:t>
      </w:r>
    </w:p>
    <w:p>
      <w:pPr>
        <w:spacing w:after="0"/>
        <w:rPr>
          <w:sz w:val="20"/>
          <w:szCs w:val="20"/>
          <w:color w:val="auto"/>
        </w:rPr>
      </w:pPr>
      <w:r>
        <w:rPr>
          <w:rFonts w:ascii="Courier New" w:cs="Courier New" w:eastAsia="Courier New" w:hAnsi="Courier New"/>
          <w:sz w:val="18"/>
          <w:szCs w:val="18"/>
          <w:color w:val="auto"/>
        </w:rPr>
        <w:t>year was below original expectations, our strong gross margin rate and</w:t>
      </w:r>
    </w:p>
    <w:p>
      <w:pPr>
        <w:spacing w:after="0" w:line="237" w:lineRule="auto"/>
        <w:rPr>
          <w:sz w:val="20"/>
          <w:szCs w:val="20"/>
          <w:color w:val="auto"/>
        </w:rPr>
      </w:pPr>
      <w:r>
        <w:rPr>
          <w:rFonts w:ascii="Courier New" w:cs="Courier New" w:eastAsia="Courier New" w:hAnsi="Courier New"/>
          <w:sz w:val="18"/>
          <w:szCs w:val="18"/>
          <w:color w:val="auto"/>
        </w:rPr>
        <w:t>significant cost reductions continue to positively improve the operating</w:t>
      </w:r>
    </w:p>
    <w:p>
      <w:pPr>
        <w:spacing w:after="0" w:line="238" w:lineRule="auto"/>
        <w:rPr>
          <w:sz w:val="20"/>
          <w:szCs w:val="20"/>
          <w:color w:val="auto"/>
        </w:rPr>
      </w:pPr>
      <w:r>
        <w:rPr>
          <w:rFonts w:ascii="Courier New" w:cs="Courier New" w:eastAsia="Courier New" w:hAnsi="Courier New"/>
          <w:sz w:val="18"/>
          <w:szCs w:val="18"/>
          <w:color w:val="auto"/>
        </w:rPr>
        <w:t>profitability in the Casual Male business. With improvement in top-line</w:t>
      </w:r>
    </w:p>
    <w:p>
      <w:pPr>
        <w:spacing w:after="0"/>
        <w:rPr>
          <w:sz w:val="20"/>
          <w:szCs w:val="20"/>
          <w:color w:val="auto"/>
        </w:rPr>
      </w:pPr>
      <w:r>
        <w:rPr>
          <w:rFonts w:ascii="Courier New" w:cs="Courier New" w:eastAsia="Courier New" w:hAnsi="Courier New"/>
          <w:sz w:val="18"/>
          <w:szCs w:val="18"/>
          <w:color w:val="auto"/>
        </w:rPr>
        <w:t>performance, the Casual Male operating margins should improve further by</w:t>
      </w:r>
    </w:p>
    <w:p>
      <w:pPr>
        <w:spacing w:after="0"/>
        <w:tabs>
          <w:tab w:leader="none" w:pos="4520" w:val="left"/>
        </w:tabs>
        <w:rPr>
          <w:sz w:val="20"/>
          <w:szCs w:val="20"/>
          <w:color w:val="auto"/>
        </w:rPr>
      </w:pPr>
      <w:r>
        <w:rPr>
          <w:rFonts w:ascii="Courier New" w:cs="Courier New" w:eastAsia="Courier New" w:hAnsi="Courier New"/>
          <w:sz w:val="18"/>
          <w:szCs w:val="18"/>
          <w:color w:val="auto"/>
        </w:rPr>
        <w:t>leveraging upon its reduced expense base.</w:t>
      </w:r>
      <w:r>
        <w:rPr>
          <w:sz w:val="20"/>
          <w:szCs w:val="20"/>
          <w:color w:val="auto"/>
        </w:rPr>
        <w:tab/>
      </w:r>
      <w:r>
        <w:rPr>
          <w:rFonts w:ascii="Courier New" w:cs="Courier New" w:eastAsia="Courier New" w:hAnsi="Courier New"/>
          <w:sz w:val="16"/>
          <w:szCs w:val="16"/>
          <w:color w:val="auto"/>
        </w:rPr>
        <w:t>In addition, the operating</w:t>
      </w:r>
    </w:p>
    <w:p>
      <w:pPr>
        <w:spacing w:after="0"/>
        <w:rPr>
          <w:sz w:val="20"/>
          <w:szCs w:val="20"/>
          <w:color w:val="auto"/>
        </w:rPr>
      </w:pPr>
      <w:r>
        <w:rPr>
          <w:rFonts w:ascii="Courier New" w:cs="Courier New" w:eastAsia="Courier New" w:hAnsi="Courier New"/>
          <w:sz w:val="18"/>
          <w:szCs w:val="18"/>
          <w:color w:val="auto"/>
        </w:rPr>
        <w:t>performance of our Other Branded Businesses has improved significantly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ago levels resulting in an $8.9 million improvement in operating results 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continuing basis with a corresponding drop in sales on a year to date basis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12.8% as compared to the prior year."</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David A. Levin, President and Chief Executive Officer of Casual Male Retail Group, Inc., added, "We are enthusiastic about the prospects for improved sales performance during the second half of the year as many of our new merchandising initiatives will be evident in the stores, particularly during the fourth quarter. In the second half of this year, Casual Male's major merchandising initiatives will be introduced to the stores, such as, the new key item merchandising strategy, extended sizes focused toward the tall consumer, and the expansion of our young men's assortments. We also are in the process of gearing up for next spring's launch of Comfort Zone by George Foreman and the George Foreman Signature Collection lines of big and tall apparel, which will be exclusive to our Casual Male stores, catalog, and internet. Lastly, our</w:t>
      </w:r>
    </w:p>
    <w:p>
      <w:pPr>
        <w:sectPr>
          <w:pgSz w:w="11900" w:h="16838" w:orient="portrait"/>
          <w:cols w:equalWidth="0" w:num="1">
            <w:col w:w="10219"/>
          </w:cols>
          <w:pgMar w:left="240" w:top="136" w:right="1440" w:bottom="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Levis/Dockers outlet stores continue to experience sales declines although we are pleased with its operating performance, and the EcKo outlet stores continue to perform extremely well and expect the chain to reach 22 stores by the fourth quarter."</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operates 476 Casual Male Big &amp; Tall stores, Casual Male e-commerce site, Casual Male catalog business, 80 Levi's(r) Outlet by Designs and Dockers(r) Outlet by Designs stores, 18 Ecko Unltd(r) outlet stores and the George Foreman Signature Collection and Comfort Zone line of apparel. The Company is headquartered in Canton, Massachusetts and its common stock is listed on the Nasdaq National Market under the symbol "CMRG".</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 The Company does not report on its progress during a quarter until after the quarter has been completed and its results have been appropriately disclosed.</w:t>
      </w:r>
    </w:p>
    <w:p>
      <w:pPr>
        <w:spacing w:after="0" w:line="21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(Tables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2440"/>
        <w:spacing w:after="0"/>
        <w:rPr>
          <w:sz w:val="20"/>
          <w:szCs w:val="20"/>
          <w:color w:val="auto"/>
        </w:rPr>
      </w:pPr>
      <w:r>
        <w:rPr>
          <w:rFonts w:ascii="Courier New" w:cs="Courier New" w:eastAsia="Courier New" w:hAnsi="Courier New"/>
          <w:sz w:val="18"/>
          <w:szCs w:val="18"/>
          <w:color w:val="auto"/>
        </w:rPr>
        <w:t>(In thousands, except per share data)</w:t>
      </w:r>
    </w:p>
    <w:tbl>
      <w:tblPr>
        <w:tblLayout w:type="fixed"/>
        <w:tblInd w:w="0" w:type="dxa"/>
        <w:tblCellMar>
          <w:top w:w="0" w:type="dxa"/>
          <w:left w:w="0" w:type="dxa"/>
          <w:bottom w:w="0" w:type="dxa"/>
          <w:right w:w="0" w:type="dxa"/>
        </w:tblCellMar>
      </w:tblPr>
      <w:tr>
        <w:trPr>
          <w:trHeight w:val="202"/>
        </w:trPr>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80" w:type="dxa"/>
            <w:vAlign w:val="bottom"/>
            <w:gridSpan w:val="2"/>
          </w:tcPr>
          <w:p>
            <w:pPr>
              <w:jc w:val="right"/>
              <w:ind w:right="692"/>
              <w:spacing w:after="0" w:line="202" w:lineRule="exact"/>
              <w:rPr>
                <w:sz w:val="20"/>
                <w:szCs w:val="20"/>
                <w:color w:val="auto"/>
              </w:rPr>
            </w:pPr>
            <w:r>
              <w:rPr>
                <w:rFonts w:ascii="Courier New" w:cs="Courier New" w:eastAsia="Courier New" w:hAnsi="Courier New"/>
                <w:sz w:val="18"/>
                <w:szCs w:val="18"/>
                <w:color w:val="auto"/>
              </w:rPr>
              <w:t>(Unaudited)</w:t>
            </w: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2540" w:type="dxa"/>
            <w:vAlign w:val="bottom"/>
          </w:tcPr>
          <w:p>
            <w:pPr>
              <w:spacing w:after="0"/>
              <w:rPr>
                <w:sz w:val="24"/>
                <w:szCs w:val="24"/>
                <w:color w:val="auto"/>
              </w:rPr>
            </w:pPr>
          </w:p>
        </w:tc>
        <w:tc>
          <w:tcPr>
            <w:tcW w:w="310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For the three months ended</w:t>
            </w:r>
          </w:p>
        </w:tc>
        <w:tc>
          <w:tcPr>
            <w:tcW w:w="28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For the six months ended</w:t>
            </w:r>
          </w:p>
        </w:tc>
      </w:tr>
      <w:tr>
        <w:trPr>
          <w:trHeight w:val="203"/>
        </w:trPr>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8/2/2003</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8/3/2002</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8/2/2003</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8/3/2002</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5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$ 112,034</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$ 110,016</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$ 211,500</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$ 141,987</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71,915</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71,922</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136,013</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96,703</w:t>
            </w:r>
          </w:p>
        </w:tc>
      </w:tr>
      <w:tr>
        <w:trPr>
          <w:trHeight w:val="203"/>
        </w:trPr>
        <w:tc>
          <w:tcPr>
            <w:tcW w:w="254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40,119</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38,094</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75,487</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45,284</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34,207</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32,723</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67,330</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40,764</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impairment of assets,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store closings and</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severance</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7,250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7,250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2,206</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2,801</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4,268</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4,062</w:t>
            </w:r>
          </w:p>
        </w:tc>
      </w:tr>
      <w:tr>
        <w:trPr>
          <w:trHeight w:val="203"/>
        </w:trPr>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36,413</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42,774</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71,598</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52,076</w:t>
            </w:r>
          </w:p>
        </w:tc>
      </w:tr>
      <w:tr>
        <w:trPr>
          <w:trHeight w:val="203"/>
        </w:trPr>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3,706</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(4,680)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3,889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(6,792)</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5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2,976</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2,706</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5,861</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3,060</w:t>
            </w:r>
          </w:p>
        </w:tc>
      </w:tr>
      <w:tr>
        <w:trPr>
          <w:trHeight w:val="203"/>
        </w:trPr>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Income (loss) from continuing</w:t>
            </w: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before</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minority interest and</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(7,386)</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(1,972)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(9,852)</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w:t>
            </w: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520" w:type="dxa"/>
            <w:vAlign w:val="bottom"/>
          </w:tcPr>
          <w:p>
            <w:pPr>
              <w:spacing w:after="0"/>
              <w:rPr>
                <w:sz w:val="17"/>
                <w:szCs w:val="17"/>
                <w:color w:val="auto"/>
              </w:rPr>
            </w:pP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1,053</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from</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(8,439)</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(1,880)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(9,852)</w:t>
            </w:r>
          </w:p>
        </w:tc>
      </w:tr>
      <w:tr>
        <w:trPr>
          <w:trHeight w:val="203"/>
        </w:trPr>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discontinued</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(4,476)</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(4,858)</w:t>
            </w:r>
          </w:p>
        </w:tc>
      </w:tr>
      <w:tr>
        <w:trPr>
          <w:trHeight w:val="203"/>
        </w:trPr>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658</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$(12,915)</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$(2,097)</w:t>
            </w: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$(14,710)</w:t>
            </w:r>
          </w:p>
        </w:tc>
      </w:tr>
      <w:tr>
        <w:trPr>
          <w:trHeight w:val="203"/>
        </w:trPr>
        <w:tc>
          <w:tcPr>
            <w:tcW w:w="254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 (loss) per share</w:t>
      </w:r>
    </w:p>
    <w:p>
      <w:pPr>
        <w:spacing w:after="0" w:line="238" w:lineRule="auto"/>
        <w:rPr>
          <w:sz w:val="20"/>
          <w:szCs w:val="20"/>
          <w:color w:val="auto"/>
        </w:rPr>
      </w:pPr>
      <w:r>
        <w:rPr>
          <w:rFonts w:ascii="Courier New" w:cs="Courier New" w:eastAsia="Courier New" w:hAnsi="Courier New"/>
          <w:sz w:val="18"/>
          <w:szCs w:val="18"/>
          <w:color w:val="auto"/>
        </w:rPr>
        <w:t>- - basic and diluted</w:t>
      </w:r>
    </w:p>
    <w:p>
      <w:pPr>
        <w:sectPr>
          <w:pgSz w:w="11900" w:h="16838" w:orient="portrait"/>
          <w:cols w:equalWidth="0" w:num="1">
            <w:col w:w="10219"/>
          </w:cols>
          <w:pgMar w:left="240" w:top="142"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Income (loss) from continuing</w:t>
            </w:r>
          </w:p>
        </w:tc>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 -basic and diluted</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$0.02</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($0.53)</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($0.05)</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($0.64)</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Loss from discontinued</w:t>
            </w: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 -basic and diluted</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($0.28)</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($0.01)</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($0.32)</w:t>
            </w:r>
          </w:p>
        </w:tc>
      </w:tr>
      <w:tr>
        <w:trPr>
          <w:trHeight w:val="203"/>
        </w:trPr>
        <w:tc>
          <w:tcPr>
            <w:tcW w:w="3160" w:type="dxa"/>
            <w:vAlign w:val="bottom"/>
          </w:tcPr>
          <w:p>
            <w:pPr>
              <w:spacing w:after="0"/>
              <w:rPr>
                <w:sz w:val="17"/>
                <w:szCs w:val="17"/>
                <w:color w:val="auto"/>
              </w:rPr>
            </w:pP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-basic and duluted</w:t>
            </w: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$0.02</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($0.80)</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($0.06)</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($0.95)</w:t>
            </w:r>
          </w:p>
        </w:tc>
      </w:tr>
      <w:tr>
        <w:trPr>
          <w:trHeight w:val="405"/>
        </w:trPr>
        <w:tc>
          <w:tcPr>
            <w:tcW w:w="5960" w:type="dxa"/>
            <w:vAlign w:val="bottom"/>
            <w:gridSpan w:val="3"/>
          </w:tcPr>
          <w:p>
            <w:pPr>
              <w:spacing w:after="0"/>
              <w:rPr>
                <w:sz w:val="20"/>
                <w:szCs w:val="20"/>
                <w:color w:val="auto"/>
              </w:rPr>
            </w:pPr>
            <w:r>
              <w:rPr>
                <w:rFonts w:ascii="Courier New" w:cs="Courier New" w:eastAsia="Courier New" w:hAnsi="Courier New"/>
                <w:sz w:val="18"/>
                <w:szCs w:val="18"/>
                <w:color w:val="auto"/>
              </w:rPr>
              <w:t>Weighted-average number of common shares outstanding:</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35,839</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16,050</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35,796</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15,421</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36,891</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16,050</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35,796</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15,421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540"/>
        <w:spacing w:after="0"/>
        <w:rPr>
          <w:sz w:val="20"/>
          <w:szCs w:val="20"/>
          <w:color w:val="auto"/>
        </w:rPr>
      </w:pPr>
      <w:r>
        <w:rPr>
          <w:rFonts w:ascii="Courier New" w:cs="Courier New" w:eastAsia="Courier New" w:hAnsi="Courier New"/>
          <w:sz w:val="18"/>
          <w:szCs w:val="18"/>
          <w:color w:val="auto"/>
        </w:rPr>
        <w:t>August 2, 2003 and February 1, 2003</w:t>
      </w:r>
    </w:p>
    <w:tbl>
      <w:tblPr>
        <w:tblLayout w:type="fixed"/>
        <w:tblInd w:w="0" w:type="dxa"/>
        <w:tblCellMar>
          <w:top w:w="0" w:type="dxa"/>
          <w:left w:w="0" w:type="dxa"/>
          <w:bottom w:w="0" w:type="dxa"/>
          <w:right w:w="0" w:type="dxa"/>
        </w:tblCellMar>
      </w:tblPr>
      <w:tr>
        <w:trPr>
          <w:trHeight w:val="202"/>
        </w:trPr>
        <w:tc>
          <w:tcPr>
            <w:tcW w:w="6280" w:type="dxa"/>
            <w:vAlign w:val="bottom"/>
            <w:gridSpan w:val="3"/>
          </w:tcPr>
          <w:p>
            <w:pPr>
              <w:jc w:val="right"/>
              <w:ind w:right="1332"/>
              <w:spacing w:after="0" w:line="202" w:lineRule="exact"/>
              <w:rPr>
                <w:sz w:val="20"/>
                <w:szCs w:val="20"/>
                <w:color w:val="auto"/>
              </w:rPr>
            </w:pPr>
            <w:r>
              <w:rPr>
                <w:rFonts w:ascii="Courier New" w:cs="Courier New" w:eastAsia="Courier New" w:hAnsi="Courier New"/>
                <w:sz w:val="18"/>
                <w:szCs w:val="18"/>
                <w:color w:val="auto"/>
              </w:rPr>
              <w:t>(In thousands)</w:t>
            </w: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6"/>
              </w:rPr>
              <w:t>August 2,</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February 1,</w:t>
            </w:r>
          </w:p>
        </w:tc>
      </w:tr>
      <w:tr>
        <w:trPr>
          <w:trHeight w:val="203"/>
        </w:trPr>
        <w:tc>
          <w:tcPr>
            <w:tcW w:w="4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2003</w:t>
            </w:r>
          </w:p>
        </w:tc>
        <w:tc>
          <w:tcPr>
            <w:tcW w:w="78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2003</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0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(unaudited)</w:t>
            </w: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20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investments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4,322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4,692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52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100,910</w:t>
            </w:r>
          </w:p>
        </w:tc>
        <w:tc>
          <w:tcPr>
            <w:tcW w:w="7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103,222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52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14,122</w:t>
            </w:r>
          </w:p>
        </w:tc>
        <w:tc>
          <w:tcPr>
            <w:tcW w:w="7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9,689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52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66,267</w:t>
            </w:r>
          </w:p>
        </w:tc>
        <w:tc>
          <w:tcPr>
            <w:tcW w:w="7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64,062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52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81,356</w:t>
            </w:r>
          </w:p>
        </w:tc>
        <w:tc>
          <w:tcPr>
            <w:tcW w:w="7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81,427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52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4,045</w:t>
            </w:r>
          </w:p>
        </w:tc>
        <w:tc>
          <w:tcPr>
            <w:tcW w:w="7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3,853</w:t>
            </w:r>
          </w:p>
        </w:tc>
      </w:tr>
      <w:tr>
        <w:trPr>
          <w:trHeight w:val="203"/>
        </w:trPr>
        <w:tc>
          <w:tcPr>
            <w:tcW w:w="4220" w:type="dxa"/>
            <w:vAlign w:val="bottom"/>
          </w:tcPr>
          <w:p>
            <w:pPr>
              <w:spacing w:after="0"/>
              <w:rPr>
                <w:sz w:val="17"/>
                <w:szCs w:val="17"/>
                <w:color w:val="auto"/>
              </w:rPr>
            </w:pPr>
          </w:p>
        </w:tc>
        <w:tc>
          <w:tcPr>
            <w:tcW w:w="20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20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$ 271,022</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$ 266,945</w:t>
            </w:r>
          </w:p>
        </w:tc>
      </w:tr>
      <w:tr>
        <w:trPr>
          <w:trHeight w:val="203"/>
        </w:trPr>
        <w:tc>
          <w:tcPr>
            <w:tcW w:w="4220" w:type="dxa"/>
            <w:vAlign w:val="bottom"/>
          </w:tcPr>
          <w:p>
            <w:pPr>
              <w:spacing w:after="0"/>
              <w:rPr>
                <w:sz w:val="17"/>
                <w:szCs w:val="17"/>
                <w:color w:val="auto"/>
              </w:rPr>
            </w:pPr>
          </w:p>
        </w:tc>
        <w:tc>
          <w:tcPr>
            <w:tcW w:w="20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Accounts payable, accrued expenses</w:t>
            </w: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66,480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68,285</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52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50,314</w:t>
            </w:r>
          </w:p>
        </w:tc>
        <w:tc>
          <w:tcPr>
            <w:tcW w:w="7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55,579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 portion</w:t>
            </w:r>
          </w:p>
        </w:tc>
        <w:tc>
          <w:tcPr>
            <w:tcW w:w="52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60,054</w:t>
            </w:r>
          </w:p>
        </w:tc>
        <w:tc>
          <w:tcPr>
            <w:tcW w:w="7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50,996</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52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3,127</w:t>
            </w:r>
          </w:p>
        </w:tc>
        <w:tc>
          <w:tcPr>
            <w:tcW w:w="7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52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91,047</w:t>
            </w:r>
          </w:p>
        </w:tc>
        <w:tc>
          <w:tcPr>
            <w:tcW w:w="7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91,067</w:t>
            </w: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0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stockholders' equity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271,022</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$ 266,945</w:t>
            </w:r>
          </w:p>
        </w:tc>
      </w:tr>
      <w:tr>
        <w:trPr>
          <w:trHeight w:val="203"/>
        </w:trPr>
        <w:tc>
          <w:tcPr>
            <w:tcW w:w="4220" w:type="dxa"/>
            <w:vAlign w:val="bottom"/>
          </w:tcPr>
          <w:p>
            <w:pPr>
              <w:spacing w:after="0"/>
              <w:rPr>
                <w:sz w:val="17"/>
                <w:szCs w:val="17"/>
                <w:color w:val="auto"/>
              </w:rPr>
            </w:pPr>
          </w:p>
        </w:tc>
        <w:tc>
          <w:tcPr>
            <w:tcW w:w="20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1)"/>
      <w:numFmt w:val="decimal"/>
      <w:start w:val="56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2019-12-19T22:00:46Z</dcterms:created>
  <dcterms:modified xsi:type="dcterms:W3CDTF">2019-12-19T22:00:46Z</dcterms:modified>
</cp:coreProperties>
</file>