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jc w:val="center"/>
        <w:ind w:right="3139"/>
        <w:spacing w:after="0"/>
        <w:rPr>
          <w:sz w:val="20"/>
          <w:szCs w:val="20"/>
          <w:color w:val="auto"/>
        </w:rPr>
      </w:pPr>
      <w:r>
        <w:rPr>
          <w:rFonts w:ascii="Courier New" w:cs="Courier New" w:eastAsia="Courier New" w:hAnsi="Courier New"/>
          <w:sz w:val="18"/>
          <w:szCs w:val="18"/>
          <w:color w:val="auto"/>
        </w:rPr>
        <w:t>UNITED STATES</w:t>
      </w:r>
    </w:p>
    <w:p>
      <w:pPr>
        <w:jc w:val="center"/>
        <w:ind w:right="303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303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SCHEDULE 13G</w:t>
      </w:r>
    </w:p>
    <w:p>
      <w:pPr>
        <w:ind w:left="1280"/>
        <w:spacing w:after="0" w:line="238" w:lineRule="auto"/>
        <w:rPr>
          <w:sz w:val="20"/>
          <w:szCs w:val="20"/>
          <w:color w:val="auto"/>
        </w:rPr>
      </w:pPr>
      <w:r>
        <w:rPr>
          <w:rFonts w:ascii="Courier New" w:cs="Courier New" w:eastAsia="Courier New" w:hAnsi="Courier New"/>
          <w:sz w:val="18"/>
          <w:szCs w:val="18"/>
          <w:color w:val="auto"/>
        </w:rPr>
        <w:t>Under the Securities and Exchange Act of 1934</w:t>
      </w:r>
    </w:p>
    <w:p>
      <w:pPr>
        <w:ind w:left="2640"/>
        <w:spacing w:after="0"/>
        <w:rPr>
          <w:sz w:val="20"/>
          <w:szCs w:val="20"/>
          <w:color w:val="auto"/>
        </w:rPr>
      </w:pPr>
      <w:r>
        <w:rPr>
          <w:rFonts w:ascii="Courier New" w:cs="Courier New" w:eastAsia="Courier New" w:hAnsi="Courier New"/>
          <w:sz w:val="18"/>
          <w:szCs w:val="18"/>
          <w:color w:val="auto"/>
        </w:rPr>
        <w:t>(Amendment No. 1)</w:t>
      </w:r>
    </w:p>
    <w:p>
      <w:pPr>
        <w:spacing w:after="0" w:line="200" w:lineRule="exact"/>
        <w:rPr>
          <w:sz w:val="24"/>
          <w:szCs w:val="24"/>
          <w:color w:val="auto"/>
        </w:rPr>
      </w:pPr>
    </w:p>
    <w:p>
      <w:pPr>
        <w:ind w:left="2320"/>
        <w:spacing w:after="0"/>
        <w:rPr>
          <w:sz w:val="20"/>
          <w:szCs w:val="20"/>
          <w:color w:val="auto"/>
        </w:rPr>
      </w:pPr>
      <w:r>
        <w:rPr>
          <w:rFonts w:ascii="Courier New" w:cs="Courier New" w:eastAsia="Courier New" w:hAnsi="Courier New"/>
          <w:sz w:val="18"/>
          <w:szCs w:val="18"/>
          <w:color w:val="auto"/>
        </w:rPr>
        <w:t>Destination XL Group Inc.</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(Name of Issuer)</w:t>
      </w:r>
    </w:p>
    <w:p>
      <w:pPr>
        <w:spacing w:after="0" w:line="201" w:lineRule="exact"/>
        <w:rPr>
          <w:sz w:val="24"/>
          <w:szCs w:val="24"/>
          <w:color w:val="auto"/>
        </w:rPr>
      </w:pPr>
    </w:p>
    <w:p>
      <w:pPr>
        <w:jc w:val="center"/>
        <w:ind w:right="3039"/>
        <w:spacing w:after="0"/>
        <w:rPr>
          <w:sz w:val="20"/>
          <w:szCs w:val="20"/>
          <w:color w:val="auto"/>
        </w:rPr>
      </w:pPr>
      <w:r>
        <w:rPr>
          <w:rFonts w:ascii="Courier New" w:cs="Courier New" w:eastAsia="Courier New" w:hAnsi="Courier New"/>
          <w:sz w:val="18"/>
          <w:szCs w:val="18"/>
          <w:color w:val="auto"/>
        </w:rPr>
        <w:t>Common Stock</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jc w:val="center"/>
        <w:ind w:right="3259"/>
        <w:spacing w:after="0"/>
        <w:rPr>
          <w:sz w:val="20"/>
          <w:szCs w:val="20"/>
          <w:color w:val="auto"/>
        </w:rPr>
      </w:pPr>
      <w:r>
        <w:rPr>
          <w:rFonts w:ascii="Courier New" w:cs="Courier New" w:eastAsia="Courier New" w:hAnsi="Courier New"/>
          <w:sz w:val="18"/>
          <w:szCs w:val="18"/>
          <w:color w:val="auto"/>
        </w:rPr>
        <w:t>(Title of Class of Securities)</w:t>
      </w:r>
    </w:p>
    <w:p>
      <w:pPr>
        <w:spacing w:after="0" w:line="201" w:lineRule="exact"/>
        <w:rPr>
          <w:sz w:val="24"/>
          <w:szCs w:val="24"/>
          <w:color w:val="auto"/>
        </w:rPr>
      </w:pPr>
    </w:p>
    <w:p>
      <w:pPr>
        <w:jc w:val="center"/>
        <w:ind w:right="3139"/>
        <w:spacing w:after="0"/>
        <w:rPr>
          <w:sz w:val="20"/>
          <w:szCs w:val="20"/>
          <w:color w:val="auto"/>
        </w:rPr>
      </w:pPr>
      <w:r>
        <w:rPr>
          <w:rFonts w:ascii="Courier New" w:cs="Courier New" w:eastAsia="Courier New" w:hAnsi="Courier New"/>
          <w:sz w:val="18"/>
          <w:szCs w:val="18"/>
          <w:color w:val="auto"/>
        </w:rPr>
        <w:t>25065K104</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(CUSIP Number)</w:t>
      </w:r>
    </w:p>
    <w:p>
      <w:pPr>
        <w:spacing w:after="0" w:line="201" w:lineRule="exact"/>
        <w:rPr>
          <w:sz w:val="24"/>
          <w:szCs w:val="24"/>
          <w:color w:val="auto"/>
        </w:rPr>
      </w:pPr>
    </w:p>
    <w:p>
      <w:pPr>
        <w:jc w:val="center"/>
        <w:ind w:right="3139"/>
        <w:spacing w:after="0"/>
        <w:rPr>
          <w:sz w:val="20"/>
          <w:szCs w:val="20"/>
          <w:color w:val="auto"/>
        </w:rPr>
      </w:pPr>
      <w:r>
        <w:rPr>
          <w:rFonts w:ascii="Courier New" w:cs="Courier New" w:eastAsia="Courier New" w:hAnsi="Courier New"/>
          <w:sz w:val="18"/>
          <w:szCs w:val="18"/>
          <w:color w:val="auto"/>
        </w:rPr>
        <w:t>December 31, 2014</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ind w:right="399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3" w:lineRule="exact"/>
        <w:rPr>
          <w:sz w:val="24"/>
          <w:szCs w:val="24"/>
          <w:color w:val="auto"/>
        </w:rPr>
      </w:pPr>
    </w:p>
    <w:p>
      <w:pPr>
        <w:ind w:left="1900" w:hanging="839"/>
        <w:spacing w:after="0"/>
        <w:tabs>
          <w:tab w:leader="none" w:pos="1900" w:val="left"/>
        </w:tabs>
        <w:numPr>
          <w:ilvl w:val="1"/>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 13d-1 (b)</w:t>
      </w:r>
    </w:p>
    <w:p>
      <w:pPr>
        <w:ind w:left="10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w:t>
      </w:r>
      <w:r>
        <w:rPr>
          <w:rFonts w:ascii="Courier New" w:cs="Courier New" w:eastAsia="Courier New" w:hAnsi="Courier New"/>
          <w:sz w:val="16"/>
          <w:szCs w:val="16"/>
          <w:color w:val="auto"/>
        </w:rPr>
        <w:t>Rule 13d-1 (c)</w:t>
      </w:r>
    </w:p>
    <w:p>
      <w:pPr>
        <w:ind w:left="10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w:t>
      </w:r>
      <w:r>
        <w:rPr>
          <w:rFonts w:ascii="Courier New" w:cs="Courier New" w:eastAsia="Courier New" w:hAnsi="Courier New"/>
          <w:sz w:val="16"/>
          <w:szCs w:val="16"/>
          <w:color w:val="auto"/>
        </w:rPr>
        <w:t>Rule 13d-1 (d)</w:t>
      </w:r>
    </w:p>
    <w:p>
      <w:pPr>
        <w:spacing w:after="0" w:line="207" w:lineRule="exact"/>
        <w:rPr>
          <w:rFonts w:ascii="Courier New" w:cs="Courier New" w:eastAsia="Courier New" w:hAnsi="Courier New"/>
          <w:sz w:val="18"/>
          <w:szCs w:val="18"/>
          <w:color w:val="auto"/>
        </w:rPr>
      </w:pPr>
    </w:p>
    <w:p>
      <w:pPr>
        <w:ind w:right="335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9" w:lineRule="exact"/>
        <w:rPr>
          <w:sz w:val="24"/>
          <w:szCs w:val="24"/>
          <w:color w:val="auto"/>
        </w:rPr>
      </w:pPr>
    </w:p>
    <w:p>
      <w:pPr>
        <w:ind w:right="347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7" w:lineRule="exact"/>
        <w:rPr>
          <w:sz w:val="24"/>
          <w:szCs w:val="24"/>
          <w:color w:val="auto"/>
        </w:rPr>
      </w:pPr>
    </w:p>
    <w:p>
      <w:pPr>
        <w:spacing w:after="0"/>
        <w:tabs>
          <w:tab w:leader="none" w:pos="2300" w:val="left"/>
        </w:tabs>
        <w:rPr>
          <w:sz w:val="20"/>
          <w:szCs w:val="20"/>
          <w:color w:val="auto"/>
        </w:rPr>
      </w:pPr>
      <w:r>
        <w:rPr>
          <w:rFonts w:ascii="Courier New" w:cs="Courier New" w:eastAsia="Courier New" w:hAnsi="Courier New"/>
          <w:sz w:val="18"/>
          <w:szCs w:val="18"/>
          <w:color w:val="auto"/>
        </w:rPr>
        <w:t>CUSIP NO. 25065K104</w:t>
      </w:r>
      <w:r>
        <w:rPr>
          <w:sz w:val="20"/>
          <w:szCs w:val="20"/>
          <w:color w:val="auto"/>
        </w:rPr>
        <w:tab/>
      </w:r>
      <w:r>
        <w:rPr>
          <w:rFonts w:ascii="Courier New" w:cs="Courier New" w:eastAsia="Courier New" w:hAnsi="Courier New"/>
          <w:sz w:val="16"/>
          <w:szCs w:val="16"/>
          <w:color w:val="auto"/>
        </w:rPr>
        <w:t>13G</w:t>
      </w:r>
    </w:p>
    <w:p>
      <w:pPr>
        <w:spacing w:after="0" w:line="200" w:lineRule="exact"/>
        <w:rPr>
          <w:sz w:val="24"/>
          <w:szCs w:val="24"/>
          <w:color w:val="auto"/>
        </w:rPr>
      </w:pPr>
    </w:p>
    <w:p>
      <w:pPr>
        <w:spacing w:after="0" w:line="209" w:lineRule="exact"/>
        <w:rPr>
          <w:sz w:val="24"/>
          <w:szCs w:val="24"/>
          <w:color w:val="auto"/>
        </w:rPr>
      </w:pPr>
    </w:p>
    <w:p>
      <w:pPr>
        <w:ind w:left="640" w:right="3999" w:hanging="632"/>
        <w:spacing w:after="0" w:line="235" w:lineRule="auto"/>
        <w:tabs>
          <w:tab w:leader="none" w:pos="6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 / IRS Identification Number: Piper Jaffray Companies / 30-0168701</w:t>
      </w:r>
    </w:p>
    <w:p>
      <w:pPr>
        <w:spacing w:after="0" w:line="20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380" w:type="dxa"/>
            <w:vAlign w:val="bottom"/>
          </w:tcPr>
          <w:p>
            <w:pPr>
              <w:jc w:val="right"/>
              <w:ind w:right="172"/>
              <w:spacing w:after="0"/>
              <w:rPr>
                <w:sz w:val="20"/>
                <w:szCs w:val="20"/>
                <w:color w:val="auto"/>
              </w:rPr>
            </w:pPr>
            <w:r>
              <w:rPr>
                <w:rFonts w:ascii="Courier New" w:cs="Courier New" w:eastAsia="Courier New" w:hAnsi="Courier New"/>
                <w:sz w:val="18"/>
                <w:szCs w:val="18"/>
                <w:color w:val="auto"/>
                <w:w w:val="92"/>
              </w:rPr>
              <w:t>2</w:t>
            </w:r>
          </w:p>
        </w:tc>
        <w:tc>
          <w:tcPr>
            <w:tcW w:w="5520" w:type="dxa"/>
            <w:vAlign w:val="bottom"/>
          </w:tcPr>
          <w:p>
            <w:pPr>
              <w:ind w:left="260"/>
              <w:spacing w:after="0"/>
              <w:rPr>
                <w:sz w:val="20"/>
                <w:szCs w:val="20"/>
                <w:color w:val="auto"/>
              </w:rPr>
            </w:pPr>
            <w:r>
              <w:rPr>
                <w:rFonts w:ascii="Courier New" w:cs="Courier New" w:eastAsia="Courier New" w:hAnsi="Courier New"/>
                <w:sz w:val="18"/>
                <w:szCs w:val="18"/>
                <w:color w:val="auto"/>
              </w:rPr>
              <w:t>Check the Appropriate Box if a Member of a Group</w:t>
            </w:r>
          </w:p>
        </w:tc>
        <w:tc>
          <w:tcPr>
            <w:tcW w:w="640" w:type="dxa"/>
            <w:vAlign w:val="bottom"/>
          </w:tcPr>
          <w:p>
            <w:pPr>
              <w:ind w:left="220"/>
              <w:spacing w:after="0"/>
              <w:rPr>
                <w:sz w:val="20"/>
                <w:szCs w:val="20"/>
                <w:color w:val="auto"/>
              </w:rPr>
            </w:pPr>
            <w:r>
              <w:rPr>
                <w:rFonts w:ascii="Courier New" w:cs="Courier New" w:eastAsia="Courier New" w:hAnsi="Courier New"/>
                <w:sz w:val="18"/>
                <w:szCs w:val="18"/>
                <w:color w:val="auto"/>
              </w:rPr>
              <w:t>(a)</w:t>
            </w:r>
          </w:p>
        </w:tc>
        <w:tc>
          <w:tcPr>
            <w:tcW w:w="2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380" w:type="dxa"/>
            <w:vAlign w:val="bottom"/>
          </w:tcPr>
          <w:p>
            <w:pPr>
              <w:spacing w:after="0"/>
              <w:rPr>
                <w:sz w:val="17"/>
                <w:szCs w:val="17"/>
                <w:color w:val="auto"/>
              </w:rPr>
            </w:pPr>
          </w:p>
        </w:tc>
        <w:tc>
          <w:tcPr>
            <w:tcW w:w="5520" w:type="dxa"/>
            <w:vAlign w:val="bottom"/>
          </w:tcPr>
          <w:p>
            <w:pPr>
              <w:spacing w:after="0"/>
              <w:rPr>
                <w:sz w:val="17"/>
                <w:szCs w:val="17"/>
                <w:color w:val="auto"/>
              </w:rPr>
            </w:pPr>
          </w:p>
        </w:tc>
        <w:tc>
          <w:tcPr>
            <w:tcW w:w="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(b)</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640" w:hanging="632"/>
        <w:spacing w:after="0"/>
        <w:tabs>
          <w:tab w:leader="none" w:pos="6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4"/>
          <w:szCs w:val="24"/>
          <w:color w:val="auto"/>
        </w:rPr>
      </w:pPr>
    </w:p>
    <w:p>
      <w:pPr>
        <w:ind w:left="640" w:right="5779" w:hanging="632"/>
        <w:spacing w:after="0" w:line="235" w:lineRule="auto"/>
        <w:tabs>
          <w:tab w:leader="none" w:pos="6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pacing w:after="0" w:line="20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pacing w:after="0" w:line="200" w:lineRule="exact"/>
        <w:rPr>
          <w:sz w:val="24"/>
          <w:szCs w:val="24"/>
          <w:color w:val="auto"/>
        </w:rPr>
      </w:pPr>
    </w:p>
    <w:p>
      <w:pPr>
        <w:spacing w:after="0" w:line="223" w:lineRule="exact"/>
        <w:rPr>
          <w:sz w:val="24"/>
          <w:szCs w:val="24"/>
          <w:color w:val="auto"/>
        </w:rPr>
      </w:pPr>
    </w:p>
    <w:p>
      <w:pPr>
        <w:ind w:left="320"/>
        <w:spacing w:after="0"/>
        <w:rPr>
          <w:sz w:val="20"/>
          <w:szCs w:val="20"/>
          <w:color w:val="auto"/>
        </w:rPr>
      </w:pPr>
      <w:r>
        <w:rPr>
          <w:rFonts w:ascii="Courier New" w:cs="Courier New" w:eastAsia="Courier New" w:hAnsi="Courier New"/>
          <w:sz w:val="18"/>
          <w:szCs w:val="18"/>
          <w:color w:val="auto"/>
        </w:rPr>
        <w:t>Number of</w:t>
      </w:r>
    </w:p>
    <w:p>
      <w:pPr>
        <w:sectPr>
          <w:pgSz w:w="11900" w:h="16855" w:orient="portrait"/>
          <w:cols w:equalWidth="0" w:num="1">
            <w:col w:w="10219"/>
          </w:cols>
          <w:pgMar w:left="240" w:top="244" w:right="1440" w:bottom="0" w:gutter="0" w:footer="0" w:header="0"/>
        </w:sectPr>
      </w:pPr>
    </w:p>
    <w:p>
      <w:pPr>
        <w:spacing w:after="0" w:line="207" w:lineRule="exact"/>
        <w:rPr>
          <w:sz w:val="24"/>
          <w:szCs w:val="24"/>
          <w:color w:val="auto"/>
        </w:rPr>
      </w:pPr>
    </w:p>
    <w:p>
      <w:pPr>
        <w:ind w:left="420"/>
        <w:spacing w:after="0"/>
        <w:rPr>
          <w:sz w:val="20"/>
          <w:szCs w:val="20"/>
          <w:color w:val="auto"/>
        </w:rPr>
      </w:pPr>
      <w:r>
        <w:rPr>
          <w:rFonts w:ascii="Courier New" w:cs="Courier New" w:eastAsia="Courier New" w:hAnsi="Courier New"/>
          <w:sz w:val="16"/>
          <w:szCs w:val="16"/>
          <w:color w:val="auto"/>
        </w:rPr>
        <w:t>Shares</w:t>
      </w:r>
    </w:p>
    <w:p>
      <w:pPr>
        <w:spacing w:after="0" w:line="20" w:lineRule="exact"/>
        <w:rPr>
          <w:sz w:val="24"/>
          <w:szCs w:val="24"/>
          <w:color w:val="auto"/>
        </w:rPr>
      </w:pPr>
      <w:r>
        <w:rPr>
          <w:sz w:val="24"/>
          <w:szCs w:val="24"/>
          <w:color w:val="auto"/>
        </w:rPr>
        <w:br w:type="column"/>
      </w:r>
    </w:p>
    <w:p>
      <w:pPr>
        <w:spacing w:after="0" w:line="238" w:lineRule="auto"/>
        <w:tabs>
          <w:tab w:leader="none" w:pos="620" w:val="left"/>
        </w:tabs>
        <w:rPr>
          <w:sz w:val="20"/>
          <w:szCs w:val="20"/>
          <w:color w:val="auto"/>
        </w:rPr>
      </w:pPr>
      <w:r>
        <w:rPr>
          <w:rFonts w:ascii="Courier New" w:cs="Courier New" w:eastAsia="Courier New" w:hAnsi="Courier New"/>
          <w:sz w:val="18"/>
          <w:szCs w:val="18"/>
          <w:color w:val="auto"/>
        </w:rPr>
        <w:t>5</w:t>
      </w:r>
      <w:r>
        <w:rPr>
          <w:sz w:val="20"/>
          <w:szCs w:val="20"/>
          <w:color w:val="auto"/>
        </w:rPr>
        <w:tab/>
      </w:r>
      <w:r>
        <w:rPr>
          <w:rFonts w:ascii="Courier New" w:cs="Courier New" w:eastAsia="Courier New" w:hAnsi="Courier New"/>
          <w:sz w:val="18"/>
          <w:szCs w:val="18"/>
          <w:color w:val="auto"/>
        </w:rPr>
        <w:t>Sole Voting Power</w:t>
      </w:r>
    </w:p>
    <w:p>
      <w:pPr>
        <w:ind w:left="640"/>
        <w:spacing w:after="0"/>
        <w:rPr>
          <w:sz w:val="20"/>
          <w:szCs w:val="20"/>
          <w:color w:val="auto"/>
        </w:rPr>
      </w:pPr>
      <w:r>
        <w:rPr>
          <w:rFonts w:ascii="Courier New" w:cs="Courier New" w:eastAsia="Courier New" w:hAnsi="Courier New"/>
          <w:sz w:val="18"/>
          <w:szCs w:val="18"/>
          <w:color w:val="auto"/>
        </w:rPr>
        <w:t>2,101,701 Shares</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4"/>
          <w:szCs w:val="24"/>
          <w:color w:val="auto"/>
        </w:rPr>
      </w:pPr>
    </w:p>
    <w:p>
      <w:pPr>
        <w:sectPr>
          <w:pgSz w:w="11900" w:h="16855" w:orient="portrait"/>
          <w:cols w:equalWidth="0" w:num="2">
            <w:col w:w="1280" w:space="720"/>
            <w:col w:w="8219"/>
          </w:cols>
          <w:pgMar w:left="240" w:top="244" w:right="1440" w:bottom="0" w:gutter="0" w:footer="0" w:header="0"/>
          <w:type w:val="continuous"/>
        </w:sectPr>
      </w:pPr>
    </w:p>
    <w:p>
      <w:pPr>
        <w:ind w:left="120"/>
        <w:spacing w:after="0"/>
        <w:rPr>
          <w:sz w:val="20"/>
          <w:szCs w:val="20"/>
          <w:color w:val="auto"/>
        </w:rPr>
      </w:pPr>
      <w:r>
        <w:rPr>
          <w:rFonts w:ascii="Courier New" w:cs="Courier New" w:eastAsia="Courier New" w:hAnsi="Courier New"/>
          <w:sz w:val="16"/>
          <w:szCs w:val="16"/>
          <w:color w:val="auto"/>
        </w:rPr>
        <w:t>Beneficially</w:t>
      </w:r>
    </w:p>
    <w:p>
      <w:pPr>
        <w:sectPr>
          <w:pgSz w:w="11900" w:h="16855" w:orient="portrait"/>
          <w:cols w:equalWidth="0" w:num="1">
            <w:col w:w="10219"/>
          </w:cols>
          <w:pgMar w:left="240" w:top="244" w:right="1440" w:bottom="0" w:gutter="0" w:footer="0" w:header="0"/>
          <w:type w:val="continuous"/>
        </w:sectPr>
      </w:pPr>
    </w:p>
    <w:p>
      <w:pPr>
        <w:spacing w:after="0" w:line="224" w:lineRule="exact"/>
        <w:rPr>
          <w:sz w:val="24"/>
          <w:szCs w:val="24"/>
          <w:color w:val="auto"/>
        </w:rPr>
      </w:pPr>
    </w:p>
    <w:p>
      <w:pPr>
        <w:ind w:left="320"/>
        <w:spacing w:after="0"/>
        <w:rPr>
          <w:sz w:val="20"/>
          <w:szCs w:val="20"/>
          <w:color w:val="auto"/>
        </w:rPr>
      </w:pPr>
      <w:r>
        <w:rPr>
          <w:rFonts w:ascii="Courier New" w:cs="Courier New" w:eastAsia="Courier New" w:hAnsi="Courier New"/>
          <w:sz w:val="16"/>
          <w:szCs w:val="16"/>
          <w:color w:val="auto"/>
        </w:rPr>
        <w:t>Owned By</w:t>
      </w:r>
    </w:p>
    <w:p>
      <w:pPr>
        <w:spacing w:after="0" w:line="20" w:lineRule="exact"/>
        <w:rPr>
          <w:sz w:val="24"/>
          <w:szCs w:val="24"/>
          <w:color w:val="auto"/>
        </w:rPr>
      </w:pPr>
      <w:r>
        <w:rPr>
          <w:sz w:val="24"/>
          <w:szCs w:val="24"/>
          <w:color w:val="auto"/>
        </w:rPr>
        <w:br w:type="column"/>
      </w:r>
    </w:p>
    <w:p>
      <w:pPr>
        <w:spacing w:after="0"/>
        <w:tabs>
          <w:tab w:leader="none" w:pos="620" w:val="left"/>
        </w:tabs>
        <w:rPr>
          <w:sz w:val="20"/>
          <w:szCs w:val="20"/>
          <w:color w:val="auto"/>
        </w:rPr>
      </w:pPr>
      <w:r>
        <w:rPr>
          <w:rFonts w:ascii="Courier New" w:cs="Courier New" w:eastAsia="Courier New" w:hAnsi="Courier New"/>
          <w:sz w:val="18"/>
          <w:szCs w:val="18"/>
          <w:color w:val="auto"/>
        </w:rPr>
        <w:t>6</w:t>
      </w:r>
      <w:r>
        <w:rPr>
          <w:sz w:val="20"/>
          <w:szCs w:val="20"/>
          <w:color w:val="auto"/>
        </w:rPr>
        <w:tab/>
      </w:r>
      <w:r>
        <w:rPr>
          <w:rFonts w:ascii="Courier New" w:cs="Courier New" w:eastAsia="Courier New" w:hAnsi="Courier New"/>
          <w:sz w:val="18"/>
          <w:szCs w:val="18"/>
          <w:color w:val="auto"/>
        </w:rPr>
        <w:t>Shared Voting Power</w:t>
      </w:r>
    </w:p>
    <w:p>
      <w:pPr>
        <w:ind w:left="640"/>
        <w:spacing w:after="0" w:line="238" w:lineRule="auto"/>
        <w:rPr>
          <w:sz w:val="20"/>
          <w:szCs w:val="20"/>
          <w:color w:val="auto"/>
        </w:rPr>
      </w:pPr>
      <w:r>
        <w:rPr>
          <w:rFonts w:ascii="Courier New" w:cs="Courier New" w:eastAsia="Courier New" w:hAnsi="Courier New"/>
          <w:sz w:val="18"/>
          <w:szCs w:val="18"/>
          <w:color w:val="auto"/>
        </w:rPr>
        <w:t>0 Shares</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4"/>
          <w:szCs w:val="24"/>
          <w:color w:val="auto"/>
        </w:rPr>
      </w:pPr>
    </w:p>
    <w:p>
      <w:pPr>
        <w:sectPr>
          <w:pgSz w:w="11900" w:h="16855" w:orient="portrait"/>
          <w:cols w:equalWidth="0" w:num="2">
            <w:col w:w="1280" w:space="720"/>
            <w:col w:w="8219"/>
          </w:cols>
          <w:pgMar w:left="240" w:top="244" w:right="1440" w:bottom="0" w:gutter="0" w:footer="0" w:header="0"/>
          <w:type w:val="continuous"/>
        </w:sectPr>
      </w:pPr>
    </w:p>
    <w:p>
      <w:pPr>
        <w:ind w:left="540"/>
        <w:spacing w:after="0"/>
        <w:rPr>
          <w:sz w:val="20"/>
          <w:szCs w:val="20"/>
          <w:color w:val="auto"/>
        </w:rPr>
      </w:pPr>
      <w:r>
        <w:rPr>
          <w:rFonts w:ascii="Courier New" w:cs="Courier New" w:eastAsia="Courier New" w:hAnsi="Courier New"/>
          <w:sz w:val="16"/>
          <w:szCs w:val="16"/>
          <w:color w:val="auto"/>
        </w:rPr>
        <w:t>Each</w:t>
      </w:r>
    </w:p>
    <w:p>
      <w:pPr>
        <w:sectPr>
          <w:pgSz w:w="11900" w:h="16855" w:orient="portrait"/>
          <w:cols w:equalWidth="0" w:num="1">
            <w:col w:w="10219"/>
          </w:cols>
          <w:pgMar w:left="240" w:top="244" w:right="1440" w:bottom="0" w:gutter="0" w:footer="0" w:header="0"/>
          <w:type w:val="continuous"/>
        </w:sectPr>
      </w:pPr>
    </w:p>
    <w:p>
      <w:pPr>
        <w:spacing w:after="0" w:line="224" w:lineRule="exact"/>
        <w:rPr>
          <w:sz w:val="24"/>
          <w:szCs w:val="24"/>
          <w:color w:val="auto"/>
        </w:rPr>
      </w:pPr>
    </w:p>
    <w:p>
      <w:pPr>
        <w:ind w:left="320"/>
        <w:spacing w:after="0"/>
        <w:rPr>
          <w:sz w:val="20"/>
          <w:szCs w:val="20"/>
          <w:color w:val="auto"/>
        </w:rPr>
      </w:pPr>
      <w:r>
        <w:rPr>
          <w:rFonts w:ascii="Courier New" w:cs="Courier New" w:eastAsia="Courier New" w:hAnsi="Courier New"/>
          <w:sz w:val="16"/>
          <w:szCs w:val="16"/>
          <w:color w:val="auto"/>
        </w:rPr>
        <w:t>Reporting</w:t>
      </w:r>
    </w:p>
    <w:p>
      <w:pPr>
        <w:spacing w:after="0" w:line="20" w:lineRule="exact"/>
        <w:rPr>
          <w:sz w:val="24"/>
          <w:szCs w:val="24"/>
          <w:color w:val="auto"/>
        </w:rPr>
      </w:pPr>
      <w:r>
        <w:rPr>
          <w:sz w:val="24"/>
          <w:szCs w:val="24"/>
          <w:color w:val="auto"/>
        </w:rPr>
        <w:br w:type="column"/>
      </w:r>
    </w:p>
    <w:p>
      <w:pPr>
        <w:spacing w:after="0"/>
        <w:tabs>
          <w:tab w:leader="none" w:pos="620" w:val="left"/>
        </w:tabs>
        <w:rPr>
          <w:sz w:val="20"/>
          <w:szCs w:val="20"/>
          <w:color w:val="auto"/>
        </w:rPr>
      </w:pPr>
      <w:r>
        <w:rPr>
          <w:rFonts w:ascii="Courier New" w:cs="Courier New" w:eastAsia="Courier New" w:hAnsi="Courier New"/>
          <w:sz w:val="18"/>
          <w:szCs w:val="18"/>
          <w:color w:val="auto"/>
        </w:rPr>
        <w:t>7</w:t>
      </w:r>
      <w:r>
        <w:rPr>
          <w:sz w:val="20"/>
          <w:szCs w:val="20"/>
          <w:color w:val="auto"/>
        </w:rPr>
        <w:tab/>
      </w:r>
      <w:r>
        <w:rPr>
          <w:rFonts w:ascii="Courier New" w:cs="Courier New" w:eastAsia="Courier New" w:hAnsi="Courier New"/>
          <w:sz w:val="18"/>
          <w:szCs w:val="18"/>
          <w:color w:val="auto"/>
        </w:rPr>
        <w:t>Sole Dispositive Power</w:t>
      </w:r>
    </w:p>
    <w:p>
      <w:pPr>
        <w:ind w:left="640"/>
        <w:spacing w:after="0" w:line="238" w:lineRule="auto"/>
        <w:rPr>
          <w:sz w:val="20"/>
          <w:szCs w:val="20"/>
          <w:color w:val="auto"/>
        </w:rPr>
      </w:pPr>
      <w:r>
        <w:rPr>
          <w:rFonts w:ascii="Courier New" w:cs="Courier New" w:eastAsia="Courier New" w:hAnsi="Courier New"/>
          <w:sz w:val="18"/>
          <w:szCs w:val="18"/>
          <w:color w:val="auto"/>
        </w:rPr>
        <w:t>3,257,203 Shares</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4"/>
          <w:szCs w:val="24"/>
          <w:color w:val="auto"/>
        </w:rPr>
      </w:pPr>
    </w:p>
    <w:p>
      <w:pPr>
        <w:sectPr>
          <w:pgSz w:w="11900" w:h="16855" w:orient="portrait"/>
          <w:cols w:equalWidth="0" w:num="2">
            <w:col w:w="1280" w:space="720"/>
            <w:col w:w="8219"/>
          </w:cols>
          <w:pgMar w:left="240" w:top="244" w:right="1440" w:bottom="0" w:gutter="0" w:footer="0" w:header="0"/>
          <w:type w:val="continuous"/>
        </w:sectPr>
      </w:pPr>
    </w:p>
    <w:p>
      <w:pPr>
        <w:ind w:left="420"/>
        <w:spacing w:after="0"/>
        <w:rPr>
          <w:sz w:val="20"/>
          <w:szCs w:val="20"/>
          <w:color w:val="auto"/>
        </w:rPr>
      </w:pPr>
      <w:r>
        <w:rPr>
          <w:rFonts w:ascii="Courier New" w:cs="Courier New" w:eastAsia="Courier New" w:hAnsi="Courier New"/>
          <w:sz w:val="16"/>
          <w:szCs w:val="16"/>
          <w:color w:val="auto"/>
        </w:rPr>
        <w:t>Person</w:t>
      </w:r>
    </w:p>
    <w:p>
      <w:pPr>
        <w:sectPr>
          <w:pgSz w:w="11900" w:h="16855" w:orient="portrait"/>
          <w:cols w:equalWidth="0" w:num="1">
            <w:col w:w="10219"/>
          </w:cols>
          <w:pgMar w:left="240" w:top="244" w:right="1440" w:bottom="0" w:gutter="0" w:footer="0" w:header="0"/>
          <w:type w:val="continuous"/>
        </w:sectPr>
      </w:pPr>
    </w:p>
    <w:p>
      <w:pPr>
        <w:spacing w:after="0" w:line="224" w:lineRule="exact"/>
        <w:rPr>
          <w:sz w:val="24"/>
          <w:szCs w:val="24"/>
          <w:color w:val="auto"/>
        </w:rPr>
      </w:pPr>
    </w:p>
    <w:p>
      <w:pPr>
        <w:ind w:left="540"/>
        <w:spacing w:after="0"/>
        <w:rPr>
          <w:sz w:val="20"/>
          <w:szCs w:val="20"/>
          <w:color w:val="auto"/>
        </w:rPr>
      </w:pPr>
      <w:r>
        <w:rPr>
          <w:rFonts w:ascii="Courier New" w:cs="Courier New" w:eastAsia="Courier New" w:hAnsi="Courier New"/>
          <w:sz w:val="16"/>
          <w:szCs w:val="16"/>
          <w:color w:val="auto"/>
        </w:rPr>
        <w:t>With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8"/>
          <w:szCs w:val="18"/>
          <w:color w:val="auto"/>
        </w:rPr>
        <w:t>8</w:t>
      </w:r>
    </w:p>
    <w:p>
      <w:pPr>
        <w:spacing w:after="0" w:line="20" w:lineRule="exact"/>
        <w:rPr>
          <w:sz w:val="24"/>
          <w:szCs w:val="24"/>
          <w:color w:val="auto"/>
        </w:rPr>
      </w:pPr>
      <w:r>
        <w:rPr>
          <w:sz w:val="24"/>
          <w:szCs w:val="24"/>
          <w:color w:val="auto"/>
        </w:rPr>
        <w:br w:type="column"/>
      </w:r>
    </w:p>
    <w:p>
      <w:pPr>
        <w:spacing w:after="0" w:line="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Shared Dispositive Power</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0 Shares</w:t>
      </w:r>
    </w:p>
    <w:p>
      <w:pPr>
        <w:sectPr>
          <w:pgSz w:w="11900" w:h="16855" w:orient="portrait"/>
          <w:cols w:equalWidth="0" w:num="3">
            <w:col w:w="1280" w:space="720"/>
            <w:col w:w="120" w:space="520"/>
            <w:col w:w="7579"/>
          </w:cols>
          <w:pgMar w:left="240" w:top="244" w:right="1440" w:bottom="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ind w:left="640" w:right="3259" w:hanging="632"/>
        <w:spacing w:after="0" w:line="235" w:lineRule="auto"/>
        <w:tabs>
          <w:tab w:leader="none" w:pos="6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3,257,203 Shares (See Exhibit A)</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ind w:left="640" w:right="3579" w:hanging="632"/>
        <w:spacing w:after="0" w:line="235" w:lineRule="auto"/>
        <w:tabs>
          <w:tab w:leader="none" w:pos="6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 [ ]</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ind w:left="640" w:right="4419" w:hanging="632"/>
        <w:spacing w:after="0" w:line="235" w:lineRule="auto"/>
        <w:tabs>
          <w:tab w:leader="none" w:pos="6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6.4%</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ind w:left="640" w:hanging="632"/>
        <w:spacing w:after="0" w:line="238" w:lineRule="auto"/>
        <w:tabs>
          <w:tab w:leader="none" w:pos="6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ind w:left="6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tabs>
          <w:tab w:leader="none" w:pos="1140" w:val="left"/>
          <w:tab w:leader="none" w:pos="1680" w:val="left"/>
        </w:tabs>
        <w:rPr>
          <w:sz w:val="20"/>
          <w:szCs w:val="20"/>
          <w:color w:val="auto"/>
        </w:rPr>
      </w:pPr>
      <w:r>
        <w:rPr>
          <w:rFonts w:ascii="Courier New" w:cs="Courier New" w:eastAsia="Courier New" w:hAnsi="Courier New"/>
          <w:sz w:val="18"/>
          <w:szCs w:val="18"/>
          <w:color w:val="auto"/>
        </w:rPr>
        <w:t>Item 1</w:t>
      </w:r>
      <w:r>
        <w:rPr>
          <w:sz w:val="20"/>
          <w:szCs w:val="20"/>
          <w:color w:val="auto"/>
        </w:rPr>
        <w:tab/>
      </w:r>
      <w:r>
        <w:rPr>
          <w:rFonts w:ascii="Courier New" w:cs="Courier New" w:eastAsia="Courier New" w:hAnsi="Courier New"/>
          <w:sz w:val="18"/>
          <w:szCs w:val="18"/>
          <w:color w:val="auto"/>
        </w:rPr>
        <w:t>(a)</w:t>
      </w:r>
      <w:r>
        <w:rPr>
          <w:sz w:val="20"/>
          <w:szCs w:val="20"/>
          <w:color w:val="auto"/>
        </w:rPr>
        <w:tab/>
      </w:r>
      <w:r>
        <w:rPr>
          <w:rFonts w:ascii="Courier New" w:cs="Courier New" w:eastAsia="Courier New" w:hAnsi="Courier New"/>
          <w:sz w:val="16"/>
          <w:szCs w:val="16"/>
          <w:color w:val="auto"/>
        </w:rPr>
        <w:t>Name of Issuer: Destination XL Group Inc.</w:t>
      </w:r>
    </w:p>
    <w:p>
      <w:pPr>
        <w:spacing w:after="0"/>
        <w:tabs>
          <w:tab w:leader="none" w:pos="1140" w:val="left"/>
          <w:tab w:leader="none" w:pos="1680" w:val="left"/>
        </w:tabs>
        <w:rPr>
          <w:sz w:val="20"/>
          <w:szCs w:val="20"/>
          <w:color w:val="auto"/>
        </w:rPr>
      </w:pPr>
      <w:r>
        <w:rPr>
          <w:rFonts w:ascii="Courier New" w:cs="Courier New" w:eastAsia="Courier New" w:hAnsi="Courier New"/>
          <w:sz w:val="18"/>
          <w:szCs w:val="18"/>
          <w:color w:val="auto"/>
        </w:rPr>
        <w:t>Item 1</w:t>
      </w:r>
      <w:r>
        <w:rPr>
          <w:sz w:val="20"/>
          <w:szCs w:val="20"/>
          <w:color w:val="auto"/>
        </w:rPr>
        <w:tab/>
      </w:r>
      <w:r>
        <w:rPr>
          <w:rFonts w:ascii="Courier New" w:cs="Courier New" w:eastAsia="Courier New" w:hAnsi="Courier New"/>
          <w:sz w:val="18"/>
          <w:szCs w:val="18"/>
          <w:color w:val="auto"/>
        </w:rPr>
        <w:t>(b)</w:t>
      </w:r>
      <w:r>
        <w:rPr>
          <w:sz w:val="20"/>
          <w:szCs w:val="20"/>
          <w:color w:val="auto"/>
        </w:rPr>
        <w:tab/>
      </w:r>
      <w:r>
        <w:rPr>
          <w:rFonts w:ascii="Courier New" w:cs="Courier New" w:eastAsia="Courier New" w:hAnsi="Courier New"/>
          <w:sz w:val="16"/>
          <w:szCs w:val="16"/>
          <w:color w:val="auto"/>
        </w:rPr>
        <w:t>Name of Issuer's Principal Executive Offices:</w:t>
      </w:r>
    </w:p>
    <w:p>
      <w:pPr>
        <w:ind w:left="1700"/>
        <w:spacing w:after="0"/>
        <w:rPr>
          <w:sz w:val="20"/>
          <w:szCs w:val="20"/>
          <w:color w:val="auto"/>
        </w:rPr>
      </w:pPr>
      <w:r>
        <w:rPr>
          <w:rFonts w:ascii="Courier New" w:cs="Courier New" w:eastAsia="Courier New" w:hAnsi="Courier New"/>
          <w:sz w:val="18"/>
          <w:szCs w:val="18"/>
          <w:color w:val="auto"/>
        </w:rPr>
        <w:t>555 Turnpike Street</w:t>
      </w:r>
    </w:p>
    <w:p>
      <w:pPr>
        <w:ind w:left="1700"/>
        <w:spacing w:after="0" w:line="237" w:lineRule="auto"/>
        <w:rPr>
          <w:sz w:val="20"/>
          <w:szCs w:val="20"/>
          <w:color w:val="auto"/>
        </w:rPr>
      </w:pPr>
      <w:r>
        <w:rPr>
          <w:rFonts w:ascii="Courier New" w:cs="Courier New" w:eastAsia="Courier New" w:hAnsi="Courier New"/>
          <w:sz w:val="18"/>
          <w:szCs w:val="18"/>
          <w:color w:val="auto"/>
        </w:rPr>
        <w:t>Canton, MA 02021</w:t>
      </w:r>
    </w:p>
    <w:p>
      <w:pPr>
        <w:spacing w:after="0" w:line="202" w:lineRule="exact"/>
        <w:rPr>
          <w:sz w:val="20"/>
          <w:szCs w:val="20"/>
          <w:color w:val="auto"/>
        </w:rPr>
      </w:pPr>
    </w:p>
    <w:p>
      <w:pPr>
        <w:spacing w:after="0"/>
        <w:tabs>
          <w:tab w:leader="none" w:pos="1140" w:val="left"/>
          <w:tab w:leader="none" w:pos="168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8"/>
          <w:szCs w:val="18"/>
          <w:color w:val="auto"/>
        </w:rPr>
        <w:t>(a)</w:t>
      </w:r>
      <w:r>
        <w:rPr>
          <w:sz w:val="20"/>
          <w:szCs w:val="20"/>
          <w:color w:val="auto"/>
        </w:rPr>
        <w:tab/>
      </w:r>
      <w:r>
        <w:rPr>
          <w:rFonts w:ascii="Courier New" w:cs="Courier New" w:eastAsia="Courier New" w:hAnsi="Courier New"/>
          <w:sz w:val="16"/>
          <w:szCs w:val="16"/>
          <w:color w:val="auto"/>
        </w:rPr>
        <w:t>Person Filing: Piper Jaffray Companies</w:t>
      </w:r>
    </w:p>
    <w:p>
      <w:pPr>
        <w:spacing w:after="0" w:line="4" w:lineRule="exact"/>
        <w:rPr>
          <w:sz w:val="20"/>
          <w:szCs w:val="20"/>
          <w:color w:val="auto"/>
        </w:rPr>
      </w:pPr>
    </w:p>
    <w:p>
      <w:pPr>
        <w:ind w:left="1160" w:right="4739" w:hanging="2633"/>
        <w:spacing w:after="0" w:line="235" w:lineRule="auto"/>
        <w:tabs>
          <w:tab w:leader="none" w:pos="114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8"/>
          <w:szCs w:val="18"/>
          <w:color w:val="auto"/>
        </w:rPr>
        <w:t>(b) Address: 800 Nicollet Mall Suite 800 Minneapolis, MN 55402</w:t>
      </w:r>
    </w:p>
    <w:p>
      <w:pPr>
        <w:spacing w:after="0" w:line="208" w:lineRule="exact"/>
        <w:rPr>
          <w:sz w:val="20"/>
          <w:szCs w:val="20"/>
          <w:color w:val="auto"/>
        </w:rPr>
      </w:pPr>
    </w:p>
    <w:p>
      <w:pPr>
        <w:ind w:left="1160" w:right="4199" w:hanging="3054"/>
        <w:spacing w:after="0" w:line="235" w:lineRule="auto"/>
        <w:tabs>
          <w:tab w:leader="none" w:pos="114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8"/>
          <w:szCs w:val="18"/>
          <w:color w:val="auto"/>
        </w:rPr>
        <w:t>(c) Citizenship: Piper Jaffray Companies is a Delaware Corporation</w:t>
      </w:r>
    </w:p>
    <w:p>
      <w:pPr>
        <w:spacing w:after="0" w:line="203" w:lineRule="exact"/>
        <w:rPr>
          <w:sz w:val="20"/>
          <w:szCs w:val="20"/>
          <w:color w:val="auto"/>
        </w:rPr>
      </w:pPr>
    </w:p>
    <w:p>
      <w:pPr>
        <w:spacing w:after="0"/>
        <w:tabs>
          <w:tab w:leader="none" w:pos="1140" w:val="left"/>
          <w:tab w:leader="none" w:pos="168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8"/>
          <w:szCs w:val="18"/>
          <w:color w:val="auto"/>
        </w:rPr>
        <w:t>(d)</w:t>
      </w:r>
      <w:r>
        <w:rPr>
          <w:sz w:val="20"/>
          <w:szCs w:val="20"/>
          <w:color w:val="auto"/>
        </w:rPr>
        <w:tab/>
      </w:r>
      <w:r>
        <w:rPr>
          <w:rFonts w:ascii="Courier New" w:cs="Courier New" w:eastAsia="Courier New" w:hAnsi="Courier New"/>
          <w:sz w:val="16"/>
          <w:szCs w:val="16"/>
          <w:color w:val="auto"/>
        </w:rPr>
        <w:t>Title of Class of Securities: Common Stock</w:t>
      </w:r>
    </w:p>
    <w:p>
      <w:pPr>
        <w:spacing w:after="0"/>
        <w:tabs>
          <w:tab w:leader="none" w:pos="1140" w:val="left"/>
          <w:tab w:leader="none" w:pos="168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8"/>
          <w:szCs w:val="18"/>
          <w:color w:val="auto"/>
        </w:rPr>
        <w:t>(e)</w:t>
      </w:r>
      <w:r>
        <w:rPr>
          <w:sz w:val="20"/>
          <w:szCs w:val="20"/>
          <w:color w:val="auto"/>
        </w:rPr>
        <w:tab/>
      </w:r>
      <w:r>
        <w:rPr>
          <w:rFonts w:ascii="Courier New" w:cs="Courier New" w:eastAsia="Courier New" w:hAnsi="Courier New"/>
          <w:sz w:val="16"/>
          <w:szCs w:val="16"/>
          <w:color w:val="auto"/>
        </w:rPr>
        <w:t>CUSIP Number: 25065K104</w:t>
      </w:r>
    </w:p>
    <w:p>
      <w:pPr>
        <w:spacing w:after="0" w:line="207" w:lineRule="exact"/>
        <w:rPr>
          <w:sz w:val="20"/>
          <w:szCs w:val="20"/>
          <w:color w:val="auto"/>
        </w:rPr>
      </w:pPr>
    </w:p>
    <w:p>
      <w:pPr>
        <w:ind w:left="1160" w:right="3159" w:hanging="1158"/>
        <w:spacing w:after="0" w:line="237" w:lineRule="auto"/>
        <w:tabs>
          <w:tab w:leader="none" w:pos="11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8"/>
          <w:szCs w:val="18"/>
          <w:color w:val="auto"/>
        </w:rPr>
        <w:t>This statement is filed pursuant to Rule 13d-1(b) or 13d-2(b) and the person filing, Piper Jaffray Companies, is a parent holding company in accordance with Section 240.13d-1(b)(ii)(G). (Note: See Item 7).</w:t>
      </w:r>
    </w:p>
    <w:p>
      <w:pPr>
        <w:spacing w:after="0" w:line="202"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1" w:lineRule="exact"/>
        <w:rPr>
          <w:sz w:val="20"/>
          <w:szCs w:val="20"/>
          <w:color w:val="auto"/>
        </w:rPr>
      </w:pPr>
    </w:p>
    <w:p>
      <w:pPr>
        <w:ind w:left="1700" w:hanging="533"/>
        <w:spacing w:after="0"/>
        <w:tabs>
          <w:tab w:leader="none" w:pos="170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w:t>
      </w:r>
    </w:p>
    <w:p>
      <w:pPr>
        <w:ind w:left="170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Advisory Research, Inc.</w:t>
      </w:r>
      <w:r>
        <w:rPr>
          <w:rFonts w:ascii="Courier New" w:cs="Courier New" w:eastAsia="Courier New" w:hAnsi="Courier New"/>
          <w:sz w:val="16"/>
          <w:szCs w:val="16"/>
          <w:color w:val="auto"/>
        </w:rPr>
        <w:t>3,257,203 Shares</w:t>
      </w:r>
    </w:p>
    <w:p>
      <w:pPr>
        <w:spacing w:after="0" w:line="202" w:lineRule="exact"/>
        <w:rPr>
          <w:sz w:val="20"/>
          <w:szCs w:val="20"/>
          <w:color w:val="auto"/>
        </w:rPr>
      </w:pPr>
    </w:p>
    <w:tbl>
      <w:tblPr>
        <w:tblLayout w:type="fixed"/>
        <w:tblInd w:w="1160" w:type="dxa"/>
        <w:tblCellMar>
          <w:top w:w="0" w:type="dxa"/>
          <w:left w:w="0" w:type="dxa"/>
          <w:bottom w:w="0" w:type="dxa"/>
          <w:right w:w="0" w:type="dxa"/>
        </w:tblCellMar>
      </w:tblPr>
      <w:tr>
        <w:trPr>
          <w:trHeight w:val="204"/>
        </w:trPr>
        <w:tc>
          <w:tcPr>
            <w:tcW w:w="2800" w:type="dxa"/>
            <w:vAlign w:val="bottom"/>
          </w:tcPr>
          <w:p>
            <w:pPr>
              <w:spacing w:after="0"/>
              <w:rPr>
                <w:sz w:val="20"/>
                <w:szCs w:val="20"/>
                <w:color w:val="auto"/>
              </w:rPr>
            </w:pPr>
            <w:r>
              <w:rPr>
                <w:rFonts w:ascii="Courier New" w:cs="Courier New" w:eastAsia="Courier New" w:hAnsi="Courier New"/>
                <w:sz w:val="18"/>
                <w:szCs w:val="18"/>
                <w:color w:val="auto"/>
              </w:rPr>
              <w:t>(b)  Percent of Class</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6.4%</w:t>
            </w:r>
          </w:p>
        </w:tc>
      </w:tr>
    </w:tbl>
    <w:p>
      <w:pPr>
        <w:spacing w:after="0" w:line="201" w:lineRule="exact"/>
        <w:rPr>
          <w:sz w:val="20"/>
          <w:szCs w:val="20"/>
          <w:color w:val="auto"/>
        </w:rPr>
      </w:pPr>
    </w:p>
    <w:p>
      <w:pPr>
        <w:ind w:left="1700" w:hanging="533"/>
        <w:spacing w:after="0"/>
        <w:tabs>
          <w:tab w:leader="none" w:pos="170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reporting person has:</w:t>
      </w:r>
    </w:p>
    <w:tbl>
      <w:tblPr>
        <w:tblLayout w:type="fixed"/>
        <w:tblInd w:w="0" w:type="dxa"/>
        <w:tblCellMar>
          <w:top w:w="0" w:type="dxa"/>
          <w:left w:w="0" w:type="dxa"/>
          <w:bottom w:w="0" w:type="dxa"/>
          <w:right w:w="0" w:type="dxa"/>
        </w:tblCellMar>
      </w:tblPr>
      <w:tr>
        <w:trPr>
          <w:trHeight w:val="203"/>
        </w:trPr>
        <w:tc>
          <w:tcPr>
            <w:tcW w:w="900" w:type="dxa"/>
            <w:vAlign w:val="bottom"/>
          </w:tcPr>
          <w:p>
            <w:pPr>
              <w:spacing w:after="0"/>
              <w:rPr>
                <w:sz w:val="17"/>
                <w:szCs w:val="17"/>
                <w:color w:val="auto"/>
              </w:rPr>
            </w:pPr>
          </w:p>
        </w:tc>
        <w:tc>
          <w:tcPr>
            <w:tcW w:w="1320" w:type="dxa"/>
            <w:vAlign w:val="bottom"/>
          </w:tcPr>
          <w:p>
            <w:pPr>
              <w:ind w:left="800"/>
              <w:spacing w:after="0" w:line="203" w:lineRule="exact"/>
              <w:rPr>
                <w:sz w:val="20"/>
                <w:szCs w:val="20"/>
                <w:color w:val="auto"/>
              </w:rPr>
            </w:pPr>
            <w:r>
              <w:rPr>
                <w:rFonts w:ascii="Courier New" w:cs="Courier New" w:eastAsia="Courier New" w:hAnsi="Courier New"/>
                <w:sz w:val="18"/>
                <w:szCs w:val="18"/>
                <w:color w:val="auto"/>
              </w:rPr>
              <w:t>(i)</w:t>
            </w:r>
          </w:p>
        </w:tc>
        <w:tc>
          <w:tcPr>
            <w:tcW w:w="2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Sole Voting Power</w:t>
            </w:r>
          </w:p>
        </w:tc>
        <w:tc>
          <w:tcPr>
            <w:tcW w:w="10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2,101,701</w:t>
            </w:r>
          </w:p>
        </w:tc>
        <w:tc>
          <w:tcPr>
            <w:tcW w:w="6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2"/>
              </w:rPr>
              <w:t>Shares</w:t>
            </w:r>
          </w:p>
        </w:tc>
      </w:tr>
      <w:tr>
        <w:trPr>
          <w:trHeight w:val="203"/>
        </w:trPr>
        <w:tc>
          <w:tcPr>
            <w:tcW w:w="900" w:type="dxa"/>
            <w:vAlign w:val="bottom"/>
          </w:tcPr>
          <w:p>
            <w:pPr>
              <w:spacing w:after="0"/>
              <w:rPr>
                <w:sz w:val="17"/>
                <w:szCs w:val="17"/>
                <w:color w:val="auto"/>
              </w:rPr>
            </w:pPr>
          </w:p>
        </w:tc>
        <w:tc>
          <w:tcPr>
            <w:tcW w:w="1320" w:type="dxa"/>
            <w:vAlign w:val="bottom"/>
          </w:tcPr>
          <w:p>
            <w:pPr>
              <w:ind w:left="800"/>
              <w:spacing w:after="0" w:line="203" w:lineRule="exact"/>
              <w:rPr>
                <w:sz w:val="20"/>
                <w:szCs w:val="20"/>
                <w:color w:val="auto"/>
              </w:rPr>
            </w:pPr>
            <w:r>
              <w:rPr>
                <w:rFonts w:ascii="Courier New" w:cs="Courier New" w:eastAsia="Courier New" w:hAnsi="Courier New"/>
                <w:sz w:val="18"/>
                <w:szCs w:val="18"/>
                <w:color w:val="auto"/>
              </w:rPr>
              <w:t>(ii)</w:t>
            </w:r>
          </w:p>
        </w:tc>
        <w:tc>
          <w:tcPr>
            <w:tcW w:w="2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10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0</w:t>
            </w:r>
          </w:p>
        </w:tc>
        <w:tc>
          <w:tcPr>
            <w:tcW w:w="6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2"/>
              </w:rPr>
              <w:t>Shares</w:t>
            </w:r>
          </w:p>
        </w:tc>
      </w:tr>
      <w:tr>
        <w:trPr>
          <w:trHeight w:val="203"/>
        </w:trPr>
        <w:tc>
          <w:tcPr>
            <w:tcW w:w="900" w:type="dxa"/>
            <w:vAlign w:val="bottom"/>
          </w:tcPr>
          <w:p>
            <w:pPr>
              <w:spacing w:after="0"/>
              <w:rPr>
                <w:sz w:val="17"/>
                <w:szCs w:val="17"/>
                <w:color w:val="auto"/>
              </w:rPr>
            </w:pPr>
          </w:p>
        </w:tc>
        <w:tc>
          <w:tcPr>
            <w:tcW w:w="1320" w:type="dxa"/>
            <w:vAlign w:val="bottom"/>
          </w:tcPr>
          <w:p>
            <w:pPr>
              <w:ind w:left="800"/>
              <w:spacing w:after="0" w:line="203" w:lineRule="exact"/>
              <w:rPr>
                <w:sz w:val="20"/>
                <w:szCs w:val="20"/>
                <w:color w:val="auto"/>
              </w:rPr>
            </w:pPr>
            <w:r>
              <w:rPr>
                <w:rFonts w:ascii="Courier New" w:cs="Courier New" w:eastAsia="Courier New" w:hAnsi="Courier New"/>
                <w:sz w:val="18"/>
                <w:szCs w:val="18"/>
                <w:color w:val="auto"/>
                <w:w w:val="92"/>
              </w:rPr>
              <w:t>(iii)</w:t>
            </w:r>
          </w:p>
        </w:tc>
        <w:tc>
          <w:tcPr>
            <w:tcW w:w="2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10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3,257,203</w:t>
            </w:r>
          </w:p>
        </w:tc>
        <w:tc>
          <w:tcPr>
            <w:tcW w:w="6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2"/>
              </w:rPr>
              <w:t>Shares</w:t>
            </w:r>
          </w:p>
        </w:tc>
      </w:tr>
      <w:tr>
        <w:trPr>
          <w:trHeight w:val="203"/>
        </w:trPr>
        <w:tc>
          <w:tcPr>
            <w:tcW w:w="900" w:type="dxa"/>
            <w:vAlign w:val="bottom"/>
          </w:tcPr>
          <w:p>
            <w:pPr>
              <w:spacing w:after="0"/>
              <w:rPr>
                <w:sz w:val="17"/>
                <w:szCs w:val="17"/>
                <w:color w:val="auto"/>
              </w:rPr>
            </w:pPr>
          </w:p>
        </w:tc>
        <w:tc>
          <w:tcPr>
            <w:tcW w:w="1320" w:type="dxa"/>
            <w:vAlign w:val="bottom"/>
          </w:tcPr>
          <w:p>
            <w:pPr>
              <w:ind w:left="800"/>
              <w:spacing w:after="0" w:line="203" w:lineRule="exact"/>
              <w:rPr>
                <w:sz w:val="20"/>
                <w:szCs w:val="20"/>
                <w:color w:val="auto"/>
              </w:rPr>
            </w:pPr>
            <w:r>
              <w:rPr>
                <w:rFonts w:ascii="Courier New" w:cs="Courier New" w:eastAsia="Courier New" w:hAnsi="Courier New"/>
                <w:sz w:val="18"/>
                <w:szCs w:val="18"/>
                <w:color w:val="auto"/>
              </w:rPr>
              <w:t>(iv)</w:t>
            </w:r>
          </w:p>
        </w:tc>
        <w:tc>
          <w:tcPr>
            <w:tcW w:w="2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Shared Dispositive Power</w:t>
            </w:r>
          </w:p>
        </w:tc>
        <w:tc>
          <w:tcPr>
            <w:tcW w:w="10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0</w:t>
            </w:r>
          </w:p>
        </w:tc>
        <w:tc>
          <w:tcPr>
            <w:tcW w:w="6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2"/>
              </w:rPr>
              <w:t>Shares</w:t>
            </w:r>
          </w:p>
        </w:tc>
      </w:tr>
      <w:tr>
        <w:trPr>
          <w:trHeight w:val="405"/>
        </w:trPr>
        <w:tc>
          <w:tcPr>
            <w:tcW w:w="900" w:type="dxa"/>
            <w:vAlign w:val="bottom"/>
          </w:tcPr>
          <w:p>
            <w:pPr>
              <w:spacing w:after="0"/>
              <w:rPr>
                <w:sz w:val="20"/>
                <w:szCs w:val="20"/>
                <w:color w:val="auto"/>
              </w:rPr>
            </w:pPr>
            <w:r>
              <w:rPr>
                <w:rFonts w:ascii="Courier New" w:cs="Courier New" w:eastAsia="Courier New" w:hAnsi="Courier New"/>
                <w:sz w:val="18"/>
                <w:szCs w:val="18"/>
                <w:color w:val="auto"/>
              </w:rPr>
              <w:t>Item 5</w:t>
            </w:r>
          </w:p>
        </w:tc>
        <w:tc>
          <w:tcPr>
            <w:tcW w:w="1320" w:type="dxa"/>
            <w:vAlign w:val="bottom"/>
          </w:tcPr>
          <w:p>
            <w:pPr>
              <w:ind w:left="260"/>
              <w:spacing w:after="0"/>
              <w:rPr>
                <w:sz w:val="20"/>
                <w:szCs w:val="20"/>
                <w:color w:val="auto"/>
              </w:rPr>
            </w:pPr>
            <w:r>
              <w:rPr>
                <w:rFonts w:ascii="Courier New" w:cs="Courier New" w:eastAsia="Courier New" w:hAnsi="Courier New"/>
                <w:sz w:val="18"/>
                <w:szCs w:val="18"/>
                <w:color w:val="auto"/>
              </w:rPr>
              <w:t>Ownership</w:t>
            </w:r>
          </w:p>
        </w:tc>
        <w:tc>
          <w:tcPr>
            <w:tcW w:w="2800" w:type="dxa"/>
            <w:vAlign w:val="bottom"/>
          </w:tcPr>
          <w:p>
            <w:pPr>
              <w:spacing w:after="0"/>
              <w:rPr>
                <w:sz w:val="20"/>
                <w:szCs w:val="20"/>
                <w:color w:val="auto"/>
              </w:rPr>
            </w:pPr>
            <w:r>
              <w:rPr>
                <w:rFonts w:ascii="Courier New" w:cs="Courier New" w:eastAsia="Courier New" w:hAnsi="Courier New"/>
                <w:sz w:val="18"/>
                <w:szCs w:val="18"/>
                <w:color w:val="auto"/>
                <w:w w:val="98"/>
              </w:rPr>
              <w:t>of Five Percent or Less of</w:t>
            </w:r>
          </w:p>
        </w:tc>
        <w:tc>
          <w:tcPr>
            <w:tcW w:w="1040" w:type="dxa"/>
            <w:vAlign w:val="bottom"/>
          </w:tcPr>
          <w:p>
            <w:pPr>
              <w:ind w:left="40"/>
              <w:spacing w:after="0"/>
              <w:rPr>
                <w:sz w:val="20"/>
                <w:szCs w:val="20"/>
                <w:color w:val="auto"/>
              </w:rPr>
            </w:pPr>
            <w:r>
              <w:rPr>
                <w:rFonts w:ascii="Courier New" w:cs="Courier New" w:eastAsia="Courier New" w:hAnsi="Courier New"/>
                <w:sz w:val="18"/>
                <w:szCs w:val="18"/>
                <w:color w:val="auto"/>
              </w:rPr>
              <w:t>a Class:</w:t>
            </w:r>
          </w:p>
        </w:tc>
        <w:tc>
          <w:tcPr>
            <w:tcW w:w="680" w:type="dxa"/>
            <w:vAlign w:val="bottom"/>
          </w:tcPr>
          <w:p>
            <w:pPr>
              <w:spacing w:after="0"/>
              <w:rPr>
                <w:sz w:val="24"/>
                <w:szCs w:val="24"/>
                <w:color w:val="auto"/>
              </w:rPr>
            </w:pPr>
          </w:p>
        </w:tc>
      </w:tr>
      <w:tr>
        <w:trPr>
          <w:trHeight w:val="203"/>
        </w:trPr>
        <w:tc>
          <w:tcPr>
            <w:tcW w:w="900" w:type="dxa"/>
            <w:vAlign w:val="bottom"/>
          </w:tcPr>
          <w:p>
            <w:pPr>
              <w:spacing w:after="0"/>
              <w:rPr>
                <w:sz w:val="17"/>
                <w:szCs w:val="17"/>
                <w:color w:val="auto"/>
              </w:rPr>
            </w:pPr>
          </w:p>
        </w:tc>
        <w:tc>
          <w:tcPr>
            <w:tcW w:w="5160" w:type="dxa"/>
            <w:vAlign w:val="bottom"/>
            <w:gridSpan w:val="3"/>
          </w:tcPr>
          <w:p>
            <w:pPr>
              <w:ind w:left="260"/>
              <w:spacing w:after="0" w:line="203" w:lineRule="exact"/>
              <w:rPr>
                <w:sz w:val="20"/>
                <w:szCs w:val="20"/>
                <w:color w:val="auto"/>
              </w:rPr>
            </w:pPr>
            <w:r>
              <w:rPr>
                <w:rFonts w:ascii="Courier New" w:cs="Courier New" w:eastAsia="Courier New" w:hAnsi="Courier New"/>
                <w:sz w:val="18"/>
                <w:szCs w:val="18"/>
                <w:color w:val="auto"/>
                <w:w w:val="98"/>
              </w:rPr>
              <w:t>If this statement is being filed to report the</w:t>
            </w:r>
          </w:p>
        </w:tc>
        <w:tc>
          <w:tcPr>
            <w:tcW w:w="6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fact</w:t>
            </w:r>
          </w:p>
        </w:tc>
      </w:tr>
      <w:tr>
        <w:trPr>
          <w:trHeight w:val="203"/>
        </w:trPr>
        <w:tc>
          <w:tcPr>
            <w:tcW w:w="900" w:type="dxa"/>
            <w:vAlign w:val="bottom"/>
          </w:tcPr>
          <w:p>
            <w:pPr>
              <w:spacing w:after="0"/>
              <w:rPr>
                <w:sz w:val="17"/>
                <w:szCs w:val="17"/>
                <w:color w:val="auto"/>
              </w:rPr>
            </w:pPr>
          </w:p>
        </w:tc>
        <w:tc>
          <w:tcPr>
            <w:tcW w:w="5840" w:type="dxa"/>
            <w:vAlign w:val="bottom"/>
            <w:gridSpan w:val="4"/>
          </w:tcPr>
          <w:p>
            <w:pPr>
              <w:ind w:left="260"/>
              <w:spacing w:after="0" w:line="203" w:lineRule="exact"/>
              <w:rPr>
                <w:sz w:val="20"/>
                <w:szCs w:val="20"/>
                <w:color w:val="auto"/>
              </w:rPr>
            </w:pPr>
            <w:r>
              <w:rPr>
                <w:rFonts w:ascii="Courier New" w:cs="Courier New" w:eastAsia="Courier New" w:hAnsi="Courier New"/>
                <w:sz w:val="18"/>
                <w:szCs w:val="18"/>
                <w:color w:val="auto"/>
              </w:rPr>
              <w:t>that as of the date hereof the reporting person has</w:t>
            </w:r>
          </w:p>
        </w:tc>
      </w:tr>
      <w:tr>
        <w:trPr>
          <w:trHeight w:val="203"/>
        </w:trPr>
        <w:tc>
          <w:tcPr>
            <w:tcW w:w="900" w:type="dxa"/>
            <w:vAlign w:val="bottom"/>
          </w:tcPr>
          <w:p>
            <w:pPr>
              <w:spacing w:after="0"/>
              <w:rPr>
                <w:sz w:val="17"/>
                <w:szCs w:val="17"/>
                <w:color w:val="auto"/>
              </w:rPr>
            </w:pPr>
          </w:p>
        </w:tc>
        <w:tc>
          <w:tcPr>
            <w:tcW w:w="13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ceased to</w:t>
            </w:r>
          </w:p>
        </w:tc>
        <w:tc>
          <w:tcPr>
            <w:tcW w:w="280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be the beneficial owner of</w:t>
            </w:r>
          </w:p>
        </w:tc>
        <w:tc>
          <w:tcPr>
            <w:tcW w:w="10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more than</w:t>
            </w:r>
          </w:p>
        </w:tc>
        <w:tc>
          <w:tcPr>
            <w:tcW w:w="6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five</w:t>
            </w:r>
          </w:p>
        </w:tc>
      </w:tr>
      <w:tr>
        <w:trPr>
          <w:trHeight w:val="203"/>
        </w:trPr>
        <w:tc>
          <w:tcPr>
            <w:tcW w:w="900" w:type="dxa"/>
            <w:vAlign w:val="bottom"/>
          </w:tcPr>
          <w:p>
            <w:pPr>
              <w:spacing w:after="0"/>
              <w:rPr>
                <w:sz w:val="17"/>
                <w:szCs w:val="17"/>
                <w:color w:val="auto"/>
              </w:rPr>
            </w:pPr>
          </w:p>
        </w:tc>
        <w:tc>
          <w:tcPr>
            <w:tcW w:w="5160" w:type="dxa"/>
            <w:vAlign w:val="bottom"/>
            <w:gridSpan w:val="3"/>
          </w:tcPr>
          <w:p>
            <w:pPr>
              <w:ind w:left="260"/>
              <w:spacing w:after="0" w:line="203" w:lineRule="exact"/>
              <w:rPr>
                <w:sz w:val="20"/>
                <w:szCs w:val="20"/>
                <w:color w:val="auto"/>
              </w:rPr>
            </w:pPr>
            <w:r>
              <w:rPr>
                <w:rFonts w:ascii="Courier New" w:cs="Courier New" w:eastAsia="Courier New" w:hAnsi="Courier New"/>
                <w:sz w:val="18"/>
                <w:szCs w:val="18"/>
                <w:color w:val="auto"/>
              </w:rPr>
              <w:t>percent of the class of securities, check the</w:t>
            </w:r>
          </w:p>
        </w:tc>
        <w:tc>
          <w:tcPr>
            <w:tcW w:w="680" w:type="dxa"/>
            <w:vAlign w:val="bottom"/>
          </w:tcPr>
          <w:p>
            <w:pPr>
              <w:spacing w:after="0"/>
              <w:rPr>
                <w:sz w:val="17"/>
                <w:szCs w:val="17"/>
                <w:color w:val="auto"/>
              </w:rPr>
            </w:pPr>
          </w:p>
        </w:tc>
      </w:tr>
      <w:tr>
        <w:trPr>
          <w:trHeight w:val="203"/>
        </w:trPr>
        <w:tc>
          <w:tcPr>
            <w:tcW w:w="900" w:type="dxa"/>
            <w:vAlign w:val="bottom"/>
          </w:tcPr>
          <w:p>
            <w:pPr>
              <w:spacing w:after="0"/>
              <w:rPr>
                <w:sz w:val="17"/>
                <w:szCs w:val="17"/>
                <w:color w:val="auto"/>
              </w:rPr>
            </w:pPr>
          </w:p>
        </w:tc>
        <w:tc>
          <w:tcPr>
            <w:tcW w:w="13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following</w:t>
            </w:r>
          </w:p>
        </w:tc>
        <w:tc>
          <w:tcPr>
            <w:tcW w:w="280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1040" w:type="dxa"/>
            <w:vAlign w:val="bottom"/>
          </w:tcPr>
          <w:p>
            <w:pPr>
              <w:spacing w:after="0"/>
              <w:rPr>
                <w:sz w:val="17"/>
                <w:szCs w:val="17"/>
                <w:color w:val="auto"/>
              </w:rPr>
            </w:pPr>
          </w:p>
        </w:tc>
        <w:tc>
          <w:tcPr>
            <w:tcW w:w="680" w:type="dxa"/>
            <w:vAlign w:val="bottom"/>
          </w:tcPr>
          <w:p>
            <w:pPr>
              <w:spacing w:after="0"/>
              <w:rPr>
                <w:sz w:val="17"/>
                <w:szCs w:val="17"/>
                <w:color w:val="auto"/>
              </w:rPr>
            </w:pPr>
          </w:p>
        </w:tc>
      </w:tr>
    </w:tbl>
    <w:p>
      <w:pPr>
        <w:spacing w:after="0" w:line="207" w:lineRule="exact"/>
        <w:rPr>
          <w:sz w:val="20"/>
          <w:szCs w:val="20"/>
          <w:color w:val="auto"/>
        </w:rPr>
      </w:pPr>
    </w:p>
    <w:p>
      <w:pPr>
        <w:ind w:left="1160" w:right="2939" w:hanging="1158"/>
        <w:spacing w:after="0" w:line="272" w:lineRule="auto"/>
        <w:tabs>
          <w:tab w:leader="none" w:pos="11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 Person: The clients referenced in Exhibit A have the right to receive or the power to direct the receipt of dividends from, or the proceeds from the sale of the securities held in their respective accounts. No client's interest is known to exceed 5% of the class of securities.</w:t>
      </w:r>
    </w:p>
    <w:p>
      <w:pPr>
        <w:spacing w:after="0" w:line="186" w:lineRule="exact"/>
        <w:rPr>
          <w:sz w:val="20"/>
          <w:szCs w:val="20"/>
          <w:color w:val="auto"/>
        </w:rPr>
      </w:pPr>
    </w:p>
    <w:p>
      <w:pPr>
        <w:ind w:left="1160" w:right="3579" w:hanging="1158"/>
        <w:spacing w:after="0" w:line="236" w:lineRule="auto"/>
        <w:tabs>
          <w:tab w:leader="none" w:pos="11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8"/>
          <w:szCs w:val="18"/>
          <w:color w:val="auto"/>
        </w:rPr>
        <w:t>Identification and Classification of the Subsidiary Which Acquired the Security being Reported on by the Parent Holding Company:</w:t>
      </w:r>
    </w:p>
    <w:p>
      <w:pPr>
        <w:spacing w:after="0" w:line="203"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See attached Exhibit A.</w:t>
      </w:r>
    </w:p>
    <w:p>
      <w:pPr>
        <w:spacing w:after="0" w:line="207" w:lineRule="exact"/>
        <w:rPr>
          <w:sz w:val="20"/>
          <w:szCs w:val="20"/>
          <w:color w:val="auto"/>
        </w:rPr>
      </w:pPr>
    </w:p>
    <w:p>
      <w:pPr>
        <w:ind w:left="1160" w:right="4099" w:hanging="1158"/>
        <w:spacing w:after="0" w:line="235" w:lineRule="auto"/>
        <w:tabs>
          <w:tab w:leader="none" w:pos="11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8"/>
          <w:szCs w:val="18"/>
          <w:color w:val="auto"/>
        </w:rPr>
        <w:t>Identification and Classification if Members of the Group: Not Applicable</w:t>
      </w:r>
    </w:p>
    <w:p>
      <w:pPr>
        <w:spacing w:after="0" w:line="203" w:lineRule="exact"/>
        <w:rPr>
          <w:sz w:val="20"/>
          <w:szCs w:val="20"/>
          <w:color w:val="auto"/>
        </w:rPr>
      </w:pPr>
    </w:p>
    <w:p>
      <w:pPr>
        <w:spacing w:after="0"/>
        <w:tabs>
          <w:tab w:leader="none" w:pos="1140" w:val="left"/>
          <w:tab w:leader="none" w:pos="462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8"/>
          <w:szCs w:val="18"/>
          <w:color w:val="auto"/>
        </w:rPr>
        <w:t>Notice of Dissolution of Group:</w:t>
      </w:r>
      <w:r>
        <w:rPr>
          <w:sz w:val="20"/>
          <w:szCs w:val="20"/>
          <w:color w:val="auto"/>
        </w:rPr>
        <w:tab/>
      </w:r>
      <w:r>
        <w:rPr>
          <w:rFonts w:ascii="Courier New" w:cs="Courier New" w:eastAsia="Courier New" w:hAnsi="Courier New"/>
          <w:sz w:val="16"/>
          <w:szCs w:val="16"/>
          <w:color w:val="auto"/>
        </w:rPr>
        <w:t>Not Applicable</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By signing below I certify that, to the best of my</w:t>
      </w:r>
    </w:p>
    <w:p>
      <w:pPr>
        <w:sectPr>
          <w:pgSz w:w="11900" w:h="16838" w:orient="portrait"/>
          <w:cols w:equalWidth="0" w:num="1">
            <w:col w:w="10219"/>
          </w:cols>
          <w:pgMar w:left="240" w:top="136" w:right="1440" w:bottom="0" w:gutter="0" w:footer="0" w:header="0"/>
        </w:sectPr>
      </w:pPr>
    </w:p>
    <w:bookmarkStart w:id="2" w:name="page3"/>
    <w:bookmarkEnd w:id="2"/>
    <w:p>
      <w:pPr>
        <w:ind w:left="1160"/>
        <w:spacing w:after="0"/>
        <w:rPr>
          <w:sz w:val="20"/>
          <w:szCs w:val="20"/>
          <w:color w:val="auto"/>
        </w:rPr>
      </w:pPr>
      <w:r>
        <w:rPr>
          <w:rFonts w:ascii="Courier New" w:cs="Courier New" w:eastAsia="Courier New" w:hAnsi="Courier New"/>
          <w:sz w:val="18"/>
          <w:szCs w:val="18"/>
          <w:color w:val="auto"/>
        </w:rPr>
        <w:t>knowledge and belief, the securities referred to</w:t>
      </w:r>
    </w:p>
    <w:p>
      <w:pPr>
        <w:ind w:left="1160"/>
        <w:spacing w:after="0" w:line="238" w:lineRule="auto"/>
        <w:rPr>
          <w:sz w:val="20"/>
          <w:szCs w:val="20"/>
          <w:color w:val="auto"/>
        </w:rPr>
      </w:pPr>
      <w:r>
        <w:rPr>
          <w:rFonts w:ascii="Courier New" w:cs="Courier New" w:eastAsia="Courier New" w:hAnsi="Courier New"/>
          <w:sz w:val="18"/>
          <w:szCs w:val="18"/>
          <w:color w:val="auto"/>
        </w:rPr>
        <w:t>above were acquired and are held in the ordinary</w:t>
      </w:r>
    </w:p>
    <w:p>
      <w:pPr>
        <w:ind w:left="1160"/>
        <w:spacing w:after="0"/>
        <w:rPr>
          <w:sz w:val="20"/>
          <w:szCs w:val="20"/>
          <w:color w:val="auto"/>
        </w:rPr>
      </w:pPr>
      <w:r>
        <w:rPr>
          <w:rFonts w:ascii="Courier New" w:cs="Courier New" w:eastAsia="Courier New" w:hAnsi="Courier New"/>
          <w:sz w:val="18"/>
          <w:szCs w:val="18"/>
          <w:color w:val="auto"/>
        </w:rPr>
        <w:t>course of business and were not acquired and are</w:t>
      </w:r>
    </w:p>
    <w:p>
      <w:pPr>
        <w:ind w:left="1160"/>
        <w:spacing w:after="0" w:line="237" w:lineRule="auto"/>
        <w:rPr>
          <w:sz w:val="20"/>
          <w:szCs w:val="20"/>
          <w:color w:val="auto"/>
        </w:rPr>
      </w:pPr>
      <w:r>
        <w:rPr>
          <w:rFonts w:ascii="Courier New" w:cs="Courier New" w:eastAsia="Courier New" w:hAnsi="Courier New"/>
          <w:sz w:val="18"/>
          <w:szCs w:val="18"/>
          <w:color w:val="auto"/>
        </w:rPr>
        <w:t>not held for the purpose of or with the effect of</w:t>
      </w:r>
    </w:p>
    <w:p>
      <w:pPr>
        <w:ind w:left="1160"/>
        <w:spacing w:after="0" w:line="238" w:lineRule="auto"/>
        <w:rPr>
          <w:sz w:val="20"/>
          <w:szCs w:val="20"/>
          <w:color w:val="auto"/>
        </w:rPr>
      </w:pPr>
      <w:r>
        <w:rPr>
          <w:rFonts w:ascii="Courier New" w:cs="Courier New" w:eastAsia="Courier New" w:hAnsi="Courier New"/>
          <w:sz w:val="18"/>
          <w:szCs w:val="18"/>
          <w:color w:val="auto"/>
        </w:rPr>
        <w:t>changing or influencing the control of the issuer</w:t>
      </w:r>
    </w:p>
    <w:p>
      <w:pPr>
        <w:ind w:left="1160"/>
        <w:spacing w:after="0"/>
        <w:rPr>
          <w:sz w:val="20"/>
          <w:szCs w:val="20"/>
          <w:color w:val="auto"/>
        </w:rPr>
      </w:pPr>
      <w:r>
        <w:rPr>
          <w:rFonts w:ascii="Courier New" w:cs="Courier New" w:eastAsia="Courier New" w:hAnsi="Courier New"/>
          <w:sz w:val="18"/>
          <w:szCs w:val="18"/>
          <w:color w:val="auto"/>
        </w:rPr>
        <w:t>of such securities and were not acquired and are</w:t>
      </w:r>
    </w:p>
    <w:p>
      <w:pPr>
        <w:ind w:left="1160"/>
        <w:spacing w:after="0" w:line="237" w:lineRule="auto"/>
        <w:rPr>
          <w:sz w:val="20"/>
          <w:szCs w:val="20"/>
          <w:color w:val="auto"/>
        </w:rPr>
      </w:pPr>
      <w:r>
        <w:rPr>
          <w:rFonts w:ascii="Courier New" w:cs="Courier New" w:eastAsia="Courier New" w:hAnsi="Courier New"/>
          <w:sz w:val="18"/>
          <w:szCs w:val="18"/>
          <w:color w:val="auto"/>
        </w:rPr>
        <w:t>not held in connection with or as a participant</w:t>
      </w:r>
    </w:p>
    <w:p>
      <w:pPr>
        <w:ind w:left="1160"/>
        <w:spacing w:after="0"/>
        <w:rPr>
          <w:sz w:val="20"/>
          <w:szCs w:val="20"/>
          <w:color w:val="auto"/>
        </w:rPr>
      </w:pPr>
      <w:r>
        <w:rPr>
          <w:rFonts w:ascii="Courier New" w:cs="Courier New" w:eastAsia="Courier New" w:hAnsi="Courier New"/>
          <w:sz w:val="18"/>
          <w:szCs w:val="18"/>
          <w:color w:val="auto"/>
        </w:rPr>
        <w:t>in any transaction having such purposes or effect.</w:t>
      </w:r>
    </w:p>
    <w:p>
      <w:pPr>
        <w:spacing w:after="0" w:line="200"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89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02/17/2015</w:t>
      </w:r>
    </w:p>
    <w:p>
      <w:pPr>
        <w:ind w:left="2540"/>
        <w:spacing w:after="0" w:line="238" w:lineRule="auto"/>
        <w:rPr>
          <w:sz w:val="20"/>
          <w:szCs w:val="20"/>
          <w:color w:val="auto"/>
        </w:rPr>
      </w:pPr>
      <w:r>
        <w:rPr>
          <w:rFonts w:ascii="Courier New" w:cs="Courier New" w:eastAsia="Courier New" w:hAnsi="Courier New"/>
          <w:sz w:val="18"/>
          <w:szCs w:val="18"/>
          <w:color w:val="auto"/>
        </w:rPr>
        <w:t>----------------------------------</w:t>
      </w:r>
    </w:p>
    <w:p>
      <w:pPr>
        <w:ind w:left="2540"/>
        <w:spacing w:after="0"/>
        <w:rPr>
          <w:sz w:val="20"/>
          <w:szCs w:val="20"/>
          <w:color w:val="auto"/>
        </w:rPr>
      </w:pPr>
      <w:r>
        <w:rPr>
          <w:rFonts w:ascii="Courier New" w:cs="Courier New" w:eastAsia="Courier New" w:hAnsi="Courier New"/>
          <w:sz w:val="18"/>
          <w:szCs w:val="18"/>
          <w:color w:val="auto"/>
        </w:rPr>
        <w:t>Date</w:t>
      </w:r>
    </w:p>
    <w:p>
      <w:pPr>
        <w:spacing w:after="0" w:line="200"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Piper Jaffray Companies</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By /s/ Christopher D. Crawshaw</w:t>
      </w:r>
    </w:p>
    <w:p>
      <w:pPr>
        <w:ind w:left="2540"/>
        <w:spacing w:after="0" w:line="238" w:lineRule="auto"/>
        <w:rPr>
          <w:sz w:val="20"/>
          <w:szCs w:val="20"/>
          <w:color w:val="auto"/>
        </w:rPr>
      </w:pPr>
      <w:r>
        <w:rPr>
          <w:rFonts w:ascii="Courier New" w:cs="Courier New" w:eastAsia="Courier New" w:hAnsi="Courier New"/>
          <w:sz w:val="18"/>
          <w:szCs w:val="18"/>
          <w:color w:val="auto"/>
        </w:rPr>
        <w:t>----------------------------------</w:t>
      </w:r>
    </w:p>
    <w:p>
      <w:pPr>
        <w:ind w:left="2540"/>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Christopher D. Crawshaw</w:t>
      </w:r>
    </w:p>
    <w:p>
      <w:pPr>
        <w:ind w:left="2540"/>
        <w:spacing w:after="0" w:line="238" w:lineRule="auto"/>
        <w:rPr>
          <w:sz w:val="20"/>
          <w:szCs w:val="20"/>
          <w:color w:val="auto"/>
        </w:rPr>
      </w:pPr>
      <w:r>
        <w:rPr>
          <w:rFonts w:ascii="Courier New" w:cs="Courier New" w:eastAsia="Courier New" w:hAnsi="Courier New"/>
          <w:sz w:val="18"/>
          <w:szCs w:val="18"/>
          <w:color w:val="auto"/>
        </w:rPr>
        <w:t>Head of Asset Management</w:t>
      </w:r>
    </w:p>
    <w:p>
      <w:pPr>
        <w:ind w:left="2540"/>
        <w:spacing w:after="0"/>
        <w:rPr>
          <w:sz w:val="20"/>
          <w:szCs w:val="20"/>
          <w:color w:val="auto"/>
        </w:rPr>
      </w:pPr>
      <w:r>
        <w:rPr>
          <w:rFonts w:ascii="Courier New" w:cs="Courier New" w:eastAsia="Courier New" w:hAnsi="Courier New"/>
          <w:sz w:val="18"/>
          <w:szCs w:val="18"/>
          <w:color w:val="auto"/>
        </w:rPr>
        <w:t>----------------------------------</w:t>
      </w:r>
    </w:p>
    <w:p>
      <w:pPr>
        <w:ind w:left="2540"/>
        <w:spacing w:after="0" w:line="237" w:lineRule="auto"/>
        <w:rPr>
          <w:sz w:val="20"/>
          <w:szCs w:val="20"/>
          <w:color w:val="auto"/>
        </w:rPr>
      </w:pPr>
      <w:r>
        <w:rPr>
          <w:rFonts w:ascii="Courier New" w:cs="Courier New" w:eastAsia="Courier New" w:hAnsi="Courier New"/>
          <w:sz w:val="18"/>
          <w:szCs w:val="18"/>
          <w:color w:val="auto"/>
        </w:rPr>
        <w:t>Name/Title</w:t>
      </w:r>
    </w:p>
    <w:p>
      <w:pPr>
        <w:spacing w:after="0" w:line="200" w:lineRule="exact"/>
        <w:rPr>
          <w:sz w:val="20"/>
          <w:szCs w:val="20"/>
          <w:color w:val="auto"/>
        </w:rPr>
      </w:pPr>
    </w:p>
    <w:p>
      <w:pPr>
        <w:spacing w:after="0" w:line="204"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Advisory Research, Inc.</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By /s/ Christopher D. Crawshaw</w:t>
      </w:r>
    </w:p>
    <w:p>
      <w:pPr>
        <w:ind w:left="2540"/>
        <w:spacing w:after="0" w:line="238" w:lineRule="auto"/>
        <w:rPr>
          <w:sz w:val="20"/>
          <w:szCs w:val="20"/>
          <w:color w:val="auto"/>
        </w:rPr>
      </w:pPr>
      <w:r>
        <w:rPr>
          <w:rFonts w:ascii="Courier New" w:cs="Courier New" w:eastAsia="Courier New" w:hAnsi="Courier New"/>
          <w:sz w:val="18"/>
          <w:szCs w:val="18"/>
          <w:color w:val="auto"/>
        </w:rPr>
        <w:t>----------------------------------</w:t>
      </w:r>
    </w:p>
    <w:p>
      <w:pPr>
        <w:ind w:left="2540"/>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Christopher D. Crawshaw</w:t>
      </w:r>
    </w:p>
    <w:p>
      <w:pPr>
        <w:ind w:left="2540"/>
        <w:spacing w:after="0" w:line="238" w:lineRule="auto"/>
        <w:rPr>
          <w:sz w:val="20"/>
          <w:szCs w:val="20"/>
          <w:color w:val="auto"/>
        </w:rPr>
      </w:pPr>
      <w:r>
        <w:rPr>
          <w:rFonts w:ascii="Courier New" w:cs="Courier New" w:eastAsia="Courier New" w:hAnsi="Courier New"/>
          <w:sz w:val="18"/>
          <w:szCs w:val="18"/>
          <w:color w:val="auto"/>
        </w:rPr>
        <w:t>President, Chief Executive Officer</w:t>
      </w:r>
    </w:p>
    <w:p>
      <w:pPr>
        <w:ind w:left="2540"/>
        <w:spacing w:after="0"/>
        <w:rPr>
          <w:sz w:val="20"/>
          <w:szCs w:val="20"/>
          <w:color w:val="auto"/>
        </w:rPr>
      </w:pPr>
      <w:r>
        <w:rPr>
          <w:rFonts w:ascii="Courier New" w:cs="Courier New" w:eastAsia="Courier New" w:hAnsi="Courier New"/>
          <w:sz w:val="18"/>
          <w:szCs w:val="18"/>
          <w:color w:val="auto"/>
        </w:rPr>
        <w:t>----------------------------------</w:t>
      </w:r>
    </w:p>
    <w:p>
      <w:pPr>
        <w:ind w:left="2540"/>
        <w:spacing w:after="0" w:line="237" w:lineRule="auto"/>
        <w:rPr>
          <w:sz w:val="20"/>
          <w:szCs w:val="20"/>
          <w:color w:val="auto"/>
        </w:rPr>
      </w:pPr>
      <w:r>
        <w:rPr>
          <w:rFonts w:ascii="Courier New" w:cs="Courier New" w:eastAsia="Courier New" w:hAnsi="Courier New"/>
          <w:sz w:val="18"/>
          <w:szCs w:val="18"/>
          <w:color w:val="auto"/>
        </w:rPr>
        <w:t>Name/Title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JOINT FILING AGREEMENT</w:t>
      </w:r>
    </w:p>
    <w:p>
      <w:pPr>
        <w:spacing w:after="0" w:line="207" w:lineRule="exact"/>
        <w:rPr>
          <w:sz w:val="20"/>
          <w:szCs w:val="20"/>
          <w:color w:val="auto"/>
        </w:rPr>
      </w:pPr>
    </w:p>
    <w:p>
      <w:pPr>
        <w:ind w:right="3479"/>
        <w:spacing w:after="0" w:line="268" w:lineRule="auto"/>
        <w:rPr>
          <w:sz w:val="20"/>
          <w:szCs w:val="20"/>
          <w:color w:val="auto"/>
        </w:rPr>
      </w:pPr>
      <w:r>
        <w:rPr>
          <w:rFonts w:ascii="Courier New" w:cs="Courier New" w:eastAsia="Courier New" w:hAnsi="Courier New"/>
          <w:sz w:val="16"/>
          <w:szCs w:val="16"/>
          <w:color w:val="auto"/>
        </w:rPr>
        <w:t>The undersigned persons, on February 17, 2015, agree and consent to the joint filing on their behalf of this Schedule 13G</w:t>
      </w:r>
    </w:p>
    <w:p>
      <w:pPr>
        <w:ind w:right="3999"/>
        <w:spacing w:after="0" w:line="290" w:lineRule="auto"/>
        <w:rPr>
          <w:sz w:val="20"/>
          <w:szCs w:val="20"/>
          <w:color w:val="auto"/>
        </w:rPr>
      </w:pPr>
      <w:r>
        <w:rPr>
          <w:rFonts w:ascii="Courier New" w:cs="Courier New" w:eastAsia="Courier New" w:hAnsi="Courier New"/>
          <w:sz w:val="16"/>
          <w:szCs w:val="16"/>
          <w:color w:val="auto"/>
        </w:rPr>
        <w:t>in connection with their beneficial ownership of the Common Stock of Destination XL Group Inc. at December 31, 2014.</w:t>
      </w:r>
    </w:p>
    <w:p>
      <w:pPr>
        <w:spacing w:after="0" w:line="367"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Piper Jaffray Companies</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By /s/ Christopher D. Crawshaw</w:t>
      </w:r>
    </w:p>
    <w:p>
      <w:pPr>
        <w:ind w:left="2540"/>
        <w:spacing w:after="0" w:line="238" w:lineRule="auto"/>
        <w:rPr>
          <w:sz w:val="20"/>
          <w:szCs w:val="20"/>
          <w:color w:val="auto"/>
        </w:rPr>
      </w:pPr>
      <w:r>
        <w:rPr>
          <w:rFonts w:ascii="Courier New" w:cs="Courier New" w:eastAsia="Courier New" w:hAnsi="Courier New"/>
          <w:sz w:val="18"/>
          <w:szCs w:val="18"/>
          <w:color w:val="auto"/>
        </w:rPr>
        <w:t>----------------------------------</w:t>
      </w:r>
    </w:p>
    <w:p>
      <w:pPr>
        <w:ind w:left="2540"/>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Christopher D. Crawshaw</w:t>
      </w:r>
    </w:p>
    <w:p>
      <w:pPr>
        <w:ind w:left="2540"/>
        <w:spacing w:after="0" w:line="238" w:lineRule="auto"/>
        <w:rPr>
          <w:sz w:val="20"/>
          <w:szCs w:val="20"/>
          <w:color w:val="auto"/>
        </w:rPr>
      </w:pPr>
      <w:r>
        <w:rPr>
          <w:rFonts w:ascii="Courier New" w:cs="Courier New" w:eastAsia="Courier New" w:hAnsi="Courier New"/>
          <w:sz w:val="18"/>
          <w:szCs w:val="18"/>
          <w:color w:val="auto"/>
        </w:rPr>
        <w:t>Head of Asset Management</w:t>
      </w:r>
    </w:p>
    <w:p>
      <w:pPr>
        <w:ind w:left="2540"/>
        <w:spacing w:after="0"/>
        <w:rPr>
          <w:sz w:val="20"/>
          <w:szCs w:val="20"/>
          <w:color w:val="auto"/>
        </w:rPr>
      </w:pPr>
      <w:r>
        <w:rPr>
          <w:rFonts w:ascii="Courier New" w:cs="Courier New" w:eastAsia="Courier New" w:hAnsi="Courier New"/>
          <w:sz w:val="18"/>
          <w:szCs w:val="18"/>
          <w:color w:val="auto"/>
        </w:rPr>
        <w:t>----------------------------------</w:t>
      </w:r>
    </w:p>
    <w:p>
      <w:pPr>
        <w:ind w:left="2540"/>
        <w:spacing w:after="0" w:line="237" w:lineRule="auto"/>
        <w:rPr>
          <w:sz w:val="20"/>
          <w:szCs w:val="20"/>
          <w:color w:val="auto"/>
        </w:rPr>
      </w:pPr>
      <w:r>
        <w:rPr>
          <w:rFonts w:ascii="Courier New" w:cs="Courier New" w:eastAsia="Courier New" w:hAnsi="Courier New"/>
          <w:sz w:val="18"/>
          <w:szCs w:val="18"/>
          <w:color w:val="auto"/>
        </w:rPr>
        <w:t>Name/Title</w:t>
      </w:r>
    </w:p>
    <w:p>
      <w:pPr>
        <w:spacing w:after="0" w:line="200" w:lineRule="exact"/>
        <w:rPr>
          <w:sz w:val="20"/>
          <w:szCs w:val="20"/>
          <w:color w:val="auto"/>
        </w:rPr>
      </w:pPr>
    </w:p>
    <w:p>
      <w:pPr>
        <w:spacing w:after="0" w:line="204"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Advisory Research, Inc.</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By /s/ Christopher D. Crawshaw</w:t>
      </w:r>
    </w:p>
    <w:p>
      <w:pPr>
        <w:ind w:left="2540"/>
        <w:spacing w:after="0" w:line="238" w:lineRule="auto"/>
        <w:rPr>
          <w:sz w:val="20"/>
          <w:szCs w:val="20"/>
          <w:color w:val="auto"/>
        </w:rPr>
      </w:pPr>
      <w:r>
        <w:rPr>
          <w:rFonts w:ascii="Courier New" w:cs="Courier New" w:eastAsia="Courier New" w:hAnsi="Courier New"/>
          <w:sz w:val="18"/>
          <w:szCs w:val="18"/>
          <w:color w:val="auto"/>
        </w:rPr>
        <w:t>----------------------------------</w:t>
      </w:r>
    </w:p>
    <w:p>
      <w:pPr>
        <w:ind w:left="2540"/>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Christopher D. Crawshaw</w:t>
      </w:r>
    </w:p>
    <w:p>
      <w:pPr>
        <w:ind w:left="2540"/>
        <w:spacing w:after="0" w:line="238" w:lineRule="auto"/>
        <w:rPr>
          <w:sz w:val="20"/>
          <w:szCs w:val="20"/>
          <w:color w:val="auto"/>
        </w:rPr>
      </w:pPr>
      <w:r>
        <w:rPr>
          <w:rFonts w:ascii="Courier New" w:cs="Courier New" w:eastAsia="Courier New" w:hAnsi="Courier New"/>
          <w:sz w:val="18"/>
          <w:szCs w:val="18"/>
          <w:color w:val="auto"/>
        </w:rPr>
        <w:t>President, Chief Executive Officer</w:t>
      </w:r>
    </w:p>
    <w:p>
      <w:pPr>
        <w:ind w:left="2540"/>
        <w:spacing w:after="0"/>
        <w:rPr>
          <w:sz w:val="20"/>
          <w:szCs w:val="20"/>
          <w:color w:val="auto"/>
        </w:rPr>
      </w:pPr>
      <w:r>
        <w:rPr>
          <w:rFonts w:ascii="Courier New" w:cs="Courier New" w:eastAsia="Courier New" w:hAnsi="Courier New"/>
          <w:sz w:val="18"/>
          <w:szCs w:val="18"/>
          <w:color w:val="auto"/>
        </w:rPr>
        <w:t>----------------------------------</w:t>
      </w:r>
    </w:p>
    <w:p>
      <w:pPr>
        <w:ind w:left="2540"/>
        <w:spacing w:after="0" w:line="237" w:lineRule="auto"/>
        <w:rPr>
          <w:sz w:val="20"/>
          <w:szCs w:val="20"/>
          <w:color w:val="auto"/>
        </w:rPr>
      </w:pPr>
      <w:r>
        <w:rPr>
          <w:rFonts w:ascii="Courier New" w:cs="Courier New" w:eastAsia="Courier New" w:hAnsi="Courier New"/>
          <w:sz w:val="18"/>
          <w:szCs w:val="18"/>
          <w:color w:val="auto"/>
        </w:rPr>
        <w:t>Name/Title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EXHIBIT A</w:t>
      </w:r>
    </w:p>
    <w:p>
      <w:pPr>
        <w:spacing w:after="0" w:line="207" w:lineRule="exact"/>
        <w:rPr>
          <w:sz w:val="20"/>
          <w:szCs w:val="20"/>
          <w:color w:val="auto"/>
        </w:rPr>
      </w:pPr>
    </w:p>
    <w:p>
      <w:pPr>
        <w:ind w:right="3479"/>
        <w:spacing w:after="0" w:line="290" w:lineRule="auto"/>
        <w:rPr>
          <w:sz w:val="20"/>
          <w:szCs w:val="20"/>
          <w:color w:val="auto"/>
        </w:rPr>
      </w:pPr>
      <w:r>
        <w:rPr>
          <w:rFonts w:ascii="Courier New" w:cs="Courier New" w:eastAsia="Courier New" w:hAnsi="Courier New"/>
          <w:sz w:val="16"/>
          <w:szCs w:val="16"/>
          <w:color w:val="auto"/>
        </w:rPr>
        <w:t>Pursuant to the instructions in Item 7 of Schedule 13G, Advisory Research, Inc. ("ARI"), 180 N. Stetson, Chicago, IL 60601, a</w:t>
      </w:r>
    </w:p>
    <w:p>
      <w:pPr>
        <w:sectPr>
          <w:pgSz w:w="11900" w:h="16838" w:orient="portrait"/>
          <w:cols w:equalWidth="0" w:num="1">
            <w:col w:w="10219"/>
          </w:cols>
          <w:pgMar w:left="240" w:top="136" w:right="1440" w:bottom="0" w:gutter="0" w:footer="0" w:header="0"/>
        </w:sectPr>
      </w:pPr>
    </w:p>
    <w:bookmarkStart w:id="3" w:name="page4"/>
    <w:bookmarkEnd w:id="3"/>
    <w:p>
      <w:pPr>
        <w:ind w:right="3999"/>
        <w:spacing w:after="0" w:line="272" w:lineRule="auto"/>
        <w:rPr>
          <w:sz w:val="20"/>
          <w:szCs w:val="20"/>
          <w:color w:val="auto"/>
        </w:rPr>
      </w:pPr>
      <w:r>
        <w:rPr>
          <w:rFonts w:ascii="Courier New" w:cs="Courier New" w:eastAsia="Courier New" w:hAnsi="Courier New"/>
          <w:sz w:val="16"/>
          <w:szCs w:val="16"/>
          <w:color w:val="auto"/>
        </w:rPr>
        <w:t>wholly-owned subsidiary of Piper Jaffray Companies and an investment adviser registered under Section 203 of the Investment Advisers Act of 1940, is the beneficial owner of 3,257,203 shares or 6.4% of the Common Stock outstanding of Destination XL Group Inc. ("the Company") as a result of acting as investment adviser to various clients.</w:t>
      </w:r>
    </w:p>
    <w:p>
      <w:pPr>
        <w:spacing w:after="0" w:line="186" w:lineRule="exact"/>
        <w:rPr>
          <w:sz w:val="20"/>
          <w:szCs w:val="20"/>
          <w:color w:val="auto"/>
        </w:rPr>
      </w:pPr>
    </w:p>
    <w:p>
      <w:pPr>
        <w:ind w:right="3159"/>
        <w:spacing w:after="0" w:line="237" w:lineRule="auto"/>
        <w:rPr>
          <w:sz w:val="20"/>
          <w:szCs w:val="20"/>
          <w:color w:val="auto"/>
        </w:rPr>
      </w:pPr>
      <w:r>
        <w:rPr>
          <w:rFonts w:ascii="Courier New" w:cs="Courier New" w:eastAsia="Courier New" w:hAnsi="Courier New"/>
          <w:sz w:val="18"/>
          <w:szCs w:val="18"/>
          <w:color w:val="auto"/>
        </w:rPr>
        <w:t>Piper Jaffray Companies may be deemed to be the beneficial owner of these 3,257,203 shares through control of ARI. However, Piper Jaffray Companies disclaims beneficial ownership of such shares. In addition, the filing of this Schedule 13G shall not be construed as an admission that the reporting person or any of its affiliates is the beneficial owner of any securities covered by this Schedule 13G for any other purposes than Section 13(d) of the Securities Exchange Act of 1934.</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lvl w:ilvl="1">
      <w:lvlJc w:val="left"/>
      <w:lvlText w:val="[%2]"/>
      <w:numFmt w:val="upperLetter"/>
      <w:start w:val="24"/>
    </w:lvl>
  </w:abstractNum>
  <w:abstractNum w:abstractNumId="1">
    <w:nsid w:val="507ED7AB"/>
    <w:multiLevelType w:val="hybridMultilevel"/>
    <w:lvl w:ilvl="0">
      <w:lvlJc w:val="left"/>
      <w:lvlText w:val="1"/>
      <w:numFmt w:val="bullet"/>
      <w:start w:val="1"/>
    </w:lvl>
  </w:abstractNum>
  <w:abstractNum w:abstractNumId="2">
    <w:nsid w:val="2EB141F2"/>
    <w:multiLevelType w:val="hybridMultilevel"/>
    <w:lvl w:ilvl="0">
      <w:lvlJc w:val="left"/>
      <w:lvlText w:val="3"/>
      <w:numFmt w:val="bullet"/>
      <w:start w:val="1"/>
    </w:lvl>
  </w:abstractNum>
  <w:abstractNum w:abstractNumId="3">
    <w:nsid w:val="41B71EFB"/>
    <w:multiLevelType w:val="hybridMultilevel"/>
    <w:lvl w:ilvl="0">
      <w:lvlJc w:val="left"/>
      <w:lvlText w:val="4"/>
      <w:numFmt w:val="bullet"/>
      <w:start w:val="1"/>
    </w:lvl>
  </w:abstractNum>
  <w:abstractNum w:abstractNumId="4">
    <w:nsid w:val="79E2A9E3"/>
    <w:multiLevelType w:val="hybridMultilevel"/>
    <w:lvl w:ilvl="0">
      <w:lvlJc w:val="left"/>
      <w:lvlText w:val="9"/>
      <w:numFmt w:val="bullet"/>
      <w:start w:val="1"/>
    </w:lvl>
  </w:abstractNum>
  <w:abstractNum w:abstractNumId="5">
    <w:nsid w:val="7545E146"/>
    <w:multiLevelType w:val="hybridMultilevel"/>
    <w:lvl w:ilvl="0">
      <w:lvlJc w:val="left"/>
      <w:lvlText w:val="%1"/>
      <w:numFmt w:val="decimal"/>
      <w:start w:val="10"/>
    </w:lvl>
  </w:abstractNum>
  <w:abstractNum w:abstractNumId="6">
    <w:nsid w:val="515F007C"/>
    <w:multiLevelType w:val="hybridMultilevel"/>
    <w:lvl w:ilvl="0">
      <w:lvlJc w:val="left"/>
      <w:lvlText w:val="%1"/>
      <w:numFmt w:val="decimal"/>
      <w:start w:val="11"/>
    </w:lvl>
  </w:abstractNum>
  <w:abstractNum w:abstractNumId="7">
    <w:nsid w:val="5BD062C2"/>
    <w:multiLevelType w:val="hybridMultilevel"/>
    <w:lvl w:ilvl="0">
      <w:lvlJc w:val="left"/>
      <w:lvlText w:val="%1"/>
      <w:numFmt w:val="decimal"/>
      <w:start w:val="12"/>
    </w:lvl>
  </w:abstractNum>
  <w:abstractNum w:abstractNumId="8">
    <w:nsid w:val="12200854"/>
    <w:multiLevelType w:val="hybridMultilevel"/>
    <w:lvl w:ilvl="0">
      <w:lvlJc w:val="left"/>
      <w:lvlText w:val="(%1)"/>
      <w:numFmt w:val="lowerLetter"/>
      <w:start w:val="1"/>
    </w:lvl>
  </w:abstractNum>
  <w:abstractNum w:abstractNumId="9">
    <w:nsid w:val="4DB127F8"/>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2019-12-08T05:44:58Z</dcterms:created>
  <dcterms:modified xsi:type="dcterms:W3CDTF">2019-12-08T05:44:58Z</dcterms:modified>
</cp:coreProperties>
</file>